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2" w:lineRule="exact"/>
        <w:rPr>
          <w:sz w:val="24"/>
          <w:szCs w:val="24"/>
          <w:color w:val="auto"/>
        </w:rPr>
      </w:pPr>
    </w:p>
    <w:p>
      <w:pPr>
        <w:ind w:left="3340" w:right="1980" w:hanging="3332"/>
        <w:spacing w:after="0" w:line="391" w:lineRule="auto"/>
        <w:tabs>
          <w:tab w:leader="none" w:pos="4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-409575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6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-101600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7" w:lineRule="exact"/>
        <w:rPr>
          <w:sz w:val="24"/>
          <w:szCs w:val="24"/>
          <w:color w:val="auto"/>
        </w:rPr>
      </w:pPr>
    </w:p>
    <w:p>
      <w:pPr>
        <w:ind w:left="3260"/>
        <w:spacing w:after="0"/>
        <w:tabs>
          <w:tab w:leader="none" w:pos="71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4218305</wp:posOffset>
            </wp:positionH>
            <wp:positionV relativeFrom="paragraph">
              <wp:posOffset>-5080</wp:posOffset>
            </wp:positionV>
            <wp:extent cx="848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48360"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PENNANTPARK INVESTMENT CORPORATION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jc w:val="center"/>
              <w:ind w:left="1349"/>
              <w:spacing w:after="0"/>
              <w:rPr>
                <w:sz w:val="20"/>
                <w:szCs w:val="20"/>
                <w:color w:val="auto"/>
              </w:rPr>
            </w:pPr>
            <w:r>
              <w:rPr>
                <w:rFonts w:ascii="Times New Roman" w:cs="Times New Roman" w:eastAsia="Times New Roman" w:hAnsi="Times New Roman"/>
                <w:sz w:val="14"/>
                <w:szCs w:val="14"/>
                <w:b w:val="1"/>
                <w:bCs w:val="1"/>
                <w:color w:val="auto"/>
              </w:rPr>
              <w:t>MARYLAND</w:t>
            </w:r>
          </w:p>
        </w:tc>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jc w:val="right"/>
              <w:ind w:right="2328"/>
              <w:spacing w:after="0"/>
              <w:rPr>
                <w:sz w:val="20"/>
                <w:szCs w:val="20"/>
                <w:color w:val="auto"/>
              </w:rPr>
            </w:pPr>
            <w:r>
              <w:rPr>
                <w:rFonts w:ascii="Times New Roman" w:cs="Times New Roman" w:eastAsia="Times New Roman" w:hAnsi="Times New Roman"/>
                <w:sz w:val="14"/>
                <w:szCs w:val="14"/>
                <w:b w:val="1"/>
                <w:bCs w:val="1"/>
                <w:color w:val="auto"/>
              </w:rPr>
              <w:t>20-8250744</w:t>
            </w:r>
          </w:p>
        </w:tc>
        <w:tc>
          <w:tcPr>
            <w:tcW w:w="0" w:type="dxa"/>
            <w:vAlign w:val="bottom"/>
          </w:tcPr>
          <w:p>
            <w:pPr>
              <w:spacing w:after="0"/>
              <w:rPr>
                <w:sz w:val="1"/>
                <w:szCs w:val="1"/>
                <w:color w:val="auto"/>
              </w:rPr>
            </w:pPr>
          </w:p>
        </w:tc>
      </w:tr>
      <w:tr>
        <w:trPr>
          <w:trHeight w:val="216"/>
        </w:trPr>
        <w:tc>
          <w:tcPr>
            <w:tcW w:w="7340" w:type="dxa"/>
            <w:vAlign w:val="bottom"/>
            <w:gridSpan w:val="2"/>
          </w:tcPr>
          <w:p>
            <w:pPr>
              <w:jc w:val="center"/>
              <w:ind w:right="1751"/>
              <w:spacing w:after="0"/>
              <w:rPr>
                <w:sz w:val="20"/>
                <w:szCs w:val="20"/>
                <w:color w:val="auto"/>
              </w:rPr>
            </w:pPr>
            <w:r>
              <w:rPr>
                <w:rFonts w:ascii="Times New Roman" w:cs="Times New Roman" w:eastAsia="Times New Roman" w:hAnsi="Times New Roman"/>
                <w:sz w:val="12"/>
                <w:szCs w:val="12"/>
                <w:b w:val="1"/>
                <w:bCs w:val="1"/>
                <w:color w:val="auto"/>
                <w:w w:val="96"/>
              </w:rPr>
              <w:t>(State or other jurisdiction of incorporation or organization)</w:t>
            </w:r>
          </w:p>
        </w:tc>
        <w:tc>
          <w:tcPr>
            <w:tcW w:w="3900" w:type="dxa"/>
            <w:vAlign w:val="bottom"/>
            <w:gridSpan w:val="2"/>
          </w:tcPr>
          <w:p>
            <w:pPr>
              <w:jc w:val="center"/>
              <w:ind w:right="150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269"/>
        </w:trPr>
        <w:tc>
          <w:tcPr>
            <w:tcW w:w="4100" w:type="dxa"/>
            <w:vAlign w:val="bottom"/>
          </w:tcPr>
          <w:p>
            <w:pPr>
              <w:jc w:val="center"/>
              <w:ind w:left="1349"/>
              <w:spacing w:after="0"/>
              <w:rPr>
                <w:sz w:val="20"/>
                <w:szCs w:val="20"/>
                <w:color w:val="auto"/>
              </w:rPr>
            </w:pPr>
            <w:r>
              <w:rPr>
                <w:rFonts w:ascii="Times New Roman" w:cs="Times New Roman" w:eastAsia="Times New Roman" w:hAnsi="Times New Roman"/>
                <w:sz w:val="14"/>
                <w:szCs w:val="14"/>
                <w:b w:val="1"/>
                <w:bCs w:val="1"/>
                <w:color w:val="auto"/>
              </w:rPr>
              <w:t>590 Madison Avenue, 15</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4"/>
                <w:szCs w:val="14"/>
                <w:b w:val="1"/>
                <w:bCs w:val="1"/>
                <w:color w:val="auto"/>
              </w:rPr>
              <w:t xml:space="preserve"> Floor</w:t>
            </w:r>
          </w:p>
        </w:tc>
        <w:tc>
          <w:tcPr>
            <w:tcW w:w="3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380" w:type="dxa"/>
            <w:vAlign w:val="bottom"/>
            <w:vMerge w:val="restart"/>
          </w:tcPr>
          <w:p>
            <w:pPr>
              <w:jc w:val="right"/>
              <w:ind w:right="2488"/>
              <w:spacing w:after="0"/>
              <w:rPr>
                <w:sz w:val="20"/>
                <w:szCs w:val="20"/>
                <w:color w:val="auto"/>
              </w:rPr>
            </w:pPr>
            <w:r>
              <w:rPr>
                <w:rFonts w:ascii="Times New Roman" w:cs="Times New Roman" w:eastAsia="Times New Roman" w:hAnsi="Times New Roman"/>
                <w:sz w:val="14"/>
                <w:szCs w:val="14"/>
                <w:b w:val="1"/>
                <w:bCs w:val="1"/>
                <w:color w:val="auto"/>
              </w:rPr>
              <w:t>10022</w:t>
            </w:r>
          </w:p>
        </w:tc>
        <w:tc>
          <w:tcPr>
            <w:tcW w:w="0" w:type="dxa"/>
            <w:vAlign w:val="bottom"/>
          </w:tcPr>
          <w:p>
            <w:pPr>
              <w:spacing w:after="0"/>
              <w:rPr>
                <w:sz w:val="1"/>
                <w:szCs w:val="1"/>
                <w:color w:val="auto"/>
              </w:rPr>
            </w:pPr>
          </w:p>
        </w:tc>
      </w:tr>
      <w:tr>
        <w:trPr>
          <w:trHeight w:val="109"/>
        </w:trPr>
        <w:tc>
          <w:tcPr>
            <w:tcW w:w="4100" w:type="dxa"/>
            <w:vAlign w:val="bottom"/>
            <w:vMerge w:val="restart"/>
          </w:tcPr>
          <w:p>
            <w:pPr>
              <w:jc w:val="center"/>
              <w:ind w:left="1349"/>
              <w:spacing w:after="0"/>
              <w:rPr>
                <w:sz w:val="20"/>
                <w:szCs w:val="20"/>
                <w:color w:val="auto"/>
              </w:rPr>
            </w:pPr>
            <w:r>
              <w:rPr>
                <w:rFonts w:ascii="Times New Roman" w:cs="Times New Roman" w:eastAsia="Times New Roman" w:hAnsi="Times New Roman"/>
                <w:sz w:val="14"/>
                <w:szCs w:val="14"/>
                <w:b w:val="1"/>
                <w:bCs w:val="1"/>
                <w:color w:val="auto"/>
              </w:rPr>
              <w:t>New York, N.Y.</w:t>
            </w:r>
          </w:p>
        </w:tc>
        <w:tc>
          <w:tcPr>
            <w:tcW w:w="3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100" w:type="dxa"/>
            <w:vAlign w:val="bottom"/>
            <w:vMerge w:val="continue"/>
          </w:tcPr>
          <w:p>
            <w:pPr>
              <w:spacing w:after="0"/>
              <w:rPr>
                <w:sz w:val="5"/>
                <w:szCs w:val="5"/>
                <w:color w:val="auto"/>
              </w:rPr>
            </w:pPr>
          </w:p>
        </w:tc>
        <w:tc>
          <w:tcPr>
            <w:tcW w:w="3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4100" w:type="dxa"/>
            <w:vAlign w:val="bottom"/>
          </w:tcPr>
          <w:p>
            <w:pPr>
              <w:jc w:val="center"/>
              <w:ind w:left="136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380" w:type="dxa"/>
            <w:vAlign w:val="bottom"/>
          </w:tcPr>
          <w:p>
            <w:pPr>
              <w:jc w:val="center"/>
              <w:ind w:right="204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97"/>
        </w:trPr>
        <w:tc>
          <w:tcPr>
            <w:tcW w:w="4100" w:type="dxa"/>
            <w:vAlign w:val="bottom"/>
          </w:tcPr>
          <w:p>
            <w:pPr>
              <w:spacing w:after="0"/>
              <w:rPr>
                <w:sz w:val="24"/>
                <w:szCs w:val="24"/>
                <w:color w:val="auto"/>
              </w:rPr>
            </w:pPr>
          </w:p>
        </w:tc>
        <w:tc>
          <w:tcPr>
            <w:tcW w:w="32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(212) 905-1000</w:t>
            </w: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3240" w:type="dxa"/>
            <w:vAlign w:val="bottom"/>
          </w:tcPr>
          <w:p>
            <w:pPr>
              <w:jc w:val="center"/>
              <w:ind w:right="131"/>
              <w:spacing w:after="0"/>
              <w:rPr>
                <w:sz w:val="20"/>
                <w:szCs w:val="20"/>
                <w:color w:val="auto"/>
              </w:rPr>
            </w:pPr>
            <w:r>
              <w:rPr>
                <w:rFonts w:ascii="Times New Roman" w:cs="Times New Roman" w:eastAsia="Times New Roman" w:hAnsi="Times New Roman"/>
                <w:sz w:val="12"/>
                <w:szCs w:val="12"/>
                <w:b w:val="1"/>
                <w:bCs w:val="1"/>
                <w:color w:val="auto"/>
                <w:w w:val="96"/>
              </w:rPr>
              <w:t>(Registrant’s Telephone Number, Including Area Code)</w:t>
            </w:r>
          </w:p>
        </w:tc>
        <w:tc>
          <w:tcPr>
            <w:tcW w:w="5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10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5"/>
        </w:trPr>
        <w:tc>
          <w:tcPr>
            <w:tcW w:w="410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100" w:type="dxa"/>
            <w:vAlign w:val="bottom"/>
          </w:tcPr>
          <w:p>
            <w:pPr>
              <w:jc w:val="center"/>
              <w:ind w:left="34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00" w:type="dxa"/>
            <w:vAlign w:val="bottom"/>
            <w:gridSpan w:val="2"/>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4100" w:type="dxa"/>
            <w:vAlign w:val="bottom"/>
          </w:tcPr>
          <w:p>
            <w:pPr>
              <w:jc w:val="center"/>
              <w:ind w:left="329"/>
              <w:spacing w:after="0" w:line="149"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3240" w:type="dxa"/>
            <w:vAlign w:val="bottom"/>
          </w:tcPr>
          <w:p>
            <w:pPr>
              <w:jc w:val="center"/>
              <w:ind w:right="111"/>
              <w:spacing w:after="0" w:line="149" w:lineRule="exact"/>
              <w:rPr>
                <w:sz w:val="20"/>
                <w:szCs w:val="20"/>
                <w:color w:val="auto"/>
              </w:rPr>
            </w:pPr>
            <w:r>
              <w:rPr>
                <w:rFonts w:ascii="Times New Roman" w:cs="Times New Roman" w:eastAsia="Times New Roman" w:hAnsi="Times New Roman"/>
                <w:sz w:val="14"/>
                <w:szCs w:val="14"/>
                <w:color w:val="auto"/>
              </w:rPr>
              <w:t>PNNT</w:t>
            </w:r>
          </w:p>
        </w:tc>
        <w:tc>
          <w:tcPr>
            <w:tcW w:w="520" w:type="dxa"/>
            <w:vAlign w:val="bottom"/>
          </w:tcPr>
          <w:p>
            <w:pPr>
              <w:spacing w:after="0"/>
              <w:rPr>
                <w:sz w:val="12"/>
                <w:szCs w:val="12"/>
                <w:color w:val="auto"/>
              </w:rPr>
            </w:pPr>
          </w:p>
        </w:tc>
        <w:tc>
          <w:tcPr>
            <w:tcW w:w="3380" w:type="dxa"/>
            <w:vAlign w:val="bottom"/>
          </w:tcPr>
          <w:p>
            <w:pPr>
              <w:jc w:val="center"/>
              <w:ind w:right="1028"/>
              <w:spacing w:after="0" w:line="149" w:lineRule="exact"/>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88"/>
        </w:trPr>
        <w:tc>
          <w:tcPr>
            <w:tcW w:w="4100" w:type="dxa"/>
            <w:vAlign w:val="bottom"/>
          </w:tcPr>
          <w:p>
            <w:pPr>
              <w:jc w:val="center"/>
              <w:ind w:left="349"/>
              <w:spacing w:after="0"/>
              <w:rPr>
                <w:sz w:val="20"/>
                <w:szCs w:val="20"/>
                <w:color w:val="auto"/>
              </w:rPr>
            </w:pPr>
            <w:r>
              <w:rPr>
                <w:rFonts w:ascii="Times New Roman" w:cs="Times New Roman" w:eastAsia="Times New Roman" w:hAnsi="Times New Roman"/>
                <w:sz w:val="14"/>
                <w:szCs w:val="14"/>
                <w:color w:val="auto"/>
              </w:rPr>
              <w:t>5.50% Notes due 2024</w:t>
            </w:r>
          </w:p>
        </w:tc>
        <w:tc>
          <w:tcPr>
            <w:tcW w:w="3240" w:type="dxa"/>
            <w:vAlign w:val="bottom"/>
          </w:tcPr>
          <w:p>
            <w:pPr>
              <w:jc w:val="center"/>
              <w:ind w:right="91"/>
              <w:spacing w:after="0"/>
              <w:rPr>
                <w:sz w:val="20"/>
                <w:szCs w:val="20"/>
                <w:color w:val="auto"/>
              </w:rPr>
            </w:pPr>
            <w:r>
              <w:rPr>
                <w:rFonts w:ascii="Times New Roman" w:cs="Times New Roman" w:eastAsia="Times New Roman" w:hAnsi="Times New Roman"/>
                <w:sz w:val="14"/>
                <w:szCs w:val="14"/>
                <w:color w:val="auto"/>
              </w:rPr>
              <w:t>PNNTG</w:t>
            </w:r>
          </w:p>
        </w:tc>
        <w:tc>
          <w:tcPr>
            <w:tcW w:w="520" w:type="dxa"/>
            <w:vAlign w:val="bottom"/>
          </w:tcPr>
          <w:p>
            <w:pPr>
              <w:spacing w:after="0"/>
              <w:rPr>
                <w:sz w:val="16"/>
                <w:szCs w:val="16"/>
                <w:color w:val="auto"/>
              </w:rPr>
            </w:pPr>
          </w:p>
        </w:tc>
        <w:tc>
          <w:tcPr>
            <w:tcW w:w="3380" w:type="dxa"/>
            <w:vAlign w:val="bottom"/>
          </w:tcPr>
          <w:p>
            <w:pPr>
              <w:jc w:val="center"/>
              <w:ind w:right="102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391"/>
        </w:trPr>
        <w:tc>
          <w:tcPr>
            <w:tcW w:w="7860" w:type="dxa"/>
            <w:vAlign w:val="bottom"/>
            <w:gridSpan w:val="3"/>
          </w:tcPr>
          <w:p>
            <w:pPr>
              <w:jc w:val="center"/>
              <w:ind w:left="334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3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2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3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3"/>
        </w:trPr>
        <w:tc>
          <w:tcPr>
            <w:tcW w:w="73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2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w w:val="96"/>
              </w:rPr>
              <w:t xml:space="preserve">Yes </w:t>
            </w:r>
            <w:r>
              <w:rPr>
                <w:rFonts w:ascii="MS PGothic" w:cs="MS PGothic" w:eastAsia="MS PGothic" w:hAnsi="MS PGothic"/>
                <w:sz w:val="14"/>
                <w:szCs w:val="14"/>
                <w:color w:val="auto"/>
                <w:w w:val="96"/>
              </w:rPr>
              <w:t>☐</w:t>
            </w:r>
          </w:p>
        </w:tc>
        <w:tc>
          <w:tcPr>
            <w:tcW w:w="338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180" w:firstLine="43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t>
      </w:r>
    </w:p>
    <w:p>
      <w:pPr>
        <w:spacing w:after="0" w:line="28" w:lineRule="exact"/>
        <w:rPr>
          <w:sz w:val="24"/>
          <w:szCs w:val="24"/>
          <w:color w:val="auto"/>
        </w:rPr>
      </w:pPr>
    </w:p>
    <w:p>
      <w:pPr>
        <w:ind w:right="160" w:firstLine="43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8" w:lineRule="exact"/>
        <w:rPr>
          <w:sz w:val="24"/>
          <w:szCs w:val="24"/>
          <w:color w:val="auto"/>
        </w:rPr>
      </w:pPr>
    </w:p>
    <w:p>
      <w:pPr>
        <w:ind w:right="100" w:firstLine="438"/>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ind w:left="28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6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76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41" w:lineRule="exact"/>
        <w:rPr>
          <w:sz w:val="24"/>
          <w:szCs w:val="24"/>
          <w:color w:val="auto"/>
        </w:rPr>
      </w:pPr>
    </w:p>
    <w:p>
      <w:pPr>
        <w:ind w:right="140" w:firstLine="438"/>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2" w:lineRule="exact"/>
        <w:rPr>
          <w:sz w:val="24"/>
          <w:szCs w:val="24"/>
          <w:color w:val="auto"/>
        </w:rPr>
      </w:pPr>
    </w:p>
    <w:p>
      <w:pPr>
        <w:ind w:right="80" w:firstLine="438"/>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32" w:lineRule="exact"/>
        <w:rPr>
          <w:sz w:val="24"/>
          <w:szCs w:val="24"/>
          <w:color w:val="auto"/>
        </w:rPr>
      </w:pPr>
    </w:p>
    <w:p>
      <w:pPr>
        <w:ind w:left="440"/>
        <w:spacing w:after="0" w:line="161" w:lineRule="exact"/>
        <w:tabs>
          <w:tab w:leader="none" w:pos="7100" w:val="left"/>
          <w:tab w:leader="none" w:pos="762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w:t>
      </w:r>
    </w:p>
    <w:p>
      <w:pPr>
        <w:spacing w:after="0" w:line="92" w:lineRule="exact"/>
        <w:rPr>
          <w:sz w:val="24"/>
          <w:szCs w:val="24"/>
          <w:color w:val="auto"/>
        </w:rPr>
      </w:pPr>
    </w:p>
    <w:p>
      <w:pPr>
        <w:ind w:right="120" w:firstLine="438"/>
        <w:spacing w:after="0" w:line="241"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on March 31, 2020 based on the closing price on that date of $2.59 on The Nasdaq Global Select Market was approximately $169 million. For the purposes of calculating the aggregate market value of common stock held by non-affiliates, all directors and executive officers of the Registrant have been treated as affiliates. There were 67,045,105 shares of the Registrant’s common stock outstanding as of November 19, 2020.</w:t>
      </w:r>
    </w:p>
    <w:p>
      <w:pPr>
        <w:spacing w:after="0" w:line="28" w:lineRule="exact"/>
        <w:rPr>
          <w:sz w:val="24"/>
          <w:szCs w:val="24"/>
          <w:color w:val="auto"/>
        </w:rPr>
      </w:pPr>
    </w:p>
    <w:p>
      <w:pPr>
        <w:ind w:right="160" w:firstLine="438"/>
        <w:spacing w:after="0" w:line="261" w:lineRule="auto"/>
        <w:rPr>
          <w:sz w:val="20"/>
          <w:szCs w:val="20"/>
          <w:color w:val="auto"/>
        </w:rPr>
      </w:pPr>
      <w:r>
        <w:rPr>
          <w:rFonts w:ascii="Times New Roman" w:cs="Times New Roman" w:eastAsia="Times New Roman" w:hAnsi="Times New Roman"/>
          <w:sz w:val="14"/>
          <w:szCs w:val="14"/>
          <w:color w:val="auto"/>
        </w:rPr>
        <w:t>Documents Incorporated by Reference: Portions of the Registrant’s Proxy Statement relating to the Registrant’s 2021 Annual Meeting of Stockholders to be filed not later than 120 days after the end of the fiscal year covered by this Annual Report on Form 10-K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842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PENNANTPARK INVESTMENT CORPORATION</w:t>
            </w:r>
          </w:p>
        </w:tc>
        <w:tc>
          <w:tcPr>
            <w:tcW w:w="1960" w:type="dxa"/>
            <w:vAlign w:val="bottom"/>
          </w:tcPr>
          <w:p>
            <w:pPr>
              <w:spacing w:after="0"/>
              <w:rPr>
                <w:sz w:val="13"/>
                <w:szCs w:val="13"/>
                <w:color w:val="auto"/>
              </w:rPr>
            </w:pPr>
          </w:p>
        </w:tc>
      </w:tr>
      <w:tr>
        <w:trPr>
          <w:trHeight w:val="149"/>
        </w:trPr>
        <w:tc>
          <w:tcPr>
            <w:tcW w:w="880" w:type="dxa"/>
            <w:vAlign w:val="bottom"/>
          </w:tcPr>
          <w:p>
            <w:pPr>
              <w:spacing w:after="0"/>
              <w:rPr>
                <w:sz w:val="12"/>
                <w:szCs w:val="12"/>
                <w:color w:val="auto"/>
              </w:rPr>
            </w:pPr>
          </w:p>
        </w:tc>
        <w:tc>
          <w:tcPr>
            <w:tcW w:w="842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b w:val="1"/>
                <w:bCs w:val="1"/>
                <w:color w:val="auto"/>
              </w:rPr>
              <w:t>FORM 10-K</w:t>
            </w:r>
          </w:p>
        </w:tc>
        <w:tc>
          <w:tcPr>
            <w:tcW w:w="1960" w:type="dxa"/>
            <w:vAlign w:val="bottom"/>
          </w:tcPr>
          <w:p>
            <w:pPr>
              <w:spacing w:after="0"/>
              <w:rPr>
                <w:sz w:val="12"/>
                <w:szCs w:val="12"/>
                <w:color w:val="auto"/>
              </w:rPr>
            </w:pPr>
          </w:p>
        </w:tc>
      </w:tr>
      <w:tr>
        <w:trPr>
          <w:trHeight w:val="148"/>
        </w:trPr>
        <w:tc>
          <w:tcPr>
            <w:tcW w:w="880" w:type="dxa"/>
            <w:vAlign w:val="bottom"/>
          </w:tcPr>
          <w:p>
            <w:pPr>
              <w:spacing w:after="0"/>
              <w:rPr>
                <w:sz w:val="12"/>
                <w:szCs w:val="12"/>
                <w:color w:val="auto"/>
              </w:rPr>
            </w:pPr>
          </w:p>
        </w:tc>
        <w:tc>
          <w:tcPr>
            <w:tcW w:w="842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b w:val="1"/>
                <w:bCs w:val="1"/>
                <w:color w:val="auto"/>
              </w:rPr>
              <w:t>FOR THE FISCAL YEAR ENDED SEPTEMBER 30, 2020</w:t>
            </w:r>
          </w:p>
        </w:tc>
        <w:tc>
          <w:tcPr>
            <w:tcW w:w="1960" w:type="dxa"/>
            <w:vAlign w:val="bottom"/>
          </w:tcPr>
          <w:p>
            <w:pPr>
              <w:spacing w:after="0"/>
              <w:rPr>
                <w:sz w:val="12"/>
                <w:szCs w:val="12"/>
                <w:color w:val="auto"/>
              </w:rPr>
            </w:pPr>
          </w:p>
        </w:tc>
      </w:tr>
      <w:tr>
        <w:trPr>
          <w:trHeight w:val="190"/>
        </w:trPr>
        <w:tc>
          <w:tcPr>
            <w:tcW w:w="880" w:type="dxa"/>
            <w:vAlign w:val="bottom"/>
          </w:tcPr>
          <w:p>
            <w:pPr>
              <w:spacing w:after="0"/>
              <w:rPr>
                <w:sz w:val="16"/>
                <w:szCs w:val="16"/>
                <w:color w:val="auto"/>
              </w:rPr>
            </w:pPr>
          </w:p>
        </w:tc>
        <w:tc>
          <w:tcPr>
            <w:tcW w:w="8420" w:type="dxa"/>
            <w:vAlign w:val="bottom"/>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960" w:type="dxa"/>
            <w:vAlign w:val="bottom"/>
          </w:tcPr>
          <w:p>
            <w:pPr>
              <w:spacing w:after="0"/>
              <w:rPr>
                <w:sz w:val="16"/>
                <w:szCs w:val="16"/>
                <w:color w:val="auto"/>
              </w:rPr>
            </w:pPr>
          </w:p>
        </w:tc>
      </w:tr>
      <w:tr>
        <w:trPr>
          <w:trHeight w:val="445"/>
        </w:trPr>
        <w:tc>
          <w:tcPr>
            <w:tcW w:w="880" w:type="dxa"/>
            <w:vAlign w:val="bottom"/>
          </w:tcPr>
          <w:p>
            <w:pPr>
              <w:spacing w:after="0"/>
              <w:rPr>
                <w:sz w:val="24"/>
                <w:szCs w:val="24"/>
                <w:color w:val="auto"/>
              </w:rPr>
            </w:pPr>
          </w:p>
        </w:tc>
        <w:tc>
          <w:tcPr>
            <w:tcW w:w="8420" w:type="dxa"/>
            <w:vAlign w:val="bottom"/>
          </w:tcPr>
          <w:p>
            <w:pPr>
              <w:jc w:val="center"/>
              <w:ind w:left="1008"/>
              <w:spacing w:after="0"/>
              <w:rPr>
                <w:rFonts w:ascii="Times New Roman" w:cs="Times New Roman" w:eastAsia="Times New Roman" w:hAnsi="Times New Roman"/>
                <w:sz w:val="14"/>
                <w:szCs w:val="14"/>
                <w:b w:val="1"/>
                <w:bCs w:val="1"/>
                <w:u w:val="single" w:color="auto"/>
                <w:color w:val="0000EE"/>
                <w:w w:val="97"/>
              </w:rPr>
            </w:pPr>
            <w:hyperlink w:anchor="page3">
              <w:r>
                <w:rPr>
                  <w:rFonts w:ascii="Times New Roman" w:cs="Times New Roman" w:eastAsia="Times New Roman" w:hAnsi="Times New Roman"/>
                  <w:sz w:val="14"/>
                  <w:szCs w:val="14"/>
                  <w:b w:val="1"/>
                  <w:bCs w:val="1"/>
                  <w:u w:val="single" w:color="auto"/>
                  <w:color w:val="0000EE"/>
                  <w:w w:val="97"/>
                </w:rPr>
                <w:t>PART I</w:t>
              </w:r>
            </w:hyperlink>
          </w:p>
        </w:tc>
        <w:tc>
          <w:tcPr>
            <w:tcW w:w="1960" w:type="dxa"/>
            <w:vAlign w:val="bottom"/>
          </w:tcPr>
          <w:p>
            <w:pPr>
              <w:spacing w:after="0"/>
              <w:rPr>
                <w:sz w:val="24"/>
                <w:szCs w:val="24"/>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1.</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4">
              <w:r>
                <w:rPr>
                  <w:rFonts w:ascii="Times New Roman" w:cs="Times New Roman" w:eastAsia="Times New Roman" w:hAnsi="Times New Roman"/>
                  <w:sz w:val="14"/>
                  <w:szCs w:val="14"/>
                  <w:u w:val="single" w:color="auto"/>
                  <w:color w:val="0000EE"/>
                </w:rPr>
                <w:t>Business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1A.</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18">
              <w:r>
                <w:rPr>
                  <w:rFonts w:ascii="Times New Roman" w:cs="Times New Roman" w:eastAsia="Times New Roman" w:hAnsi="Times New Roman"/>
                  <w:sz w:val="14"/>
                  <w:szCs w:val="14"/>
                  <w:u w:val="single" w:color="auto"/>
                  <w:color w:val="0000EE"/>
                </w:rPr>
                <w:t>Risk Factors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1B.</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35">
              <w:r>
                <w:rPr>
                  <w:rFonts w:ascii="Times New Roman" w:cs="Times New Roman" w:eastAsia="Times New Roman" w:hAnsi="Times New Roman"/>
                  <w:sz w:val="14"/>
                  <w:szCs w:val="14"/>
                  <w:u w:val="single" w:color="auto"/>
                  <w:color w:val="0000EE"/>
                </w:rPr>
                <w:t>Unresolved Staff Comments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2.</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35">
              <w:r>
                <w:rPr>
                  <w:rFonts w:ascii="Times New Roman" w:cs="Times New Roman" w:eastAsia="Times New Roman" w:hAnsi="Times New Roman"/>
                  <w:sz w:val="14"/>
                  <w:szCs w:val="14"/>
                  <w:u w:val="single" w:color="auto"/>
                  <w:color w:val="0000EE"/>
                </w:rPr>
                <w:t>Properties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3.</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35">
              <w:r>
                <w:rPr>
                  <w:rFonts w:ascii="Times New Roman" w:cs="Times New Roman" w:eastAsia="Times New Roman" w:hAnsi="Times New Roman"/>
                  <w:sz w:val="14"/>
                  <w:szCs w:val="14"/>
                  <w:u w:val="single" w:color="auto"/>
                  <w:color w:val="0000EE"/>
                </w:rPr>
                <w:t>Legal Proceedings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4.</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36">
              <w:r>
                <w:rPr>
                  <w:rFonts w:ascii="Times New Roman" w:cs="Times New Roman" w:eastAsia="Times New Roman" w:hAnsi="Times New Roman"/>
                  <w:sz w:val="14"/>
                  <w:szCs w:val="14"/>
                  <w:u w:val="single" w:color="auto"/>
                  <w:color w:val="0000EE"/>
                </w:rPr>
                <w:t>Mine Safety Disclosures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297"/>
        </w:trPr>
        <w:tc>
          <w:tcPr>
            <w:tcW w:w="880" w:type="dxa"/>
            <w:vAlign w:val="bottom"/>
          </w:tcPr>
          <w:p>
            <w:pPr>
              <w:spacing w:after="0"/>
              <w:rPr>
                <w:sz w:val="24"/>
                <w:szCs w:val="24"/>
                <w:color w:val="auto"/>
              </w:rPr>
            </w:pPr>
          </w:p>
        </w:tc>
        <w:tc>
          <w:tcPr>
            <w:tcW w:w="8420" w:type="dxa"/>
            <w:vAlign w:val="bottom"/>
          </w:tcPr>
          <w:p>
            <w:pPr>
              <w:jc w:val="center"/>
              <w:ind w:left="988"/>
              <w:spacing w:after="0"/>
              <w:rPr>
                <w:rFonts w:ascii="Times New Roman" w:cs="Times New Roman" w:eastAsia="Times New Roman" w:hAnsi="Times New Roman"/>
                <w:sz w:val="14"/>
                <w:szCs w:val="14"/>
                <w:b w:val="1"/>
                <w:bCs w:val="1"/>
                <w:u w:val="single" w:color="auto"/>
                <w:color w:val="0000EE"/>
                <w:w w:val="98"/>
              </w:rPr>
            </w:pPr>
            <w:hyperlink w:anchor="page37">
              <w:r>
                <w:rPr>
                  <w:rFonts w:ascii="Times New Roman" w:cs="Times New Roman" w:eastAsia="Times New Roman" w:hAnsi="Times New Roman"/>
                  <w:sz w:val="14"/>
                  <w:szCs w:val="14"/>
                  <w:b w:val="1"/>
                  <w:bCs w:val="1"/>
                  <w:u w:val="single" w:color="auto"/>
                  <w:color w:val="0000EE"/>
                  <w:w w:val="98"/>
                </w:rPr>
                <w:t>PART II</w:t>
              </w:r>
            </w:hyperlink>
          </w:p>
        </w:tc>
        <w:tc>
          <w:tcPr>
            <w:tcW w:w="1960" w:type="dxa"/>
            <w:vAlign w:val="bottom"/>
          </w:tcPr>
          <w:p>
            <w:pPr>
              <w:spacing w:after="0"/>
              <w:rPr>
                <w:sz w:val="24"/>
                <w:szCs w:val="24"/>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5.</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37">
              <w:r>
                <w:rPr>
                  <w:rFonts w:ascii="Times New Roman" w:cs="Times New Roman" w:eastAsia="Times New Roman" w:hAnsi="Times New Roman"/>
                  <w:sz w:val="14"/>
                  <w:szCs w:val="14"/>
                  <w:u w:val="single" w:color="auto"/>
                  <w:color w:val="0000EE"/>
                </w:rPr>
                <w:t>Market For Registrant’s Common Equity, Related Stockholder Matters and Issuer Purchases of Equity Securities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6.</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40">
              <w:r>
                <w:rPr>
                  <w:rFonts w:ascii="Times New Roman" w:cs="Times New Roman" w:eastAsia="Times New Roman" w:hAnsi="Times New Roman"/>
                  <w:sz w:val="14"/>
                  <w:szCs w:val="14"/>
                  <w:u w:val="single" w:color="auto"/>
                  <w:color w:val="0000EE"/>
                </w:rPr>
                <w:t>Selected Financial Data</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7.</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41">
              <w:r>
                <w:rPr>
                  <w:rFonts w:ascii="Times New Roman" w:cs="Times New Roman" w:eastAsia="Times New Roman" w:hAnsi="Times New Roman"/>
                  <w:sz w:val="14"/>
                  <w:szCs w:val="14"/>
                  <w:u w:val="single" w:color="auto"/>
                  <w:color w:val="0000EE"/>
                </w:rPr>
                <w:t>Management’s Discussion and Analysis of Financial Condition and Results of Operations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7A.</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53">
              <w:r>
                <w:rPr>
                  <w:rFonts w:ascii="Times New Roman" w:cs="Times New Roman" w:eastAsia="Times New Roman" w:hAnsi="Times New Roman"/>
                  <w:sz w:val="14"/>
                  <w:szCs w:val="14"/>
                  <w:u w:val="single" w:color="auto"/>
                  <w:color w:val="0000EE"/>
                </w:rPr>
                <w:t>Quantitative and Qualitative Disclosures About Market Risk</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54">
              <w:r>
                <w:rPr>
                  <w:rFonts w:ascii="Times New Roman" w:cs="Times New Roman" w:eastAsia="Times New Roman" w:hAnsi="Times New Roman"/>
                  <w:sz w:val="14"/>
                  <w:szCs w:val="14"/>
                  <w:u w:val="single" w:color="auto"/>
                  <w:color w:val="0000EE"/>
                </w:rPr>
                <w:t>Consolidated Financial Statements and Supplementary Data</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54</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9.</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5">
              <w:r>
                <w:rPr>
                  <w:rFonts w:ascii="Times New Roman" w:cs="Times New Roman" w:eastAsia="Times New Roman" w:hAnsi="Times New Roman"/>
                  <w:sz w:val="14"/>
                  <w:szCs w:val="14"/>
                  <w:u w:val="single" w:color="auto"/>
                  <w:color w:val="0000EE"/>
                </w:rPr>
                <w:t>Changes in and Disagreements with Accountants on Accounting and Financial Disclosure</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85</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9A.</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5">
              <w:r>
                <w:rPr>
                  <w:rFonts w:ascii="Times New Roman" w:cs="Times New Roman" w:eastAsia="Times New Roman" w:hAnsi="Times New Roman"/>
                  <w:sz w:val="14"/>
                  <w:szCs w:val="14"/>
                  <w:u w:val="single" w:color="auto"/>
                  <w:color w:val="0000EE"/>
                </w:rPr>
                <w:t>Controls and Procedures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85</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9B.</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5">
              <w:r>
                <w:rPr>
                  <w:rFonts w:ascii="Times New Roman" w:cs="Times New Roman" w:eastAsia="Times New Roman" w:hAnsi="Times New Roman"/>
                  <w:sz w:val="14"/>
                  <w:szCs w:val="14"/>
                  <w:u w:val="single" w:color="auto"/>
                  <w:color w:val="0000EE"/>
                </w:rPr>
                <w:t>Other Information</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85</w:t>
            </w:r>
          </w:p>
        </w:tc>
      </w:tr>
      <w:tr>
        <w:trPr>
          <w:trHeight w:val="297"/>
        </w:trPr>
        <w:tc>
          <w:tcPr>
            <w:tcW w:w="880" w:type="dxa"/>
            <w:vAlign w:val="bottom"/>
          </w:tcPr>
          <w:p>
            <w:pPr>
              <w:spacing w:after="0"/>
              <w:rPr>
                <w:sz w:val="24"/>
                <w:szCs w:val="24"/>
                <w:color w:val="auto"/>
              </w:rPr>
            </w:pPr>
          </w:p>
        </w:tc>
        <w:tc>
          <w:tcPr>
            <w:tcW w:w="8420" w:type="dxa"/>
            <w:vAlign w:val="bottom"/>
          </w:tcPr>
          <w:p>
            <w:pPr>
              <w:jc w:val="center"/>
              <w:ind w:left="1008"/>
              <w:spacing w:after="0"/>
              <w:rPr>
                <w:rFonts w:ascii="Times New Roman" w:cs="Times New Roman" w:eastAsia="Times New Roman" w:hAnsi="Times New Roman"/>
                <w:sz w:val="14"/>
                <w:szCs w:val="14"/>
                <w:b w:val="1"/>
                <w:bCs w:val="1"/>
                <w:u w:val="single" w:color="auto"/>
                <w:color w:val="0000EE"/>
                <w:w w:val="99"/>
              </w:rPr>
            </w:pPr>
            <w:hyperlink w:anchor="page86">
              <w:r>
                <w:rPr>
                  <w:rFonts w:ascii="Times New Roman" w:cs="Times New Roman" w:eastAsia="Times New Roman" w:hAnsi="Times New Roman"/>
                  <w:sz w:val="14"/>
                  <w:szCs w:val="14"/>
                  <w:b w:val="1"/>
                  <w:bCs w:val="1"/>
                  <w:u w:val="single" w:color="auto"/>
                  <w:color w:val="0000EE"/>
                  <w:w w:val="99"/>
                </w:rPr>
                <w:t>PART III</w:t>
              </w:r>
            </w:hyperlink>
          </w:p>
        </w:tc>
        <w:tc>
          <w:tcPr>
            <w:tcW w:w="1960" w:type="dxa"/>
            <w:vAlign w:val="bottom"/>
          </w:tcPr>
          <w:p>
            <w:pPr>
              <w:spacing w:after="0"/>
              <w:rPr>
                <w:sz w:val="24"/>
                <w:szCs w:val="24"/>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10.</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6">
              <w:r>
                <w:rPr>
                  <w:rFonts w:ascii="Times New Roman" w:cs="Times New Roman" w:eastAsia="Times New Roman" w:hAnsi="Times New Roman"/>
                  <w:sz w:val="14"/>
                  <w:szCs w:val="14"/>
                  <w:u w:val="single" w:color="auto"/>
                  <w:color w:val="0000EE"/>
                </w:rPr>
                <w:t>Directors, Executive Officers and Corporate Governance</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86</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11.</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6">
              <w:r>
                <w:rPr>
                  <w:rFonts w:ascii="Times New Roman" w:cs="Times New Roman" w:eastAsia="Times New Roman" w:hAnsi="Times New Roman"/>
                  <w:sz w:val="14"/>
                  <w:szCs w:val="14"/>
                  <w:u w:val="single" w:color="auto"/>
                  <w:color w:val="0000EE"/>
                </w:rPr>
                <w:t>Executive Compensation</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86</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12.</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6">
              <w:r>
                <w:rPr>
                  <w:rFonts w:ascii="Times New Roman" w:cs="Times New Roman" w:eastAsia="Times New Roman" w:hAnsi="Times New Roman"/>
                  <w:sz w:val="14"/>
                  <w:szCs w:val="14"/>
                  <w:u w:val="single" w:color="auto"/>
                  <w:color w:val="0000EE"/>
                </w:rPr>
                <w:t>Security Ownership of Certain Beneficial Owners and Management and Related Stockholder Matters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86</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13.</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6">
              <w:r>
                <w:rPr>
                  <w:rFonts w:ascii="Times New Roman" w:cs="Times New Roman" w:eastAsia="Times New Roman" w:hAnsi="Times New Roman"/>
                  <w:sz w:val="14"/>
                  <w:szCs w:val="14"/>
                  <w:u w:val="single" w:color="auto"/>
                  <w:color w:val="0000EE"/>
                </w:rPr>
                <w:t>Certain Relationships and Related Transactions, and Director Independence</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86</w:t>
            </w: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14.</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6">
              <w:r>
                <w:rPr>
                  <w:rFonts w:ascii="Times New Roman" w:cs="Times New Roman" w:eastAsia="Times New Roman" w:hAnsi="Times New Roman"/>
                  <w:sz w:val="14"/>
                  <w:szCs w:val="14"/>
                  <w:u w:val="single" w:color="auto"/>
                  <w:color w:val="0000EE"/>
                </w:rPr>
                <w:t>Principal Accountant Fees and Services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86</w:t>
            </w:r>
          </w:p>
        </w:tc>
      </w:tr>
      <w:tr>
        <w:trPr>
          <w:trHeight w:val="297"/>
        </w:trPr>
        <w:tc>
          <w:tcPr>
            <w:tcW w:w="880" w:type="dxa"/>
            <w:vAlign w:val="bottom"/>
          </w:tcPr>
          <w:p>
            <w:pPr>
              <w:spacing w:after="0"/>
              <w:rPr>
                <w:sz w:val="24"/>
                <w:szCs w:val="24"/>
                <w:color w:val="auto"/>
              </w:rPr>
            </w:pPr>
          </w:p>
        </w:tc>
        <w:tc>
          <w:tcPr>
            <w:tcW w:w="8420" w:type="dxa"/>
            <w:vAlign w:val="bottom"/>
          </w:tcPr>
          <w:p>
            <w:pPr>
              <w:jc w:val="center"/>
              <w:ind w:left="1008"/>
              <w:spacing w:after="0"/>
              <w:rPr>
                <w:rFonts w:ascii="Times New Roman" w:cs="Times New Roman" w:eastAsia="Times New Roman" w:hAnsi="Times New Roman"/>
                <w:sz w:val="14"/>
                <w:szCs w:val="14"/>
                <w:b w:val="1"/>
                <w:bCs w:val="1"/>
                <w:u w:val="single" w:color="auto"/>
                <w:color w:val="0000EE"/>
              </w:rPr>
            </w:pPr>
            <w:hyperlink w:anchor="page87">
              <w:r>
                <w:rPr>
                  <w:rFonts w:ascii="Times New Roman" w:cs="Times New Roman" w:eastAsia="Times New Roman" w:hAnsi="Times New Roman"/>
                  <w:sz w:val="14"/>
                  <w:szCs w:val="14"/>
                  <w:b w:val="1"/>
                  <w:bCs w:val="1"/>
                  <w:u w:val="single" w:color="auto"/>
                  <w:color w:val="0000EE"/>
                </w:rPr>
                <w:t>PART IV</w:t>
              </w:r>
            </w:hyperlink>
          </w:p>
        </w:tc>
        <w:tc>
          <w:tcPr>
            <w:tcW w:w="1960" w:type="dxa"/>
            <w:vAlign w:val="bottom"/>
          </w:tcPr>
          <w:p>
            <w:pPr>
              <w:spacing w:after="0"/>
              <w:rPr>
                <w:sz w:val="24"/>
                <w:szCs w:val="24"/>
                <w:color w:val="auto"/>
              </w:rPr>
            </w:pPr>
          </w:p>
        </w:tc>
      </w:tr>
      <w:tr>
        <w:trPr>
          <w:trHeight w:val="297"/>
        </w:trPr>
        <w:tc>
          <w:tcPr>
            <w:tcW w:w="8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Item 15.</w:t>
            </w: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7">
              <w:r>
                <w:rPr>
                  <w:rFonts w:ascii="Times New Roman" w:cs="Times New Roman" w:eastAsia="Times New Roman" w:hAnsi="Times New Roman"/>
                  <w:sz w:val="14"/>
                  <w:szCs w:val="14"/>
                  <w:u w:val="single" w:color="auto"/>
                  <w:color w:val="0000EE"/>
                </w:rPr>
                <w:t>Exhibits and Financial Statement Schedules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87</w:t>
            </w:r>
          </w:p>
        </w:tc>
      </w:tr>
      <w:tr>
        <w:trPr>
          <w:trHeight w:val="297"/>
        </w:trPr>
        <w:tc>
          <w:tcPr>
            <w:tcW w:w="880" w:type="dxa"/>
            <w:vAlign w:val="bottom"/>
          </w:tcPr>
          <w:p>
            <w:pPr>
              <w:spacing w:after="0"/>
              <w:rPr>
                <w:sz w:val="24"/>
                <w:szCs w:val="24"/>
                <w:color w:val="auto"/>
              </w:rPr>
            </w:pPr>
          </w:p>
        </w:tc>
        <w:tc>
          <w:tcPr>
            <w:tcW w:w="8420" w:type="dxa"/>
            <w:vAlign w:val="bottom"/>
          </w:tcPr>
          <w:p>
            <w:pPr>
              <w:ind w:left="220"/>
              <w:spacing w:after="0"/>
              <w:rPr>
                <w:rFonts w:ascii="Times New Roman" w:cs="Times New Roman" w:eastAsia="Times New Roman" w:hAnsi="Times New Roman"/>
                <w:sz w:val="14"/>
                <w:szCs w:val="14"/>
                <w:u w:val="single" w:color="auto"/>
                <w:color w:val="0000EE"/>
              </w:rPr>
            </w:pPr>
            <w:hyperlink w:anchor="page89">
              <w:r>
                <w:rPr>
                  <w:rFonts w:ascii="Times New Roman" w:cs="Times New Roman" w:eastAsia="Times New Roman" w:hAnsi="Times New Roman"/>
                  <w:sz w:val="14"/>
                  <w:szCs w:val="14"/>
                  <w:u w:val="single" w:color="auto"/>
                  <w:color w:val="0000EE"/>
                </w:rPr>
                <w:t>Signatures</w:t>
              </w:r>
            </w:hyperlink>
          </w:p>
        </w:tc>
        <w:tc>
          <w:tcPr>
            <w:tcW w:w="19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89</w:t>
            </w:r>
          </w:p>
        </w:tc>
      </w:tr>
      <w:tr>
        <w:trPr>
          <w:trHeight w:val="1151"/>
        </w:trPr>
        <w:tc>
          <w:tcPr>
            <w:tcW w:w="88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02" w:right="3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34" w:lineRule="exact"/>
        <w:rPr>
          <w:sz w:val="20"/>
          <w:szCs w:val="20"/>
          <w:color w:val="auto"/>
        </w:rPr>
      </w:pPr>
    </w:p>
    <w:p>
      <w:pPr>
        <w:ind w:firstLine="438"/>
        <w:spacing w:after="0" w:line="239" w:lineRule="auto"/>
        <w:rPr>
          <w:sz w:val="20"/>
          <w:szCs w:val="20"/>
          <w:color w:val="auto"/>
        </w:rPr>
      </w:pPr>
      <w:r>
        <w:rPr>
          <w:rFonts w:ascii="Times New Roman" w:cs="Times New Roman" w:eastAsia="Times New Roman" w:hAnsi="Times New Roman"/>
          <w:sz w:val="14"/>
          <w:szCs w:val="14"/>
          <w:b w:val="1"/>
          <w:bCs w:val="1"/>
          <w:i w:val="1"/>
          <w:iCs w:val="1"/>
          <w:color w:val="auto"/>
        </w:rPr>
        <w:t>In this annual report on Form 10-K, or the Report, except where context suggest otherwise, the terms “Company,” “we,” “our” or “us” refer to PennantPark Investment Corporation and its consolidated subsidiaries; “PennantPark Investment” refers to only PennantPark Investment Corporation; “our SBIC Funds” refers collectively to our consolidated subsidiaries, PennantPark SBIC LP, or SBIC I, and its general partner, PennantPark SBIC GP, LLC, prior to dissolution and PennantPark SBIC II LP, or SBIC II, and its general partner, PennantPark SBIC GP II, LLC; “Funding I” refers to PennantPark Investment Funding I, LLC, a wholly-owned subsidiary prior to deconsolidation on July 31, 2020; “Taxable Subsidiaries” refers to PNNT Cascade Environmental Holdings, LLC, PNNT CI (Galls) Prime Investment Holdings, LLC, PNNT ecoserve, LLC, PNNT Investment Holdings, LLC and PNNT New Gulf Resources, LLC; “PSLF” refers to PennantPark Senior Loan Fund, LLC, an unconsolidated joint venture;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“BNP Credit Facility” refers to our revolving credit facility with BNP Paribas prior to deconsolidation of Funding I; “Truist Credit Facility” or “Credit Facility” refers to our multi-currency, senior secured revolving credit facility with Truist Bank (formerly SunTrust Bank), as amended and restated; “Credit Facilities” refers to the BNP Credit Facility and Truist Credit Facility collectively; “2019 Notes” refers to our 4.5% notes due 2019, which we redeemed in March 2019; “2024 Notes” refers to our 5.5% Notes due 2024; “2025 Notes” refers to our 6.25% senior notes due 2025, which we redeemed on June 29, 2017; “BDC” refers to a business development company under the Investment Company Act of 1940, as amended, or the “1940 Act”; “SBCAA” refers to the Small Business Credit Availability Act; “Code” refers to the Internal Revenue Code of 1986, as amended; and “RIC” refers to a regulated investment company under the Code. References to our portfolio, our investments and our business include investments we make through our SBIC Funds and other consolidated subsidiaries. Some of the statements in this annual report constitute forward-looking statements, which apply to us and relate to future events, future performance or future financial condition. The forward-looking statements involve risks and uncertainties for us and actual results could differ materially from those projected in the forward-looking statements for any reason, including those factors discussed in “Risk Factors” and elsewhere in this Report.</w:t>
      </w:r>
    </w:p>
    <w:p>
      <w:pPr>
        <w:spacing w:after="0" w:line="1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Investing in our common stock involves a high degree of risk. Some, but not all, of the risks and uncertainties that we face are related to:</w:t>
      </w:r>
    </w:p>
    <w:p>
      <w:pPr>
        <w:spacing w:after="0" w:line="136" w:lineRule="exact"/>
        <w:rPr>
          <w:sz w:val="20"/>
          <w:szCs w:val="20"/>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remain in compliance with the financial and operational covenants of our Credit Facility;</w:t>
      </w:r>
    </w:p>
    <w:p>
      <w:pPr>
        <w:spacing w:after="0" w:line="136"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operate in a highly competitive market for investment opportunities;</w:t>
      </w:r>
    </w:p>
    <w:p>
      <w:pPr>
        <w:spacing w:after="0" w:line="136" w:lineRule="exact"/>
        <w:rPr>
          <w:rFonts w:ascii="Times New Roman" w:cs="Times New Roman" w:eastAsia="Times New Roman" w:hAnsi="Times New Roman"/>
          <w:sz w:val="14"/>
          <w:szCs w:val="14"/>
          <w:color w:val="auto"/>
        </w:rPr>
      </w:pPr>
    </w:p>
    <w:p>
      <w:pPr>
        <w:ind w:left="740" w:right="120" w:hanging="368"/>
        <w:spacing w:after="0" w:line="261"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prospects of our portfolio companies and the ability of our portfolio companies to achieve their objectives, the decline or failure of which may result in our borrowers defaulting on their payments to us;</w:t>
      </w:r>
    </w:p>
    <w:p>
      <w:pPr>
        <w:spacing w:after="0" w:line="9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hire and retain qualified personnel, to monitor and administer our investments and to manage our future growth effectively;</w:t>
      </w:r>
    </w:p>
    <w:p>
      <w:pPr>
        <w:spacing w:after="0" w:line="136"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the interest rate environment, including the phasing out of LIBOR and the uncertainties associated therewith;</w:t>
      </w:r>
    </w:p>
    <w:p>
      <w:pPr>
        <w:spacing w:after="0" w:line="136" w:lineRule="exact"/>
        <w:rPr>
          <w:rFonts w:ascii="Times New Roman" w:cs="Times New Roman" w:eastAsia="Times New Roman" w:hAnsi="Times New Roman"/>
          <w:sz w:val="14"/>
          <w:szCs w:val="14"/>
          <w:color w:val="auto"/>
        </w:rPr>
      </w:pPr>
    </w:p>
    <w:p>
      <w:pPr>
        <w:ind w:left="740" w:right="100" w:hanging="368"/>
        <w:spacing w:after="0" w:line="261"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information systems, the failure of which could result in delays or other problems with our business activities, and the susceptibility of such systems to cybersecurity threats;</w:t>
      </w:r>
    </w:p>
    <w:p>
      <w:pPr>
        <w:spacing w:after="0" w:line="9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replicate historical performance of other investment companies and funds with which our professionals have been affiliated;</w:t>
      </w:r>
    </w:p>
    <w:p>
      <w:pPr>
        <w:spacing w:after="0" w:line="176" w:lineRule="exact"/>
        <w:rPr>
          <w:rFonts w:ascii="Times New Roman" w:cs="Times New Roman" w:eastAsia="Times New Roman" w:hAnsi="Times New Roman"/>
          <w:sz w:val="14"/>
          <w:szCs w:val="14"/>
          <w:color w:val="auto"/>
        </w:rPr>
      </w:pPr>
    </w:p>
    <w:p>
      <w:pPr>
        <w:ind w:left="740" w:right="140" w:hanging="368"/>
        <w:spacing w:after="0" w:line="180" w:lineRule="auto"/>
        <w:tabs>
          <w:tab w:leader="none" w:pos="740" w:val="left"/>
        </w:tabs>
        <w:numPr>
          <w:ilvl w:val="0"/>
          <w:numId w:val="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4"/>
          <w:szCs w:val="14"/>
          <w:color w:val="auto"/>
        </w:rPr>
        <w:t>our ability to raise additional capital while remaining in compliance with certain annual distribution, asset coverage, asset composition and other regulatory requirements needed to maintain our status as a BDC and a RIC;</w:t>
      </w:r>
    </w:p>
    <w:p>
      <w:pPr>
        <w:spacing w:after="0" w:line="110" w:lineRule="exact"/>
        <w:rPr>
          <w:rFonts w:ascii="Times New Roman" w:cs="Times New Roman" w:eastAsia="Times New Roman" w:hAnsi="Times New Roman"/>
          <w:sz w:val="28"/>
          <w:szCs w:val="28"/>
          <w:color w:val="auto"/>
          <w:vertAlign w:val="superscript"/>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applicable SBA requirements;</w:t>
      </w:r>
    </w:p>
    <w:p>
      <w:pPr>
        <w:spacing w:after="0" w:line="136" w:lineRule="exact"/>
        <w:rPr>
          <w:rFonts w:ascii="Times New Roman" w:cs="Times New Roman" w:eastAsia="Times New Roman" w:hAnsi="Times New Roman"/>
          <w:sz w:val="14"/>
          <w:szCs w:val="14"/>
          <w:color w:val="auto"/>
        </w:rPr>
      </w:pPr>
    </w:p>
    <w:p>
      <w:pPr>
        <w:ind w:left="740" w:right="140" w:hanging="368"/>
        <w:spacing w:after="0" w:line="261"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leverage to fund our investments, including the indebtedness resulting from our Credit Facility, 2024 Notes and SBA Debentures, and the risk that we may fail to comply with the terms governing such indebtedness or maintain certain asset coverage ratio requirements;</w:t>
      </w:r>
    </w:p>
    <w:p>
      <w:pPr>
        <w:spacing w:after="0" w:line="9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issuance of debt securities and/or preferred stock and the impact of such issuances on the value of our common stock or NAV;</w:t>
      </w:r>
    </w:p>
    <w:p>
      <w:pPr>
        <w:spacing w:after="0" w:line="136"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that may make it difficult for us to refinance or extend the maturity of our existing indebtedness;</w:t>
      </w:r>
    </w:p>
    <w:p>
      <w:pPr>
        <w:spacing w:after="0" w:line="136"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conflicts of interest of our Investment Adviser and Administrator;</w:t>
      </w:r>
    </w:p>
    <w:p>
      <w:pPr>
        <w:spacing w:after="0" w:line="136"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dilution caused by any future issuances of subscription rights or warrants;</w:t>
      </w:r>
    </w:p>
    <w:p>
      <w:pPr>
        <w:spacing w:after="0" w:line="136" w:lineRule="exact"/>
        <w:rPr>
          <w:rFonts w:ascii="Times New Roman" w:cs="Times New Roman" w:eastAsia="Times New Roman" w:hAnsi="Times New Roman"/>
          <w:sz w:val="14"/>
          <w:szCs w:val="14"/>
          <w:color w:val="auto"/>
        </w:rPr>
      </w:pPr>
    </w:p>
    <w:p>
      <w:pPr>
        <w:ind w:left="740" w:right="460" w:hanging="368"/>
        <w:spacing w:after="0" w:line="261"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recent financial reform legislation, uncertainty about presidential administration initiatives and any future laws and regulations on our business and our portfolio companies;</w:t>
      </w:r>
    </w:p>
    <w:p>
      <w:pPr>
        <w:spacing w:after="0" w:line="95" w:lineRule="exact"/>
        <w:rPr>
          <w:rFonts w:ascii="Times New Roman" w:cs="Times New Roman" w:eastAsia="Times New Roman" w:hAnsi="Times New Roman"/>
          <w:sz w:val="14"/>
          <w:szCs w:val="14"/>
          <w:color w:val="auto"/>
        </w:rPr>
      </w:pPr>
    </w:p>
    <w:p>
      <w:pPr>
        <w:ind w:left="740" w:right="280" w:hanging="368"/>
        <w:spacing w:after="0" w:line="261"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objectives and decisions advanced by the board of directors or the Investment Adviser which are not subject to stockholder approval and potential activism by our shareholders;</w:t>
      </w:r>
    </w:p>
    <w:p>
      <w:pPr>
        <w:spacing w:after="0" w:line="9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illiquid nature of the assets in which we invest and our valuation procedures with respect to such assets;</w:t>
      </w:r>
    </w:p>
    <w:p>
      <w:pPr>
        <w:spacing w:after="0" w:line="136" w:lineRule="exact"/>
        <w:rPr>
          <w:rFonts w:ascii="Times New Roman" w:cs="Times New Roman" w:eastAsia="Times New Roman" w:hAnsi="Times New Roman"/>
          <w:sz w:val="14"/>
          <w:szCs w:val="14"/>
          <w:color w:val="auto"/>
        </w:rPr>
      </w:pPr>
    </w:p>
    <w:p>
      <w:pPr>
        <w:ind w:left="740" w:right="100" w:hanging="368"/>
        <w:spacing w:after="0" w:line="261"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investments in first lien secured debt, second lien secured debt, subordinated debt and the equity of certain portfolio companies, and the risks of making such investments in privately held middle-market companies;</w:t>
      </w:r>
    </w:p>
    <w:p>
      <w:pPr>
        <w:spacing w:after="0" w:line="95" w:lineRule="exact"/>
        <w:rPr>
          <w:rFonts w:ascii="Times New Roman" w:cs="Times New Roman" w:eastAsia="Times New Roman" w:hAnsi="Times New Roman"/>
          <w:sz w:val="14"/>
          <w:szCs w:val="14"/>
          <w:color w:val="auto"/>
        </w:rPr>
      </w:pPr>
    </w:p>
    <w:p>
      <w:pPr>
        <w:ind w:left="740" w:right="460" w:hanging="368"/>
        <w:spacing w:after="0" w:line="261"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Adviser’s incentive to make speculative investments to earn a greater incentive fee and, in some instances, our obligation to pay incentive compensation to our Investment Adviser even after we incur a loss;</w:t>
      </w:r>
    </w:p>
    <w:p>
      <w:pPr>
        <w:spacing w:after="0" w:line="9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dilution of our common stock which may result from issuances of our common stock below the then current NAV per share;</w:t>
      </w:r>
    </w:p>
    <w:p>
      <w:pPr>
        <w:spacing w:after="0" w:line="136" w:lineRule="exact"/>
        <w:rPr>
          <w:rFonts w:ascii="Times New Roman" w:cs="Times New Roman" w:eastAsia="Times New Roman" w:hAnsi="Times New Roman"/>
          <w:sz w:val="14"/>
          <w:szCs w:val="14"/>
          <w:color w:val="auto"/>
        </w:rPr>
      </w:pPr>
    </w:p>
    <w:p>
      <w:pPr>
        <w:ind w:left="740" w:right="400" w:hanging="368"/>
        <w:spacing w:after="0" w:line="261" w:lineRule="auto"/>
        <w:tabs>
          <w:tab w:leader="none" w:pos="7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allocation of net proceeds from offering in ways which you may not agree and our inability to invest proceeds from offerings in new investment opportunities, which could negatively affect our financial performance;</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8" w:right="359" w:bottom="1440" w:gutter="0" w:footer="0" w:header="0"/>
        </w:sectPr>
      </w:pPr>
    </w:p>
    <w:bookmarkStart w:id="3" w:name="page4"/>
    <w:bookmarkEnd w:id="3"/>
    <w:p>
      <w:pPr>
        <w:ind w:left="740" w:hanging="368"/>
        <w:spacing w:after="0"/>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liabilities resulting from reinvestments in our common stock or from receiving our stock as a distribution;</w:t>
      </w:r>
    </w:p>
    <w:p>
      <w:pPr>
        <w:spacing w:after="0" w:line="136"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measures we have taken to deter takeover attempts, which may adversely impact the price of our common stock;</w:t>
      </w:r>
    </w:p>
    <w:p>
      <w:pPr>
        <w:spacing w:after="0" w:line="136" w:lineRule="exact"/>
        <w:rPr>
          <w:rFonts w:ascii="Times New Roman" w:cs="Times New Roman" w:eastAsia="Times New Roman" w:hAnsi="Times New Roman"/>
          <w:sz w:val="14"/>
          <w:szCs w:val="14"/>
          <w:color w:val="auto"/>
        </w:rPr>
      </w:pPr>
    </w:p>
    <w:p>
      <w:pPr>
        <w:ind w:left="740" w:right="80" w:hanging="368"/>
        <w:spacing w:after="0" w:line="261" w:lineRule="auto"/>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political, economic or industry conditions or conditions affecting the financial and capital markets, including changes caused by the COVID-19 pandemic and Brexit, that could cause volatility or prolonged disruption of the capital markets and impact the value of our assets;</w:t>
      </w:r>
    </w:p>
    <w:p>
      <w:pPr>
        <w:spacing w:after="0" w:line="9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COVID-19 pandemic and its effect on our results of operations and the operations of our portfolio companies;</w:t>
      </w:r>
    </w:p>
    <w:p>
      <w:pPr>
        <w:spacing w:after="0" w:line="136" w:lineRule="exact"/>
        <w:rPr>
          <w:rFonts w:ascii="Times New Roman" w:cs="Times New Roman" w:eastAsia="Times New Roman" w:hAnsi="Times New Roman"/>
          <w:sz w:val="14"/>
          <w:szCs w:val="14"/>
          <w:color w:val="auto"/>
        </w:rPr>
      </w:pPr>
    </w:p>
    <w:p>
      <w:pPr>
        <w:ind w:left="740" w:right="280" w:hanging="368"/>
        <w:spacing w:after="0" w:line="261" w:lineRule="auto"/>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economic sanction laws in the United States and other jurisdictions which may prohibit us and our affiliates from transacting with certain countries, individuals and companies;</w:t>
      </w:r>
    </w:p>
    <w:p>
      <w:pPr>
        <w:spacing w:after="0" w:line="95"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litigation, whether initiated by shareholders or other parties; and</w:t>
      </w:r>
    </w:p>
    <w:p>
      <w:pPr>
        <w:spacing w:after="0" w:line="136" w:lineRule="exact"/>
        <w:rPr>
          <w:rFonts w:ascii="Times New Roman" w:cs="Times New Roman" w:eastAsia="Times New Roman" w:hAnsi="Times New Roman"/>
          <w:sz w:val="14"/>
          <w:szCs w:val="14"/>
          <w:color w:val="auto"/>
        </w:rPr>
      </w:pPr>
    </w:p>
    <w:p>
      <w:pPr>
        <w:ind w:left="740" w:hanging="368"/>
        <w:spacing w:after="0"/>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global climate change on the operations of our portfolio companies.</w:t>
      </w:r>
    </w:p>
    <w:p>
      <w:pPr>
        <w:spacing w:after="0" w:line="136" w:lineRule="exact"/>
        <w:rPr>
          <w:sz w:val="20"/>
          <w:szCs w:val="20"/>
          <w:color w:val="auto"/>
        </w:rPr>
      </w:pPr>
    </w:p>
    <w:p>
      <w:pPr>
        <w:ind w:right="180" w:firstLine="729"/>
        <w:spacing w:after="0" w:line="261" w:lineRule="auto"/>
        <w:rPr>
          <w:sz w:val="20"/>
          <w:szCs w:val="20"/>
          <w:color w:val="auto"/>
        </w:rPr>
      </w:pPr>
      <w:r>
        <w:rPr>
          <w:rFonts w:ascii="Times New Roman" w:cs="Times New Roman" w:eastAsia="Times New Roman" w:hAnsi="Times New Roman"/>
          <w:sz w:val="14"/>
          <w:szCs w:val="14"/>
          <w:color w:val="auto"/>
        </w:rPr>
        <w:t>Additional risks and uncertainties not currently known to us or that we currently deem to be immaterial may also have a material adverse effect on our business, financial condition and/or operating results. For a more detailed discussion of the risks that you should consider prior to investing in our securities, see Item “1A. Risk Factors” below.</w:t>
      </w:r>
    </w:p>
    <w:p>
      <w:pPr>
        <w:spacing w:after="0" w:line="9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Business of PennantPark Investment Corporation</w:t>
      </w:r>
    </w:p>
    <w:p>
      <w:pPr>
        <w:spacing w:after="0" w:line="127" w:lineRule="exact"/>
        <w:rPr>
          <w:sz w:val="20"/>
          <w:szCs w:val="20"/>
          <w:color w:val="auto"/>
        </w:rPr>
      </w:pPr>
    </w:p>
    <w:p>
      <w:pPr>
        <w:ind w:right="260" w:firstLine="438"/>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95"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We believe U.S.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3" w:lineRule="exact"/>
        <w:rPr>
          <w:sz w:val="20"/>
          <w:szCs w:val="20"/>
          <w:color w:val="auto"/>
        </w:rPr>
      </w:pPr>
    </w:p>
    <w:p>
      <w:pPr>
        <w:ind w:right="200" w:firstLine="438"/>
        <w:spacing w:after="0" w:line="24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Investment Corporation</w:t>
      </w:r>
    </w:p>
    <w:p>
      <w:pPr>
        <w:spacing w:after="0" w:line="140"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SBIC II, our wholly-owned subsidiary, was organized in Delaware as a limited partnership in July 2012. SBIC II received a license from the SBA to operate as a SBIC under</w:t>
      </w:r>
    </w:p>
    <w:p>
      <w:pPr>
        <w:spacing w:after="0" w:line="226" w:lineRule="auto"/>
        <w:rPr>
          <w:sz w:val="20"/>
          <w:szCs w:val="20"/>
          <w:color w:val="auto"/>
        </w:rPr>
      </w:pPr>
      <w:r>
        <w:rPr>
          <w:rFonts w:ascii="Times New Roman" w:cs="Times New Roman" w:eastAsia="Times New Roman" w:hAnsi="Times New Roman"/>
          <w:sz w:val="14"/>
          <w:szCs w:val="14"/>
          <w:color w:val="auto"/>
        </w:rPr>
        <w:t>Section 301(c) of the 1958 Act in 2013. SBIC II’s objectives are to generate both current income and capital appreciation through debt and equity investments generally by investing with us in</w:t>
      </w:r>
    </w:p>
    <w:p>
      <w:pPr>
        <w:spacing w:after="0"/>
        <w:rPr>
          <w:sz w:val="20"/>
          <w:szCs w:val="20"/>
          <w:color w:val="auto"/>
        </w:rPr>
      </w:pPr>
      <w:r>
        <w:rPr>
          <w:rFonts w:ascii="Times New Roman" w:cs="Times New Roman" w:eastAsia="Times New Roman" w:hAnsi="Times New Roman"/>
          <w:sz w:val="14"/>
          <w:szCs w:val="14"/>
          <w:color w:val="auto"/>
        </w:rPr>
        <w:t>SBA-eligible businesses that meet the investment selection criteria used by PennantPark Investment. During the year ended September 30, 2019, we liquidated and dissolved SBIC I.</w:t>
      </w:r>
    </w:p>
    <w:p>
      <w:pPr>
        <w:spacing w:after="0" w:line="120" w:lineRule="exact"/>
        <w:rPr>
          <w:sz w:val="20"/>
          <w:szCs w:val="20"/>
          <w:color w:val="auto"/>
        </w:rPr>
      </w:pPr>
    </w:p>
    <w:p>
      <w:pPr>
        <w:ind w:right="40" w:firstLine="438"/>
        <w:spacing w:after="0" w:line="233" w:lineRule="auto"/>
        <w:rPr>
          <w:sz w:val="20"/>
          <w:szCs w:val="20"/>
          <w:color w:val="auto"/>
        </w:rPr>
      </w:pPr>
      <w:r>
        <w:rPr>
          <w:rFonts w:ascii="Times New Roman" w:cs="Times New Roman" w:eastAsia="Times New Roman" w:hAnsi="Times New Roman"/>
          <w:sz w:val="14"/>
          <w:szCs w:val="14"/>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did not increase our consolidated management fee. The BNP Credit Facility allows Funding I to borrow up to $250 million at LIBOR (or an alternative risk-free floating interest rate index) plus 260 basis points during the reinvestment period. The BNP Credit Facility is secured by all of the assets held by Funding I. Funding I is no longer a subsidiary of PennantPark Investment as result of the joint venture described below.</w:t>
      </w:r>
    </w:p>
    <w:p>
      <w:pPr>
        <w:spacing w:after="0" w:line="110" w:lineRule="exact"/>
        <w:rPr>
          <w:sz w:val="20"/>
          <w:szCs w:val="20"/>
          <w:color w:val="auto"/>
        </w:rPr>
      </w:pPr>
    </w:p>
    <w:p>
      <w:pPr>
        <w:ind w:right="240" w:firstLine="438"/>
        <w:spacing w:after="0" w:line="236" w:lineRule="auto"/>
        <w:rPr>
          <w:sz w:val="20"/>
          <w:szCs w:val="20"/>
          <w:color w:val="auto"/>
        </w:rPr>
      </w:pPr>
      <w:r>
        <w:rPr>
          <w:rFonts w:ascii="Times New Roman" w:cs="Times New Roman" w:eastAsia="Times New Roman" w:hAnsi="Times New Roman"/>
          <w:sz w:val="14"/>
          <w:szCs w:val="14"/>
          <w:color w:val="auto"/>
        </w:rPr>
        <w:t>On July 31, 2020, we and certain entities and managed accounts of the private credit investment manager of Pantheon Ventures (UK) LLP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Investment Adviser and Administrator</w:t>
      </w:r>
    </w:p>
    <w:p>
      <w:pPr>
        <w:spacing w:after="0" w:line="140" w:lineRule="exact"/>
        <w:rPr>
          <w:sz w:val="20"/>
          <w:szCs w:val="20"/>
          <w:color w:val="auto"/>
        </w:rPr>
      </w:pPr>
    </w:p>
    <w:p>
      <w:pPr>
        <w:ind w:right="20" w:firstLine="438"/>
        <w:spacing w:after="0" w:line="229" w:lineRule="auto"/>
        <w:rPr>
          <w:sz w:val="20"/>
          <w:szCs w:val="20"/>
          <w:color w:val="auto"/>
        </w:rPr>
      </w:pPr>
      <w:r>
        <w:rPr>
          <w:rFonts w:ascii="Times New Roman" w:cs="Times New Roman" w:eastAsia="Times New Roman" w:hAnsi="Times New Roman"/>
          <w:sz w:val="14"/>
          <w:szCs w:val="14"/>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through its managed funds $11.5 billion in 547 companies with more than 190 different financial sponsors.</w:t>
      </w:r>
    </w:p>
    <w:p>
      <w:pPr>
        <w:spacing w:after="0" w:line="113"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Securities and Exchange Commission, or the SEC, and the SBA. The Administrator assists in the determination and publication of our</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jc w:val="both"/>
        <w:ind w:right="200"/>
        <w:spacing w:after="0" w:line="241" w:lineRule="auto"/>
        <w:rPr>
          <w:sz w:val="20"/>
          <w:szCs w:val="20"/>
          <w:color w:val="auto"/>
        </w:rPr>
      </w:pPr>
      <w:r>
        <w:rPr>
          <w:rFonts w:ascii="Times New Roman" w:cs="Times New Roman" w:eastAsia="Times New Roman" w:hAnsi="Times New Roman"/>
          <w:sz w:val="14"/>
          <w:szCs w:val="14"/>
          <w:color w:val="auto"/>
        </w:rPr>
        <w:t>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Opportunity</w:t>
      </w:r>
    </w:p>
    <w:p>
      <w:pPr>
        <w:spacing w:after="0" w:line="140" w:lineRule="exact"/>
        <w:rPr>
          <w:sz w:val="20"/>
          <w:szCs w:val="20"/>
          <w:color w:val="auto"/>
        </w:rPr>
      </w:pPr>
    </w:p>
    <w:p>
      <w:pPr>
        <w:ind w:right="460" w:firstLine="438"/>
        <w:spacing w:after="0" w:line="261" w:lineRule="auto"/>
        <w:rPr>
          <w:sz w:val="20"/>
          <w:szCs w:val="20"/>
          <w:color w:val="auto"/>
        </w:rPr>
      </w:pPr>
      <w:r>
        <w:rPr>
          <w:rFonts w:ascii="Times New Roman" w:cs="Times New Roman" w:eastAsia="Times New Roman" w:hAnsi="Times New Roman"/>
          <w:sz w:val="14"/>
          <w:szCs w:val="14"/>
          <w:color w:val="auto"/>
        </w:rPr>
        <w:t>We believe that the limited amount of capital available to middle-market companies, coupled with the desire of these companies for flexible sources of capital, creates an attractive investment environment for us.</w:t>
      </w:r>
    </w:p>
    <w:p>
      <w:pPr>
        <w:spacing w:after="0" w:line="93" w:lineRule="exact"/>
        <w:rPr>
          <w:sz w:val="20"/>
          <w:szCs w:val="20"/>
          <w:color w:val="auto"/>
        </w:rPr>
      </w:pPr>
    </w:p>
    <w:p>
      <w:pPr>
        <w:ind w:left="920" w:hanging="359"/>
        <w:spacing w:after="0" w:line="264"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middle-market companies have faced difficulty raising debt in private markets. </w:t>
      </w:r>
      <w:r>
        <w:rPr>
          <w:rFonts w:ascii="Times New Roman" w:cs="Times New Roman" w:eastAsia="Times New Roman" w:hAnsi="Times New Roman"/>
          <w:sz w:val="14"/>
          <w:szCs w:val="14"/>
          <w:color w:val="auto"/>
        </w:rPr>
        <w:t>From time to time, banks, finance companies, hedge funds and collateralized loan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obligation, or CLO, funds have withdrawn, and may again withdraw, capital from the middle-market, resulting in opportunities for alternative funding sources.</w:t>
      </w:r>
    </w:p>
    <w:p>
      <w:pPr>
        <w:spacing w:after="0" w:line="91" w:lineRule="exact"/>
        <w:rPr>
          <w:rFonts w:ascii="Times New Roman" w:cs="Times New Roman" w:eastAsia="Times New Roman" w:hAnsi="Times New Roman"/>
          <w:sz w:val="14"/>
          <w:szCs w:val="14"/>
          <w:color w:val="auto"/>
        </w:rPr>
      </w:pPr>
    </w:p>
    <w:p>
      <w:pPr>
        <w:ind w:left="920" w:right="40" w:hanging="359"/>
        <w:spacing w:after="0" w:line="243"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middle-market companies have faced difficulty in raising debt through the capital markets. </w:t>
      </w:r>
      <w:r>
        <w:rPr>
          <w:rFonts w:ascii="Times New Roman" w:cs="Times New Roman" w:eastAsia="Times New Roman" w:hAnsi="Times New Roman"/>
          <w:sz w:val="14"/>
          <w:szCs w:val="14"/>
          <w:color w:val="auto"/>
        </w:rPr>
        <w:t>Many middle-market companies look to raise funds by issuing high-yield bonds and broadly syndicated loans. We believe this approach to financing becomes difficult at times when institutional investors seek to invest in larger, more liquid offerings. We believe this has made it harder for middle-market companies to raise funds by issuing high-yield securities from time to time.</w:t>
      </w:r>
    </w:p>
    <w:p>
      <w:pPr>
        <w:spacing w:after="0" w:line="105" w:lineRule="exact"/>
        <w:rPr>
          <w:rFonts w:ascii="Times New Roman" w:cs="Times New Roman" w:eastAsia="Times New Roman" w:hAnsi="Times New Roman"/>
          <w:sz w:val="14"/>
          <w:szCs w:val="14"/>
          <w:color w:val="auto"/>
        </w:rPr>
      </w:pPr>
    </w:p>
    <w:p>
      <w:pPr>
        <w:ind w:left="920" w:right="20" w:hanging="359"/>
        <w:spacing w:after="0" w:line="243"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that credit market dislocation for middle-market companies improves the risk-reward on our investments. </w:t>
      </w:r>
      <w:r>
        <w:rPr>
          <w:rFonts w:ascii="Times New Roman" w:cs="Times New Roman" w:eastAsia="Times New Roman" w:hAnsi="Times New Roman"/>
          <w:sz w:val="14"/>
          <w:szCs w:val="14"/>
          <w:color w:val="auto"/>
        </w:rPr>
        <w:t>From time to time, market participants have reduced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lending to middle-market and non-investment grade borrowers. As a result, we believe there is less competition in our market, more conservative capital structures, higher yields and stronger covenants.</w:t>
      </w:r>
    </w:p>
    <w:p>
      <w:pPr>
        <w:spacing w:after="0" w:line="105" w:lineRule="exact"/>
        <w:rPr>
          <w:rFonts w:ascii="Times New Roman" w:cs="Times New Roman" w:eastAsia="Times New Roman" w:hAnsi="Times New Roman"/>
          <w:sz w:val="14"/>
          <w:szCs w:val="14"/>
          <w:color w:val="auto"/>
        </w:rPr>
      </w:pPr>
    </w:p>
    <w:p>
      <w:pPr>
        <w:ind w:left="920" w:right="140" w:hanging="359"/>
        <w:spacing w:after="0" w:line="243"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there is a large pool of uninvested private equity capital likely to seek to combine their capital with sources of debt capital to complete private investments. </w:t>
      </w:r>
      <w:r>
        <w:rPr>
          <w:rFonts w:ascii="Times New Roman" w:cs="Times New Roman" w:eastAsia="Times New Roman" w:hAnsi="Times New Roman"/>
          <w:sz w:val="14"/>
          <w:szCs w:val="14"/>
          <w:color w:val="auto"/>
        </w:rPr>
        <w:t>We expect that private equity firms will continue to be active investors in middle-market companies. These private equity funds generally seek to leverage their investments by combining their capital with loans provided by other sources, and we believe that we are well-positioned to partner with such equity investors.</w:t>
      </w:r>
    </w:p>
    <w:p>
      <w:pPr>
        <w:spacing w:after="0" w:line="105" w:lineRule="exact"/>
        <w:rPr>
          <w:rFonts w:ascii="Times New Roman" w:cs="Times New Roman" w:eastAsia="Times New Roman" w:hAnsi="Times New Roman"/>
          <w:sz w:val="14"/>
          <w:szCs w:val="14"/>
          <w:color w:val="auto"/>
        </w:rPr>
      </w:pPr>
    </w:p>
    <w:p>
      <w:pPr>
        <w:ind w:left="920" w:right="240" w:hanging="359"/>
        <w:spacing w:after="0" w:line="233" w:lineRule="auto"/>
        <w:tabs>
          <w:tab w:leader="none" w:pos="9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We believe there is substantial supply of opportunities resulting from maturing loans that seek refinancing. </w:t>
      </w:r>
      <w:r>
        <w:rPr>
          <w:rFonts w:ascii="Times New Roman" w:cs="Times New Roman" w:eastAsia="Times New Roman" w:hAnsi="Times New Roman"/>
          <w:sz w:val="14"/>
          <w:szCs w:val="14"/>
          <w:color w:val="auto"/>
        </w:rPr>
        <w:t>A high volume of financings will come due in the next few</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years. Additionally, we 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from time to time, the reduced supply of credit described above should increase lending opportunities for us. We believe this supply of opportunities coupled with a lack of demand offers attractive risk-reward to investors.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Competitive Advantages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believe that we have the following competitive advantages over other capital providers to middle-market companies:</w:t>
      </w:r>
    </w:p>
    <w:p>
      <w:pPr>
        <w:spacing w:after="0" w:line="132" w:lineRule="exact"/>
        <w:rPr>
          <w:sz w:val="20"/>
          <w:szCs w:val="20"/>
          <w:color w:val="auto"/>
        </w:rPr>
      </w:pPr>
    </w:p>
    <w:p>
      <w:pPr>
        <w:ind w:left="920" w:hanging="359"/>
        <w:spacing w:after="0"/>
        <w:tabs>
          <w:tab w:leader="none" w:pos="920" w:val="left"/>
        </w:tabs>
        <w:numPr>
          <w:ilvl w:val="0"/>
          <w:numId w:val="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Experienced Management Team</w:t>
      </w:r>
    </w:p>
    <w:p>
      <w:pPr>
        <w:spacing w:after="0" w:line="140" w:lineRule="exact"/>
        <w:rPr>
          <w:sz w:val="20"/>
          <w:szCs w:val="20"/>
          <w:color w:val="auto"/>
        </w:rPr>
      </w:pPr>
    </w:p>
    <w:p>
      <w:pPr>
        <w:ind w:right="340" w:firstLine="438"/>
        <w:spacing w:after="0" w:line="236" w:lineRule="auto"/>
        <w:rPr>
          <w:sz w:val="20"/>
          <w:szCs w:val="20"/>
          <w:color w:val="auto"/>
        </w:rPr>
      </w:pPr>
      <w:r>
        <w:rPr>
          <w:rFonts w:ascii="Times New Roman" w:cs="Times New Roman" w:eastAsia="Times New Roman" w:hAnsi="Times New Roman"/>
          <w:sz w:val="14"/>
          <w:szCs w:val="14"/>
          <w:color w:val="auto"/>
        </w:rPr>
        <w:t>The senior investment professionals of our Investment Adviser have worked together for many years and average over 25 years of experience in senior lending, mezzanine lending, leveraged finance, distressed debt and private equity businesses. These senior investment professionals have been involved in originating, structuring, negotiating, managing and monitoring investments in each of these businesses across changing economic and market cycles. We believe this extensive experience and history have resulted in a strong reputation across the capital markets.</w:t>
      </w:r>
    </w:p>
    <w:p>
      <w:pPr>
        <w:spacing w:after="0" w:line="109" w:lineRule="exact"/>
        <w:rPr>
          <w:sz w:val="20"/>
          <w:szCs w:val="20"/>
          <w:color w:val="auto"/>
        </w:rPr>
      </w:pPr>
    </w:p>
    <w:p>
      <w:pPr>
        <w:ind w:right="220" w:firstLine="438"/>
        <w:spacing w:after="0" w:line="236" w:lineRule="auto"/>
        <w:rPr>
          <w:sz w:val="20"/>
          <w:szCs w:val="20"/>
          <w:color w:val="auto"/>
        </w:rPr>
      </w:pPr>
      <w:r>
        <w:rPr>
          <w:rFonts w:ascii="Times New Roman" w:cs="Times New Roman" w:eastAsia="Times New Roman" w:hAnsi="Times New Roman"/>
          <w:sz w:val="14"/>
          <w:szCs w:val="14"/>
          <w:color w:val="auto"/>
        </w:rPr>
        <w:t>Lending to middle-market companies requires in-depth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We are able to provide value-added customized financial solutions to middle-market companies as a result of specialized due diligence, underwriting capabilities and more extensive ongoing monitoring required as lenders.</w:t>
      </w:r>
    </w:p>
    <w:p>
      <w:pPr>
        <w:spacing w:after="0" w:line="92" w:lineRule="exact"/>
        <w:rPr>
          <w:sz w:val="20"/>
          <w:szCs w:val="20"/>
          <w:color w:val="auto"/>
        </w:rPr>
      </w:pPr>
    </w:p>
    <w:p>
      <w:pPr>
        <w:ind w:left="920" w:hanging="359"/>
        <w:spacing w:after="0"/>
        <w:tabs>
          <w:tab w:leader="none" w:pos="920" w:val="left"/>
        </w:tabs>
        <w:numPr>
          <w:ilvl w:val="0"/>
          <w:numId w:val="7"/>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Disciplined Investment Approach with Strong Value Orientation</w:t>
      </w:r>
    </w:p>
    <w:p>
      <w:pPr>
        <w:spacing w:after="0" w:line="140" w:lineRule="exact"/>
        <w:rPr>
          <w:sz w:val="20"/>
          <w:szCs w:val="20"/>
          <w:color w:val="auto"/>
        </w:rPr>
      </w:pPr>
    </w:p>
    <w:p>
      <w:pPr>
        <w:ind w:right="120" w:firstLine="438"/>
        <w:spacing w:after="0" w:line="236" w:lineRule="auto"/>
        <w:rPr>
          <w:sz w:val="20"/>
          <w:szCs w:val="20"/>
          <w:color w:val="auto"/>
        </w:rPr>
      </w:pPr>
      <w:r>
        <w:rPr>
          <w:rFonts w:ascii="Times New Roman" w:cs="Times New Roman" w:eastAsia="Times New Roman" w:hAnsi="Times New Roman"/>
          <w:sz w:val="14"/>
          <w:szCs w:val="14"/>
          <w:color w:val="auto"/>
        </w:rPr>
        <w:t>We employ a disciplined approach in selecting investments that meet the long-standing, consistent value-oriented investment selection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109" w:lineRule="exact"/>
        <w:rPr>
          <w:sz w:val="20"/>
          <w:szCs w:val="20"/>
          <w:color w:val="auto"/>
        </w:rPr>
      </w:pPr>
    </w:p>
    <w:p>
      <w:pPr>
        <w:ind w:right="280" w:firstLine="438"/>
        <w:spacing w:after="0" w:line="241" w:lineRule="auto"/>
        <w:rPr>
          <w:sz w:val="20"/>
          <w:szCs w:val="20"/>
          <w:color w:val="auto"/>
        </w:rPr>
      </w:pPr>
      <w:r>
        <w:rPr>
          <w:rFonts w:ascii="Times New Roman" w:cs="Times New Roman" w:eastAsia="Times New Roman" w:hAnsi="Times New Roman"/>
          <w:sz w:val="14"/>
          <w:szCs w:val="14"/>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Selection Criteria” for more information.</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 addition to engaging in extensive due diligence, our Investment Adviser seeks to reduce risk by focusing on businesses with:</w:t>
      </w:r>
    </w:p>
    <w:p>
      <w:pPr>
        <w:spacing w:after="0" w:line="123" w:lineRule="exact"/>
        <w:rPr>
          <w:sz w:val="20"/>
          <w:szCs w:val="20"/>
          <w:color w:val="auto"/>
        </w:rPr>
      </w:pPr>
    </w:p>
    <w:p>
      <w:pPr>
        <w:ind w:left="920" w:hanging="359"/>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strong competitive positions;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positive cash flow that is steady and stable;</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experienced management teams with strong track records;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for growth and viable exit strategies;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structures offering appropriate risk-adjusted terms and covenants.</w:t>
      </w:r>
    </w:p>
    <w:p>
      <w:pPr>
        <w:spacing w:after="0" w:line="132" w:lineRule="exact"/>
        <w:rPr>
          <w:sz w:val="20"/>
          <w:szCs w:val="20"/>
          <w:color w:val="auto"/>
        </w:rPr>
      </w:pPr>
    </w:p>
    <w:p>
      <w:pPr>
        <w:ind w:left="920" w:hanging="359"/>
        <w:spacing w:after="0"/>
        <w:tabs>
          <w:tab w:leader="none" w:pos="920" w:val="left"/>
        </w:tabs>
        <w:numPr>
          <w:ilvl w:val="0"/>
          <w:numId w:val="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Ability to Source and Evaluate Transactions through our Investment Adviser’s Proactive, Research Capability and Established Network</w:t>
      </w:r>
    </w:p>
    <w:p>
      <w:pPr>
        <w:spacing w:after="0" w:line="140"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The management team of our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5" w:name="page6"/>
    <w:bookmarkEnd w:id="5"/>
    <w:p>
      <w:pPr>
        <w:ind w:left="920" w:hanging="359"/>
        <w:spacing w:after="0"/>
        <w:tabs>
          <w:tab w:leader="none" w:pos="920" w:val="left"/>
        </w:tabs>
        <w:numPr>
          <w:ilvl w:val="0"/>
          <w:numId w:val="1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Flexible Transaction Structuring</w:t>
      </w:r>
    </w:p>
    <w:p>
      <w:pPr>
        <w:spacing w:after="0" w:line="140"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We are flexible in structuring investments and tailor investments to meet the needs of a portfolio company while also generating attractive risk-adjusted returns. We can invest in all parts of a capital structure and our Investment Adviser has extensive experience in a wide variety of securities for leveraged companies throughout economic and market cycles.</w:t>
      </w:r>
    </w:p>
    <w:p>
      <w:pPr>
        <w:spacing w:after="0" w:line="82"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Our Investment Adviser seeks to minimize the risk of capital loss without foregoing potential for capital appreciation. In making investment decisions, we seek to invest in companies that we believe can generate consistent positive risk-adjusted returns.</w:t>
      </w:r>
    </w:p>
    <w:p>
      <w:pPr>
        <w:spacing w:after="0" w:line="95" w:lineRule="exact"/>
        <w:rPr>
          <w:sz w:val="20"/>
          <w:szCs w:val="20"/>
          <w:color w:val="auto"/>
        </w:rPr>
      </w:pPr>
    </w:p>
    <w:p>
      <w:pPr>
        <w:ind w:right="220" w:firstLine="438"/>
        <w:spacing w:after="0" w:line="261" w:lineRule="auto"/>
        <w:rPr>
          <w:sz w:val="20"/>
          <w:szCs w:val="20"/>
          <w:color w:val="auto"/>
        </w:rPr>
      </w:pPr>
      <w:r>
        <w:rPr>
          <w:rFonts w:ascii="Times New Roman" w:cs="Times New Roman" w:eastAsia="Times New Roman" w:hAnsi="Times New Roman"/>
          <w:sz w:val="14"/>
          <w:szCs w:val="14"/>
          <w:color w:val="auto"/>
        </w:rPr>
        <w:t>We believe that the in-depth experience of our Investment Adviser will enable us to invest throughout various stages of the economic and market cycles and to provide us with ongoing market insights in addition to a significant investment opportunity.</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Competition</w:t>
      </w:r>
    </w:p>
    <w:p>
      <w:pPr>
        <w:spacing w:after="0" w:line="127" w:lineRule="exact"/>
        <w:rPr>
          <w:sz w:val="20"/>
          <w:szCs w:val="20"/>
          <w:color w:val="auto"/>
        </w:rPr>
      </w:pPr>
    </w:p>
    <w:p>
      <w:pPr>
        <w:ind w:right="120" w:firstLine="438"/>
        <w:spacing w:after="0" w:line="236" w:lineRule="auto"/>
        <w:rPr>
          <w:sz w:val="20"/>
          <w:szCs w:val="20"/>
          <w:color w:val="auto"/>
        </w:rPr>
      </w:pPr>
      <w:r>
        <w:rPr>
          <w:rFonts w:ascii="Times New Roman" w:cs="Times New Roman" w:eastAsia="Times New Roman" w:hAnsi="Times New Roman"/>
          <w:sz w:val="14"/>
          <w:szCs w:val="14"/>
          <w:color w:val="auto"/>
        </w:rPr>
        <w:t>Our primary competitors provide financing to middle-market companies and include other BDCs, commercial and investment banks, commercial finance companies, CLO funds, private direct lending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from time to time there has been a reduction in the amount of debt capital available to middle-market companies, which we believe has resulted in a less competitive environment for making new investments.</w:t>
      </w:r>
    </w:p>
    <w:p>
      <w:pPr>
        <w:spacing w:after="0" w:line="109"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Leverage</w:t>
      </w:r>
    </w:p>
    <w:p>
      <w:pPr>
        <w:spacing w:after="0" w:line="140" w:lineRule="exact"/>
        <w:rPr>
          <w:sz w:val="20"/>
          <w:szCs w:val="20"/>
          <w:color w:val="auto"/>
        </w:rPr>
      </w:pPr>
    </w:p>
    <w:p>
      <w:pPr>
        <w:ind w:right="120" w:firstLine="438"/>
        <w:spacing w:after="0" w:line="228" w:lineRule="auto"/>
        <w:rPr>
          <w:sz w:val="20"/>
          <w:szCs w:val="20"/>
          <w:color w:val="auto"/>
        </w:rPr>
      </w:pPr>
      <w:r>
        <w:rPr>
          <w:rFonts w:ascii="Times New Roman" w:cs="Times New Roman" w:eastAsia="Times New Roman" w:hAnsi="Times New Roman"/>
          <w:sz w:val="14"/>
          <w:szCs w:val="14"/>
          <w:color w:val="auto"/>
        </w:rPr>
        <w:t>As of September 30, 2020, we had the multi-currency Truist Credit Facility for up to $475.0 million in borrowings with certain lenders and Truist Bank (formerly SunTrust Bank), acting as administrative agent, and JPMorgan Chase Bank, N.A., acting as syndication agent for the lenders. As of September 30, 2020 and 2019, we had $388.3 million and $301.6 million, respectively, in outstanding borrowings under the Truist Credit Facility. The Truist Credit Facility had a weighted average interest rate of 2.5% and 4.2%, respectively, exclusive of the fee on undrawn commitment, as of September 30, 2020 and 2019. The Truist Credit Facility is a revolving facility with a stated maturity date of September 4, 2024 ($40.0 million of the $475 million commitment will mature May 25, 2022), a one-year term-out period on September 4, 2023 ($40.0 million of the $475 million commitment has a one year term-out period on May 25, 2021) and pricing set at 225 basis points over LIBOR. As of September 30, 2020 and 2019, we had $86.7 million and $173.4 million of unused borrowing capacity under the Truist Credit Facility, respectively, subject to leverage and borrowing base restrictions. The Truist Credit Facility is secured by substantially all of our assets excluding assets held by SBIC II. As of September 30, 2020, we were in compliance with the terms of the Truist Credit Facility.</w:t>
      </w:r>
    </w:p>
    <w:p>
      <w:pPr>
        <w:spacing w:after="0" w:line="100" w:lineRule="exact"/>
        <w:rPr>
          <w:sz w:val="20"/>
          <w:szCs w:val="20"/>
          <w:color w:val="auto"/>
        </w:rPr>
      </w:pPr>
    </w:p>
    <w:p>
      <w:pPr>
        <w:ind w:right="120" w:firstLine="438"/>
        <w:spacing w:after="0" w:line="233" w:lineRule="auto"/>
        <w:rPr>
          <w:sz w:val="20"/>
          <w:szCs w:val="20"/>
          <w:color w:val="auto"/>
        </w:rPr>
      </w:pPr>
      <w:r>
        <w:rPr>
          <w:rFonts w:ascii="Times New Roman" w:cs="Times New Roman" w:eastAsia="Times New Roman" w:hAnsi="Times New Roman"/>
          <w:sz w:val="14"/>
          <w:szCs w:val="14"/>
          <w:color w:val="auto"/>
        </w:rPr>
        <w:t>As of September 30, 2020 and 2019, our SBIC II had $118.5 million and $150.0 million in debt commitments, respectively, all of which was drawn, with a weighted average interest rate of 3.2% and 3.1%, respectively, exclusive of 3.4% of upfront fees. As of September 30, 2020 and 2019, our SBA debentures mature between March 2026 to March 2028, respectively.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II and have a priority claim over such assets relative to all other creditors. See “Regulation” for more information.</w:t>
      </w:r>
    </w:p>
    <w:p>
      <w:pPr>
        <w:spacing w:after="0" w:line="110"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 xml:space="preserve">As of September 30, 2020 and 2019, we had $86.3 and $75.0 million in aggregate principal amount of 2024 Notes outstanding, respectively. Interest on the 2024 Notes is paid quarterly on January 15, April 15, July 15 and October 15, at a rate of 5.5% per year, commencing January 15, 2020. The 2024 Notes mature on October 15, 2024. The 2024 Notes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10"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See “Management’s Discussion and Analysis of Financial Condition and Results of Operations” for more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Policy Overview</w:t>
      </w:r>
    </w:p>
    <w:p>
      <w:pPr>
        <w:spacing w:after="0" w:line="140"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We seek to create a diversified portfolio that includes first lien secured debt, second lien secured debt, subordinated debt and, to a lesser extent,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unrated companies were rated, we believe that they would typically receive a rating below investment grade (between BB and CCC under the Standard &amp; Poor’s system) from the national rating agencies. Securities rated below investment grade are often referred to as “leveraged loans,” “high yield” securities or “junk bonds” and are often higher risk compared to debt instruments that are rated above investment grade and have speculative characteristics. In addition, we expect our debt investments to range in maturity from three to ten years.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6" w:name="page7"/>
    <w:bookmarkEnd w:id="6"/>
    <w:p>
      <w:pPr>
        <w:ind w:firstLine="438"/>
        <w:spacing w:after="0" w:line="233" w:lineRule="auto"/>
        <w:rPr>
          <w:sz w:val="20"/>
          <w:szCs w:val="20"/>
          <w:color w:val="auto"/>
        </w:rPr>
      </w:pPr>
      <w:r>
        <w:rPr>
          <w:rFonts w:ascii="Times New Roman" w:cs="Times New Roman" w:eastAsia="Times New Roman" w:hAnsi="Times New Roman"/>
          <w:sz w:val="14"/>
          <w:szCs w:val="14"/>
          <w:color w:val="auto"/>
        </w:rPr>
        <w:t>Over time, we expect that our portfolio will continue to consist primarily of first lien secured debt, second lien secured debt, subordinated debt and, to a lesser extent, equity investments in qualifying assets such as private, or thinly traded or small market-capitalization, U.S. middle-market public companies. In addition, we may invest up to 30% of our portfolio in non-qualifying assets. These non-qualifying assets may include investments in public companies whose securities are not thinly traded or have a market capitalization of greater than $250 million, securities of middle-market companies located outside of the United States and investment companies as defined in the 1940 Act. We may acquire investments in the secondary markets. See “Regulation— Qualifying Assets” and “Investment Selection Criteria” for more information.</w:t>
      </w:r>
    </w:p>
    <w:p>
      <w:pPr>
        <w:spacing w:after="0" w:line="110"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of changes to our operating policies and strategies may adversely affect our business, our ability to make distributions and the value of our common stock.</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First Lien Secured Debt</w:t>
      </w:r>
    </w:p>
    <w:p>
      <w:pPr>
        <w:spacing w:after="0" w:line="140"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Structurally, first lien secured debt ranks senior in priority of payment to second lien secured debt, subordinated debt and equity, and benefits from a senior security interest in the assets of the borrower. As such, other creditors rank junior to our investments in these securities in the event of insolvency. Due to its lower risk profile and often more restrictive covenants as compared to second lien secured debt and subordinated debt, first lien secured debt generally earns a lower return than second lien secured debt and subordinated debt. In some cases first lien secured debt lenders receive opportunities to invest directly in the equity securities of borrowers and from time to time may also receive warrants to purchase equity securities. We evaluate these investment opportunities on a case-by-case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Second Lien Secured Debt</w:t>
      </w:r>
    </w:p>
    <w:p>
      <w:pPr>
        <w:spacing w:after="0" w:line="140"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Second lien secured debt usually ranks junior in priority of payment to first lien secured debt. Second lien secured debt holds a second priority with regard to right of payment in the event of insolvency. Second lien secured debt ranks senior to subordinated debt and common and preferred equity in borrowers’ capital structures. Due to its higher risk profile and often less restrictive covenants as compared to first lien secured debt, second lien secured debt generally earns a higher return than first lien secured debt. In many cases, second lien secured debt investors receive opportunities to invest directly in the equity securities of borrowers and from time to time may also receive warrants to purchase equity securities. We evaluate these investment opportunities on a case-by-case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Subordinated Debt</w:t>
      </w:r>
    </w:p>
    <w:p>
      <w:pPr>
        <w:spacing w:after="0" w:line="140" w:lineRule="exact"/>
        <w:rPr>
          <w:sz w:val="20"/>
          <w:szCs w:val="20"/>
          <w:color w:val="auto"/>
        </w:rPr>
      </w:pPr>
    </w:p>
    <w:p>
      <w:pPr>
        <w:ind w:right="60" w:firstLine="438"/>
        <w:spacing w:after="0" w:line="233" w:lineRule="auto"/>
        <w:rPr>
          <w:sz w:val="20"/>
          <w:szCs w:val="20"/>
          <w:color w:val="auto"/>
        </w:rPr>
      </w:pPr>
      <w:r>
        <w:rPr>
          <w:rFonts w:ascii="Times New Roman" w:cs="Times New Roman" w:eastAsia="Times New Roman" w:hAnsi="Times New Roman"/>
          <w:sz w:val="14"/>
          <w:szCs w:val="14"/>
          <w:color w:val="auto"/>
        </w:rPr>
        <w:t>Structurally, subordinated debt usually ranks junior in priority of payment to first lien secured debt and second lien secured debt, and is often unsecured. As such, other creditors may rank senior to us in the event of insolvency. Subordinated debt ranks senior to common and preferred equity in borrowers’ capital structures. Due to its higher risk profile and often less restrictive covenants as compared to first lien secured debt and second lien secured debt, subordinated debt generally earns a higher return than first lien secured debt and second lien secured debt. In many cases, subordinated debt investors receive opportunities to invest directly in the equity securities of borrowers, and from time to time, may also receive warrants to purchase equity securities. We evaluate these investment opportunities on a case-by-case basis.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Selection Criteria</w:t>
      </w:r>
    </w:p>
    <w:p>
      <w:pPr>
        <w:spacing w:after="0" w:line="140"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We are committed to a value-oriented philosophy used by the senior investment professionals of our Investment Adviser who manage our portfolio and seek to minimize the risk of capital loss without foregoing potential for capital appreciation.</w:t>
      </w:r>
    </w:p>
    <w:p>
      <w:pPr>
        <w:spacing w:after="0" w:line="95" w:lineRule="exact"/>
        <w:rPr>
          <w:sz w:val="20"/>
          <w:szCs w:val="20"/>
          <w:color w:val="auto"/>
        </w:rPr>
      </w:pPr>
    </w:p>
    <w:p>
      <w:pPr>
        <w:ind w:right="120" w:firstLine="438"/>
        <w:spacing w:after="0" w:line="241" w:lineRule="auto"/>
        <w:rPr>
          <w:sz w:val="20"/>
          <w:szCs w:val="20"/>
          <w:color w:val="auto"/>
        </w:rPr>
      </w:pPr>
      <w:r>
        <w:rPr>
          <w:rFonts w:ascii="Times New Roman" w:cs="Times New Roman" w:eastAsia="Times New Roman" w:hAnsi="Times New Roman"/>
          <w:sz w:val="14"/>
          <w:szCs w:val="14"/>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opportunities and to structure investments efficiently and effectively.</w:t>
      </w:r>
    </w:p>
    <w:p>
      <w:pPr>
        <w:spacing w:after="0" w:line="92" w:lineRule="exact"/>
        <w:rPr>
          <w:sz w:val="20"/>
          <w:szCs w:val="20"/>
          <w:color w:val="auto"/>
        </w:rPr>
      </w:pPr>
    </w:p>
    <w:p>
      <w:pPr>
        <w:ind w:left="920" w:hanging="359"/>
        <w:spacing w:after="0"/>
        <w:tabs>
          <w:tab w:leader="none" w:pos="920" w:val="left"/>
        </w:tabs>
        <w:numPr>
          <w:ilvl w:val="0"/>
          <w:numId w:val="1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Leading and defensible competitive market positions</w:t>
      </w:r>
    </w:p>
    <w:p>
      <w:pPr>
        <w:spacing w:after="0" w:line="140" w:lineRule="exact"/>
        <w:rPr>
          <w:sz w:val="20"/>
          <w:szCs w:val="20"/>
          <w:color w:val="auto"/>
        </w:rPr>
      </w:pPr>
    </w:p>
    <w:p>
      <w:pPr>
        <w:jc w:val="both"/>
        <w:ind w:right="360" w:firstLine="438"/>
        <w:spacing w:after="0" w:line="241" w:lineRule="auto"/>
        <w:rPr>
          <w:sz w:val="20"/>
          <w:szCs w:val="20"/>
          <w:color w:val="auto"/>
        </w:rPr>
      </w:pPr>
      <w:r>
        <w:rPr>
          <w:rFonts w:ascii="Times New Roman" w:cs="Times New Roman" w:eastAsia="Times New Roman" w:hAnsi="Times New Roman"/>
          <w:sz w:val="14"/>
          <w:szCs w:val="14"/>
          <w:color w:val="auto"/>
        </w:rPr>
        <w:t>The Investment Adviser invests in portfolio companies that it believes have developed strong positions within their markets. The Investment Adviser also seeks to invest in portfolio companies that it believes possess competitive advantages, for example, in scale, scope, customer loyalty, product pricing or product quality as compared to their competitors to protect their market position.</w:t>
      </w:r>
    </w:p>
    <w:p>
      <w:pPr>
        <w:spacing w:after="0" w:line="105" w:lineRule="exact"/>
        <w:rPr>
          <w:sz w:val="20"/>
          <w:szCs w:val="20"/>
          <w:color w:val="auto"/>
        </w:rPr>
      </w:pPr>
    </w:p>
    <w:p>
      <w:pPr>
        <w:ind w:left="920" w:hanging="359"/>
        <w:spacing w:after="0"/>
        <w:tabs>
          <w:tab w:leader="none" w:pos="920" w:val="left"/>
        </w:tabs>
        <w:numPr>
          <w:ilvl w:val="0"/>
          <w:numId w:val="12"/>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Investing in stable borrowers with positive cash flow</w:t>
      </w:r>
    </w:p>
    <w:p>
      <w:pPr>
        <w:spacing w:after="0" w:line="140" w:lineRule="exact"/>
        <w:rPr>
          <w:sz w:val="20"/>
          <w:szCs w:val="20"/>
          <w:color w:val="auto"/>
        </w:rPr>
      </w:pPr>
    </w:p>
    <w:p>
      <w:pPr>
        <w:ind w:right="140" w:firstLine="438"/>
        <w:spacing w:after="0" w:line="236" w:lineRule="auto"/>
        <w:rPr>
          <w:sz w:val="20"/>
          <w:szCs w:val="20"/>
          <w:color w:val="auto"/>
        </w:rPr>
      </w:pPr>
      <w:r>
        <w:rPr>
          <w:rFonts w:ascii="Times New Roman" w:cs="Times New Roman" w:eastAsia="Times New Roman" w:hAnsi="Times New Roman"/>
          <w:sz w:val="14"/>
          <w:szCs w:val="14"/>
          <w:color w:val="auto"/>
        </w:rPr>
        <w:t>Our investment philosophy places a premium on fundamental analysis and has a distinct value-orientation. The Investment Adviser invests in portfolio companies it believes to be stable and well-established,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05" w:lineRule="exact"/>
        <w:rPr>
          <w:sz w:val="20"/>
          <w:szCs w:val="20"/>
          <w:color w:val="auto"/>
        </w:rPr>
      </w:pPr>
    </w:p>
    <w:p>
      <w:pPr>
        <w:ind w:left="920" w:hanging="359"/>
        <w:spacing w:after="0"/>
        <w:tabs>
          <w:tab w:leader="none" w:pos="920" w:val="left"/>
        </w:tabs>
        <w:numPr>
          <w:ilvl w:val="0"/>
          <w:numId w:val="1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Proven management teams</w:t>
      </w:r>
    </w:p>
    <w:p>
      <w:pPr>
        <w:spacing w:after="0" w:line="140"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78" w:lineRule="exact"/>
        <w:rPr>
          <w:sz w:val="20"/>
          <w:szCs w:val="20"/>
          <w:color w:val="auto"/>
        </w:rPr>
      </w:pPr>
    </w:p>
    <w:p>
      <w:pPr>
        <w:ind w:left="920" w:hanging="359"/>
        <w:spacing w:after="0"/>
        <w:tabs>
          <w:tab w:leader="none" w:pos="920" w:val="left"/>
        </w:tabs>
        <w:numPr>
          <w:ilvl w:val="0"/>
          <w:numId w:val="1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Financial sponsorship</w:t>
      </w:r>
    </w:p>
    <w:p>
      <w:pPr>
        <w:spacing w:after="0" w:line="140"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The Investment Adviser may seek to cause us to participate in transactions sponsored by what it believes to be trusted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the ability, and a strong incentive, to contribute additional capital in difficult economic times should financial or operational issues arise so as to maintain their ownership position.</w:t>
      </w:r>
    </w:p>
    <w:p>
      <w:pPr>
        <w:spacing w:after="0" w:line="105" w:lineRule="exact"/>
        <w:rPr>
          <w:sz w:val="20"/>
          <w:szCs w:val="20"/>
          <w:color w:val="auto"/>
        </w:rPr>
      </w:pPr>
    </w:p>
    <w:p>
      <w:pPr>
        <w:ind w:left="920" w:hanging="359"/>
        <w:spacing w:after="0"/>
        <w:tabs>
          <w:tab w:leader="none" w:pos="920" w:val="left"/>
        </w:tabs>
        <w:numPr>
          <w:ilvl w:val="0"/>
          <w:numId w:val="1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Investments in different borrowers, industries and geographies</w:t>
      </w:r>
    </w:p>
    <w:p>
      <w:pPr>
        <w:spacing w:after="0" w:line="140"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The Investment Adviser seeks to invest our assets broadly among portfolio companies, across industries and geographical regions. The Investment Adviser believes that this approach may reduce the risk that a downturn in any one portfolio company, industry or geographical region will have a disproportionate impact on the value of our portfolio, although we are permitted to be non-diversified under the 1940 Act.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 w:name="page8"/>
    <w:bookmarkEnd w:id="7"/>
    <w:p>
      <w:pPr>
        <w:ind w:left="920" w:hanging="359"/>
        <w:spacing w:after="0"/>
        <w:tabs>
          <w:tab w:leader="none" w:pos="920" w:val="left"/>
        </w:tabs>
        <w:numPr>
          <w:ilvl w:val="0"/>
          <w:numId w:val="16"/>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Viable exit strategy</w:t>
      </w:r>
    </w:p>
    <w:p>
      <w:pPr>
        <w:spacing w:after="0" w:line="140" w:lineRule="exact"/>
        <w:rPr>
          <w:sz w:val="20"/>
          <w:szCs w:val="20"/>
          <w:color w:val="auto"/>
        </w:rPr>
      </w:pPr>
    </w:p>
    <w:p>
      <w:pPr>
        <w:ind w:right="140" w:firstLine="438"/>
        <w:spacing w:after="0" w:line="233" w:lineRule="auto"/>
        <w:rPr>
          <w:sz w:val="20"/>
          <w:szCs w:val="20"/>
          <w:color w:val="auto"/>
        </w:rPr>
      </w:pPr>
      <w:r>
        <w:rPr>
          <w:rFonts w:ascii="Times New Roman" w:cs="Times New Roman" w:eastAsia="Times New Roman" w:hAnsi="Times New Roman"/>
          <w:sz w:val="14"/>
          <w:szCs w:val="14"/>
          <w:color w:val="auto"/>
        </w:rPr>
        <w:t>The Investment Adviser seeks to invest in portfolio companies that it believes will provide a steady stream of cash flow to repay our loans while also reinvesting in their respective businesses. The Investment Adviser expects that such internally generated cash flow, leading to the payment of interest on, and the repayment of the principal of, our investments in portfolio companies to be a key means by which we will exit from our investments over time. In addition, the Investment Adviser also seeks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Due Diligence</w:t>
      </w:r>
    </w:p>
    <w:p>
      <w:pPr>
        <w:spacing w:after="0" w:line="140" w:lineRule="exact"/>
        <w:rPr>
          <w:sz w:val="20"/>
          <w:szCs w:val="20"/>
          <w:color w:val="auto"/>
        </w:rPr>
      </w:pPr>
    </w:p>
    <w:p>
      <w:pPr>
        <w:jc w:val="both"/>
        <w:ind w:right="280" w:firstLine="438"/>
        <w:spacing w:after="0" w:line="236" w:lineRule="auto"/>
        <w:rPr>
          <w:sz w:val="20"/>
          <w:szCs w:val="20"/>
          <w:color w:val="auto"/>
        </w:rPr>
      </w:pPr>
      <w:r>
        <w:rPr>
          <w:rFonts w:ascii="Times New Roman" w:cs="Times New Roman" w:eastAsia="Times New Roman" w:hAnsi="Times New Roman"/>
          <w:sz w:val="14"/>
          <w:szCs w:val="14"/>
          <w:color w:val="auto"/>
        </w:rPr>
        <w:t>We believe it is critical to conduct extensive due diligence in evaluating new investment targets.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due diligence may include:</w:t>
      </w:r>
    </w:p>
    <w:p>
      <w:pPr>
        <w:spacing w:after="0" w:line="123" w:lineRule="exact"/>
        <w:rPr>
          <w:sz w:val="20"/>
          <w:szCs w:val="20"/>
          <w:color w:val="auto"/>
        </w:rPr>
      </w:pPr>
    </w:p>
    <w:p>
      <w:pPr>
        <w:ind w:left="920" w:hanging="359"/>
        <w:spacing w:after="0"/>
        <w:tabs>
          <w:tab w:leader="none" w:pos="9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historical and prospective financial information;</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 relating to the portfolio company’s management, industry, markets, products and services and competitors;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interviews with management, employees, customers and vendors of the potential portfolio company;</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on-site visits;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loan documents;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background checks.</w:t>
      </w:r>
    </w:p>
    <w:p>
      <w:pPr>
        <w:spacing w:after="0" w:line="136" w:lineRule="exact"/>
        <w:rPr>
          <w:sz w:val="20"/>
          <w:szCs w:val="20"/>
          <w:color w:val="auto"/>
        </w:rPr>
      </w:pPr>
    </w:p>
    <w:p>
      <w:pPr>
        <w:ind w:right="360" w:firstLine="438"/>
        <w:spacing w:after="0" w:line="261" w:lineRule="auto"/>
        <w:rPr>
          <w:sz w:val="20"/>
          <w:szCs w:val="20"/>
          <w:color w:val="auto"/>
        </w:rPr>
      </w:pPr>
      <w:r>
        <w:rPr>
          <w:rFonts w:ascii="Times New Roman" w:cs="Times New Roman" w:eastAsia="Times New Roman" w:hAnsi="Times New Roman"/>
          <w:sz w:val="14"/>
          <w:szCs w:val="14"/>
          <w:color w:val="auto"/>
        </w:rPr>
        <w:t>Additional due diligence with respect to any investment may be conducted on our behalf by attorneys and accountants prior to the closing of the investment, as well as other outside advisers, as appropriate.</w:t>
      </w:r>
    </w:p>
    <w:p>
      <w:pPr>
        <w:spacing w:after="0" w:line="95"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Upon the completion of due diligence on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Rather, they are employees of and receive compensation from our Investment Adviser.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Structure</w:t>
      </w:r>
    </w:p>
    <w:p>
      <w:pPr>
        <w:spacing w:after="0" w:line="127" w:lineRule="exact"/>
        <w:rPr>
          <w:sz w:val="20"/>
          <w:szCs w:val="20"/>
          <w:color w:val="auto"/>
        </w:rPr>
      </w:pPr>
    </w:p>
    <w:p>
      <w:pPr>
        <w:jc w:val="both"/>
        <w:ind w:right="260" w:firstLine="438"/>
        <w:spacing w:after="0" w:line="241" w:lineRule="auto"/>
        <w:rPr>
          <w:sz w:val="20"/>
          <w:szCs w:val="20"/>
          <w:color w:val="auto"/>
        </w:rPr>
      </w:pPr>
      <w:r>
        <w:rPr>
          <w:rFonts w:ascii="Times New Roman" w:cs="Times New Roman" w:eastAsia="Times New Roman" w:hAnsi="Times New Roman"/>
          <w:sz w:val="14"/>
          <w:szCs w:val="14"/>
          <w:color w:val="auto"/>
        </w:rPr>
        <w:t>Once we determine that a prospective portfolio company is suitable for investment, we work with the management of that portfolio company and its other capital providers, including senior, junior and equity capital providers, to structure an investment. We negotiate with these parties to agree on how our investment is structured relative to the other capital in the portfolio company’s capital structure.</w:t>
      </w:r>
    </w:p>
    <w:p>
      <w:pPr>
        <w:spacing w:after="0" w:line="109" w:lineRule="exact"/>
        <w:rPr>
          <w:sz w:val="20"/>
          <w:szCs w:val="20"/>
          <w:color w:val="auto"/>
        </w:rPr>
      </w:pPr>
    </w:p>
    <w:p>
      <w:pPr>
        <w:ind w:right="380" w:firstLine="438"/>
        <w:spacing w:after="0" w:line="261" w:lineRule="auto"/>
        <w:rPr>
          <w:sz w:val="20"/>
          <w:szCs w:val="20"/>
          <w:color w:val="auto"/>
        </w:rPr>
      </w:pPr>
      <w:r>
        <w:rPr>
          <w:rFonts w:ascii="Times New Roman" w:cs="Times New Roman" w:eastAsia="Times New Roman" w:hAnsi="Times New Roman"/>
          <w:sz w:val="14"/>
          <w:szCs w:val="14"/>
          <w:color w:val="auto"/>
        </w:rPr>
        <w:t>We expect our first lien secured debt to have terms of three to ten years. We generally obtain security interests in the assets of our portfolio companies that will serve as collateral in support of the repayment of these loans. This collateral may take the form of first priority liens on the assets of a portfolio company.</w:t>
      </w:r>
    </w:p>
    <w:p>
      <w:pPr>
        <w:spacing w:after="0" w:line="95"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Typically, our second lien secured debt and subordinated debt investments have maturities of three to ten years. Second lien secured debt and subordinated debt may take the form of a second priority lien on the assets of a portfolio company and have interest-only payments in the early years with cash or payment-in-kind, or PIK, payments with amortization of principal deferred to the later years. In some cases, we may invest in debt securities that, by their terms, convert into equity or additional debt securities or defer payments of interest for the first few years after our investment. Also, in some cases, our second lien secured debt and subordinated debt may be collateralized by a subordinated lien on some or all of the assets of the borrower.</w:t>
      </w:r>
    </w:p>
    <w:p>
      <w:pPr>
        <w:spacing w:after="0" w:line="96"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109" w:lineRule="exact"/>
        <w:rPr>
          <w:sz w:val="20"/>
          <w:szCs w:val="20"/>
          <w:color w:val="auto"/>
        </w:rPr>
      </w:pPr>
    </w:p>
    <w:p>
      <w:pPr>
        <w:ind w:left="920" w:hanging="359"/>
        <w:spacing w:after="0"/>
        <w:tabs>
          <w:tab w:leader="none" w:pos="9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 total return on our investments (including both interest in the form of a floor and potential equity appreciation) that compensates us for credit risk;</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incorporating “put” rights and call protection into the investment structure; and</w:t>
      </w:r>
    </w:p>
    <w:p>
      <w:pPr>
        <w:spacing w:after="0" w:line="136" w:lineRule="exact"/>
        <w:rPr>
          <w:rFonts w:ascii="Times New Roman" w:cs="Times New Roman" w:eastAsia="Times New Roman" w:hAnsi="Times New Roman"/>
          <w:sz w:val="14"/>
          <w:szCs w:val="14"/>
          <w:color w:val="auto"/>
        </w:rPr>
      </w:pPr>
    </w:p>
    <w:p>
      <w:pPr>
        <w:jc w:val="both"/>
        <w:ind w:left="920" w:right="240" w:hanging="359"/>
        <w:spacing w:after="0" w:line="241" w:lineRule="auto"/>
        <w:tabs>
          <w:tab w:leader="none" w:pos="9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109"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portfolio company, upon the occurrence of specified events. In many cases, we may also obtain registration rights in connection with these equity investments, which may include demand and “piggyback” registration rights.</w:t>
      </w:r>
    </w:p>
    <w:p>
      <w:pPr>
        <w:spacing w:after="0" w:line="110" w:lineRule="exact"/>
        <w:rPr>
          <w:sz w:val="20"/>
          <w:szCs w:val="20"/>
          <w:color w:val="auto"/>
        </w:rPr>
      </w:pPr>
    </w:p>
    <w:p>
      <w:pPr>
        <w:ind w:right="340" w:firstLine="438"/>
        <w:spacing w:after="0" w:line="261" w:lineRule="auto"/>
        <w:rPr>
          <w:sz w:val="20"/>
          <w:szCs w:val="20"/>
          <w:color w:val="auto"/>
        </w:rPr>
      </w:pPr>
      <w:r>
        <w:rPr>
          <w:rFonts w:ascii="Times New Roman" w:cs="Times New Roman" w:eastAsia="Times New Roman" w:hAnsi="Times New Roman"/>
          <w:sz w:val="14"/>
          <w:szCs w:val="14"/>
          <w:color w:val="auto"/>
        </w:rPr>
        <w:t>We expect to hold most of our investments to maturity or repayment, but we may exit certain investments earlier when a liquidity event, such as the sale or refinancing of a portfolio company, takes place. We also may turn over investments to better position the portfolio in light of market conditions.</w:t>
      </w:r>
    </w:p>
    <w:p>
      <w:pPr>
        <w:spacing w:after="0" w:line="1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75"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i w:val="1"/>
          <w:iCs w:val="1"/>
          <w:color w:val="auto"/>
        </w:rPr>
        <w:t>Ongoing Relationships with Portfolio Companies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Monitoring</w:t>
      </w:r>
    </w:p>
    <w:p>
      <w:pPr>
        <w:spacing w:after="0" w:line="140"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The Investment Adviser monitors our portfolio companies on an ongoing basis. The Investment Adviser also monitors the financial trends of each portfolio company to determine if it is meeting its respective business plans and to assess the appropriate course of action for each portfolio company.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Investment Adviser has several methods of evaluating and monitoring the performance and fair value of our investments, which may include the following:</w:t>
      </w:r>
    </w:p>
    <w:p>
      <w:pPr>
        <w:spacing w:after="0" w:line="123" w:lineRule="exact"/>
        <w:rPr>
          <w:sz w:val="20"/>
          <w:szCs w:val="20"/>
          <w:color w:val="auto"/>
        </w:rPr>
      </w:pPr>
    </w:p>
    <w:p>
      <w:pPr>
        <w:ind w:left="920" w:hanging="359"/>
        <w:spacing w:after="0"/>
        <w:tabs>
          <w:tab w:leader="none" w:pos="9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assessment of success in adhering to a portfolio company’s business plan and compliance with covenants;</w:t>
      </w:r>
    </w:p>
    <w:p>
      <w:pPr>
        <w:spacing w:after="0" w:line="136" w:lineRule="exact"/>
        <w:rPr>
          <w:rFonts w:ascii="Times New Roman" w:cs="Times New Roman" w:eastAsia="Times New Roman" w:hAnsi="Times New Roman"/>
          <w:sz w:val="14"/>
          <w:szCs w:val="14"/>
          <w:color w:val="auto"/>
        </w:rPr>
      </w:pPr>
    </w:p>
    <w:p>
      <w:pPr>
        <w:ind w:left="920" w:right="720" w:hanging="359"/>
        <w:spacing w:after="0" w:line="261" w:lineRule="auto"/>
        <w:tabs>
          <w:tab w:leader="none" w:pos="9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periodic or regular contact with portfolio company management and, if appropriate, the financial or strategic sponsor, to discuss financial position, requirements and accomplishments;</w:t>
      </w:r>
    </w:p>
    <w:p>
      <w:pPr>
        <w:spacing w:after="0" w:line="95"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comparisons to other portfolio companies in the industry, if any;</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attendance at and participation in board meetings or presentations by portfolio companies;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of periodic financial statements and financial projections for portfolio companies.</w:t>
      </w:r>
    </w:p>
    <w:p>
      <w:pPr>
        <w:spacing w:after="0" w:line="136" w:lineRule="exact"/>
        <w:rPr>
          <w:sz w:val="20"/>
          <w:szCs w:val="20"/>
          <w:color w:val="auto"/>
        </w:rPr>
      </w:pPr>
    </w:p>
    <w:p>
      <w:pPr>
        <w:ind w:right="60" w:firstLine="438"/>
        <w:spacing w:after="0" w:line="229" w:lineRule="auto"/>
        <w:rPr>
          <w:sz w:val="20"/>
          <w:szCs w:val="20"/>
          <w:color w:val="auto"/>
        </w:rPr>
      </w:pPr>
      <w:r>
        <w:rPr>
          <w:rFonts w:ascii="Times New Roman" w:cs="Times New Roman" w:eastAsia="Times New Roman" w:hAnsi="Times New Roman"/>
          <w:sz w:val="14"/>
          <w:szCs w:val="14"/>
          <w:color w:val="auto"/>
        </w:rPr>
        <w:t>The Investment Adviser monitors credit risk of each portfolio company regularly with a goal toward identifying early, and when able and appropriate, exiting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w:t>
      </w:r>
    </w:p>
    <w:p>
      <w:pPr>
        <w:spacing w:after="0" w:line="1" w:lineRule="exact"/>
        <w:rPr>
          <w:sz w:val="20"/>
          <w:szCs w:val="20"/>
          <w:color w:val="auto"/>
        </w:rPr>
      </w:pPr>
    </w:p>
    <w:p>
      <w:pPr>
        <w:ind w:right="40" w:firstLine="8"/>
        <w:spacing w:after="0" w:line="239" w:lineRule="auto"/>
        <w:tabs>
          <w:tab w:leader="none" w:pos="20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of a portfolio company’s management; (5) a portfolio company’s debt maturities and capital requirements; (6) a portfolio company’s interest and asset coverage; and (7) the relative value of an investment based on a portfolio company’s anticipated cash flow.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Managerial Assistance</w:t>
      </w:r>
    </w:p>
    <w:p>
      <w:pPr>
        <w:spacing w:after="0" w:line="140" w:lineRule="exact"/>
        <w:rPr>
          <w:sz w:val="20"/>
          <w:szCs w:val="20"/>
          <w:color w:val="auto"/>
        </w:rPr>
      </w:pPr>
    </w:p>
    <w:p>
      <w:pPr>
        <w:ind w:right="460" w:firstLine="438"/>
        <w:spacing w:after="0" w:line="261" w:lineRule="auto"/>
        <w:rPr>
          <w:sz w:val="20"/>
          <w:szCs w:val="20"/>
          <w:color w:val="auto"/>
        </w:rPr>
      </w:pPr>
      <w:r>
        <w:rPr>
          <w:rFonts w:ascii="Times New Roman" w:cs="Times New Roman" w:eastAsia="Times New Roman" w:hAnsi="Times New Roman"/>
          <w:sz w:val="14"/>
          <w:szCs w:val="14"/>
          <w:color w:val="auto"/>
        </w:rPr>
        <w:t>We offer significant managerial assistance to our portfolio companies. As a BDC, we are required to make available such significant managerial assistance within the meaning of Section 2(a)(47) of the 1940 Act. See “Regulation” for more information.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Staffing</w:t>
      </w:r>
    </w:p>
    <w:p>
      <w:pPr>
        <w:spacing w:after="0" w:line="140"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We do not currently have any employees. Our Investment Adviser and Administrator have hired and expect to continue to hire professionals with skills applicable to our business plan, including experience in middle-market investing, senior lending, mezzanine lending, leveraged finance, distressed debt and private equity businesses.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Corporate Information</w:t>
      </w:r>
    </w:p>
    <w:p>
      <w:pPr>
        <w:spacing w:after="0" w:line="127"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 xml:space="preserve">Our administrative and principal executive offices are located at 590 Madison Avenue, 15th Floor, New York, NY 10022. Our common stock and 2024 Notes are quoted on The Nasdaq Global Select Market under the symbols “PNNT” and “PNNTG”, respectively. Our phone number is (212) 905-1000, and our Internet website address is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xml:space="preserve">. Information contained on our website is not incorporated by reference into this Report and you should not consider information contained on our website to be part of this Report. We file periodic reports, proxy statements and other information with the SEC and make such reports available on our website free of charge as soon as reasonably practicable. In addition, the SEC maintains an Internet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that contains material that we file with the SEC on the Electronic Data Gathering, Analysis and Retrieval, or EDGAR, Database.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Portfolio</w:t>
      </w:r>
    </w:p>
    <w:p>
      <w:pPr>
        <w:spacing w:after="0" w:line="140"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Our principal investment focus is to provide first lien secured debt, second lien secured debt and subordinated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Aerospace and Defense</w:t>
            </w:r>
          </w:p>
        </w:tc>
        <w:tc>
          <w:tcPr>
            <w:tcW w:w="11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Energy and Utilities</w:t>
            </w:r>
          </w:p>
        </w:tc>
      </w:tr>
      <w:tr>
        <w:trPr>
          <w:trHeight w:val="148"/>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Auto Sector</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Environmental Services</w:t>
            </w:r>
          </w:p>
        </w:tc>
      </w:tr>
      <w:tr>
        <w:trPr>
          <w:trHeight w:val="149"/>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Beverage, Food and Tobacco</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Financial Services</w:t>
            </w:r>
          </w:p>
        </w:tc>
      </w:tr>
      <w:tr>
        <w:trPr>
          <w:trHeight w:val="148"/>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Broadcasting and Entertainment</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Grocery</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Buildings and Real Estate</w:t>
            </w:r>
          </w:p>
        </w:tc>
        <w:tc>
          <w:tcPr>
            <w:tcW w:w="11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Healthcare, Education and Childcare</w:t>
            </w:r>
          </w:p>
        </w:tc>
      </w:tr>
      <w:tr>
        <w:trPr>
          <w:trHeight w:val="149"/>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Building Materials</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High Tech Industries</w:t>
            </w:r>
          </w:p>
        </w:tc>
      </w:tr>
      <w:tr>
        <w:trPr>
          <w:trHeight w:val="148"/>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Business Services</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Home &amp; Office Furnishings, Housewares &amp; Durable Consumer Products</w:t>
            </w:r>
          </w:p>
        </w:tc>
      </w:tr>
      <w:tr>
        <w:trPr>
          <w:trHeight w:val="148"/>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Cable Television</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Hotels, Motels, Inns and Gaming</w:t>
            </w:r>
          </w:p>
        </w:tc>
      </w:tr>
      <w:tr>
        <w:trPr>
          <w:trHeight w:val="149"/>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Capital Equipment</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Insurance</w:t>
            </w:r>
          </w:p>
        </w:tc>
      </w:tr>
      <w:tr>
        <w:trPr>
          <w:trHeight w:val="148"/>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Cargo Transportation</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Leisure, Amusement, Motion Picture, Entertainment</w:t>
            </w:r>
          </w:p>
        </w:tc>
      </w:tr>
      <w:tr>
        <w:trPr>
          <w:trHeight w:val="149"/>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Chemicals, Plastics and Rubber</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Logistics</w:t>
            </w:r>
          </w:p>
        </w:tc>
      </w:tr>
      <w:tr>
        <w:trPr>
          <w:trHeight w:val="148"/>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Manufacturing/Basic Industries</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Consumer Products</w:t>
            </w:r>
          </w:p>
        </w:tc>
        <w:tc>
          <w:tcPr>
            <w:tcW w:w="11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Media</w:t>
            </w:r>
          </w:p>
        </w:tc>
      </w:tr>
      <w:tr>
        <w:trPr>
          <w:trHeight w:val="148"/>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Consumer Services</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Mining, Steel, Iron and Non-Precious Metals</w:t>
            </w:r>
          </w:p>
        </w:tc>
      </w:tr>
      <w:tr>
        <w:trPr>
          <w:trHeight w:val="149"/>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Containers Packaging &amp; Glass</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Oil and Gas</w:t>
            </w:r>
          </w:p>
        </w:tc>
      </w:tr>
      <w:tr>
        <w:trPr>
          <w:trHeight w:val="148"/>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Distribution</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Media</w:t>
            </w:r>
          </w:p>
        </w:tc>
      </w:tr>
      <w:tr>
        <w:trPr>
          <w:trHeight w:val="17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Diversified/Conglomerate Manufacturing</w:t>
            </w:r>
          </w:p>
        </w:tc>
        <w:tc>
          <w:tcPr>
            <w:tcW w:w="11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Personal, Food and Miscellaneous Services</w:t>
            </w:r>
          </w:p>
        </w:tc>
      </w:tr>
      <w:tr>
        <w:trPr>
          <w:trHeight w:val="149"/>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Diversified/Conglomerate Services</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Printing and Publishing</w:t>
            </w:r>
          </w:p>
        </w:tc>
      </w:tr>
      <w:tr>
        <w:trPr>
          <w:trHeight w:val="148"/>
        </w:trPr>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Diversified Natural Resources, Precious Metals and Minerals</w:t>
            </w:r>
          </w:p>
        </w:tc>
        <w:tc>
          <w:tcPr>
            <w:tcW w:w="1120" w:type="dxa"/>
            <w:vAlign w:val="bottom"/>
          </w:tcPr>
          <w:p>
            <w:pPr>
              <w:ind w:left="9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Retail</w:t>
            </w:r>
          </w:p>
        </w:tc>
      </w:tr>
      <w:tr>
        <w:trPr>
          <w:trHeight w:val="16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Education</w:t>
            </w:r>
          </w:p>
        </w:tc>
        <w:tc>
          <w:tcPr>
            <w:tcW w:w="1120" w:type="dxa"/>
            <w:vAlign w:val="bottom"/>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4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Wholesale</w:t>
            </w:r>
          </w:p>
        </w:tc>
      </w:tr>
    </w:tbl>
    <w:p>
      <w:pPr>
        <w:ind w:left="320" w:hanging="312"/>
        <w:spacing w:after="0"/>
        <w:tabs>
          <w:tab w:leader="none" w:pos="3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Electronics</w:t>
      </w: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75" w:right="459" w:bottom="1440" w:gutter="0" w:footer="0" w:header="0"/>
        </w:sectPr>
      </w:pPr>
    </w:p>
    <w:bookmarkStart w:id="9" w:name="page10"/>
    <w:bookmarkEnd w:id="9"/>
    <w:p>
      <w:pPr>
        <w:ind w:left="440"/>
        <w:spacing w:after="0"/>
        <w:rPr>
          <w:sz w:val="20"/>
          <w:szCs w:val="20"/>
          <w:color w:val="auto"/>
        </w:rPr>
      </w:pPr>
      <w:r>
        <w:rPr>
          <w:rFonts w:ascii="Times New Roman" w:cs="Times New Roman" w:eastAsia="Times New Roman" w:hAnsi="Times New Roman"/>
          <w:sz w:val="14"/>
          <w:szCs w:val="14"/>
          <w:color w:val="auto"/>
        </w:rPr>
        <w:t>Listed below are our top ten portfolio companies and industries represented as a percentage of our consolidated portfolio assets (excluding cash and cash equivalents) as of September 30: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Borders>
              <w:bottom w:val="single" w:sz="8" w:color="CCECFF"/>
            </w:tcBorders>
          </w:tcPr>
          <w:p>
            <w:pPr>
              <w:spacing w:after="0"/>
              <w:rPr>
                <w:sz w:val="15"/>
                <w:szCs w:val="15"/>
                <w:color w:val="auto"/>
              </w:rPr>
            </w:pPr>
          </w:p>
        </w:tc>
        <w:tc>
          <w:tcPr>
            <w:tcW w:w="9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12"/>
                <w:szCs w:val="12"/>
                <w:b w:val="1"/>
                <w:bCs w:val="1"/>
                <w:color w:val="auto"/>
              </w:rPr>
              <w:t>(1)</w:t>
            </w:r>
          </w:p>
        </w:tc>
        <w:tc>
          <w:tcPr>
            <w:tcW w:w="340" w:type="dxa"/>
            <w:vAlign w:val="bottom"/>
            <w:tcBorders>
              <w:bottom w:val="single" w:sz="8" w:color="CCECFF"/>
            </w:tcBorders>
          </w:tcPr>
          <w:p>
            <w:pPr>
              <w:spacing w:after="0"/>
              <w:rPr>
                <w:sz w:val="15"/>
                <w:szCs w:val="15"/>
                <w:color w:val="auto"/>
              </w:rPr>
            </w:pP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Borders>
              <w:bottom w:val="single" w:sz="8" w:color="CCECFF"/>
            </w:tcBorders>
          </w:tcPr>
          <w:p>
            <w:pPr>
              <w:spacing w:after="0"/>
              <w:rPr>
                <w:sz w:val="15"/>
                <w:szCs w:val="15"/>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CFF"/>
            </w:tcBorders>
          </w:tcPr>
          <w:p>
            <w:pPr>
              <w:spacing w:after="0"/>
              <w:rPr>
                <w:sz w:val="15"/>
                <w:szCs w:val="15"/>
                <w:color w:val="auto"/>
              </w:rPr>
            </w:pPr>
          </w:p>
        </w:tc>
      </w:tr>
      <w:tr>
        <w:trPr>
          <w:trHeight w:val="155"/>
        </w:trPr>
        <w:tc>
          <w:tcPr>
            <w:tcW w:w="42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PT Network, LLC</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9%</w:t>
            </w:r>
          </w:p>
        </w:tc>
        <w:tc>
          <w:tcPr>
            <w:tcW w:w="42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RAM Energy Holdings LLC</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w:t>
            </w:r>
          </w:p>
        </w:tc>
      </w:tr>
      <w:tr>
        <w:trPr>
          <w:trHeight w:val="16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RAM Energy Holdings LLC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PT Network, LLC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Cascade Environmental LLC</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Cascade Environmental LLC</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Winter Park Intermediate, Inc.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Winter Park Intermediate, Inc.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AKW Holdings Limited</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AKW Holdings Limited</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DecoPac, Inc.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American Insulated Glass, LLC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Halo Buyer, Inc.</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Cano Health, LLC</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Provation Medical, Inc.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Halo Buyer, Inc.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Research Horizons, LLC</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MailSouth, Inc.</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CFF"/>
          </w:tcPr>
          <w:p>
            <w:pPr>
              <w:spacing w:after="0"/>
              <w:rPr>
                <w:sz w:val="14"/>
                <w:szCs w:val="14"/>
                <w:color w:val="auto"/>
              </w:rPr>
            </w:pPr>
          </w:p>
        </w:tc>
      </w:tr>
      <w:tr>
        <w:trPr>
          <w:trHeight w:val="188"/>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Walker Edison Furniture Company LLC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4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TVC Enterprises, LLC</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6"/>
                <w:szCs w:val="16"/>
                <w:color w:val="auto"/>
              </w:rPr>
            </w:pPr>
          </w:p>
        </w:tc>
      </w:tr>
      <w:tr>
        <w:trPr>
          <w:trHeight w:val="36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0" w:type="dxa"/>
            <w:vAlign w:val="bottom"/>
            <w:tcBorders>
              <w:bottom w:val="single" w:sz="8" w:color="CCECFF"/>
            </w:tcBorders>
          </w:tcPr>
          <w:p>
            <w:pPr>
              <w:spacing w:after="0"/>
              <w:rPr>
                <w:sz w:val="24"/>
                <w:szCs w:val="24"/>
                <w:color w:val="auto"/>
              </w:rPr>
            </w:pPr>
          </w:p>
        </w:tc>
        <w:tc>
          <w:tcPr>
            <w:tcW w:w="9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12"/>
                <w:szCs w:val="12"/>
                <w:b w:val="1"/>
                <w:bCs w:val="1"/>
                <w:color w:val="auto"/>
              </w:rPr>
              <w:t>(1)</w:t>
            </w:r>
          </w:p>
        </w:tc>
        <w:tc>
          <w:tcPr>
            <w:tcW w:w="340" w:type="dxa"/>
            <w:vAlign w:val="bottom"/>
            <w:tcBorders>
              <w:bottom w:val="single" w:sz="8" w:color="CCECFF"/>
            </w:tcBorders>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0" w:type="dxa"/>
            <w:vAlign w:val="bottom"/>
            <w:tcBorders>
              <w:bottom w:val="single" w:sz="8" w:color="CCECFF"/>
            </w:tcBorders>
          </w:tcPr>
          <w:p>
            <w:pPr>
              <w:spacing w:after="0"/>
              <w:rPr>
                <w:sz w:val="24"/>
                <w:szCs w:val="24"/>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CFF"/>
            </w:tcBorders>
          </w:tcPr>
          <w:p>
            <w:pPr>
              <w:spacing w:after="0"/>
              <w:rPr>
                <w:sz w:val="24"/>
                <w:szCs w:val="24"/>
                <w:color w:val="auto"/>
              </w:rPr>
            </w:pPr>
          </w:p>
        </w:tc>
      </w:tr>
      <w:tr>
        <w:trPr>
          <w:trHeight w:val="155"/>
        </w:trPr>
        <w:tc>
          <w:tcPr>
            <w:tcW w:w="42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Healthcare, Education and Childcare</w:t>
            </w:r>
          </w:p>
        </w:tc>
        <w:tc>
          <w:tcPr>
            <w:tcW w:w="200" w:type="dxa"/>
            <w:vAlign w:val="bottom"/>
            <w:shd w:val="clear" w:color="auto" w:fill="CCECFF"/>
          </w:tcPr>
          <w:p>
            <w:pPr>
              <w:spacing w:after="0"/>
              <w:rPr>
                <w:sz w:val="13"/>
                <w:szCs w:val="13"/>
                <w:color w:val="auto"/>
              </w:rPr>
            </w:pPr>
          </w:p>
        </w:tc>
        <w:tc>
          <w:tcPr>
            <w:tcW w:w="1260" w:type="dxa"/>
            <w:vAlign w:val="bottom"/>
            <w:gridSpan w:val="2"/>
            <w:shd w:val="clear" w:color="auto" w:fill="CCECFF"/>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424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Healthcare, Education and Childcare</w:t>
            </w:r>
          </w:p>
        </w:tc>
        <w:tc>
          <w:tcPr>
            <w:tcW w:w="200" w:type="dxa"/>
            <w:vAlign w:val="bottom"/>
            <w:shd w:val="clear" w:color="auto" w:fill="CCECFF"/>
          </w:tcPr>
          <w:p>
            <w:pPr>
              <w:spacing w:after="0"/>
              <w:rPr>
                <w:sz w:val="13"/>
                <w:szCs w:val="13"/>
                <w:color w:val="auto"/>
              </w:rPr>
            </w:pPr>
          </w:p>
        </w:tc>
        <w:tc>
          <w:tcPr>
            <w:tcW w:w="1060" w:type="dxa"/>
            <w:vAlign w:val="bottom"/>
            <w:gridSpan w:val="2"/>
            <w:shd w:val="clear" w:color="auto" w:fill="CCEC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16%</w:t>
            </w:r>
          </w:p>
        </w:tc>
      </w:tr>
      <w:tr>
        <w:trPr>
          <w:trHeight w:val="16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Energy and Utilities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Energy and Utilities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Auto Sector</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Media</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Consumer Products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Consumer Products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Environmental Services</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Building Materials</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Media</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Building Materials</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Auto Sector</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4"/>
                <w:szCs w:val="14"/>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r>
      <w:tr>
        <w:trPr>
          <w:trHeight w:val="162"/>
        </w:trPr>
        <w:tc>
          <w:tcPr>
            <w:tcW w:w="44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Electronics</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shd w:val="clear" w:color="auto" w:fill="CCECFF"/>
          </w:tcPr>
          <w:p>
            <w:pPr>
              <w:spacing w:after="0"/>
              <w:rPr>
                <w:sz w:val="14"/>
                <w:szCs w:val="14"/>
                <w:color w:val="auto"/>
              </w:rPr>
            </w:pPr>
          </w:p>
        </w:tc>
        <w:tc>
          <w:tcPr>
            <w:tcW w:w="4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4"/>
                <w:szCs w:val="14"/>
                <w:color w:val="auto"/>
              </w:rPr>
            </w:pPr>
          </w:p>
        </w:tc>
      </w:tr>
      <w:tr>
        <w:trPr>
          <w:trHeight w:val="188"/>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Insurance</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40" w:type="dxa"/>
            <w:vAlign w:val="bottom"/>
          </w:tcPr>
          <w:p>
            <w:pPr>
              <w:spacing w:after="0"/>
              <w:rPr>
                <w:sz w:val="16"/>
                <w:szCs w:val="16"/>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Environmental Services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455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380" w:hanging="372"/>
        <w:spacing w:after="0" w:line="233" w:lineRule="auto"/>
        <w:tabs>
          <w:tab w:leader="none" w:pos="380" w:val="left"/>
        </w:tabs>
        <w:numPr>
          <w:ilvl w:val="0"/>
          <w:numId w:val="22"/>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Excludes investments in PSLF.</w:t>
      </w:r>
    </w:p>
    <w:p>
      <w:pPr>
        <w:spacing w:after="0" w:line="119" w:lineRule="exact"/>
        <w:rPr>
          <w:sz w:val="20"/>
          <w:szCs w:val="20"/>
          <w:color w:val="auto"/>
        </w:rPr>
      </w:pPr>
    </w:p>
    <w:p>
      <w:pPr>
        <w:ind w:right="40" w:firstLine="438"/>
        <w:spacing w:after="0"/>
        <w:rPr>
          <w:sz w:val="20"/>
          <w:szCs w:val="20"/>
          <w:color w:val="auto"/>
        </w:rPr>
      </w:pPr>
      <w:r>
        <w:rPr>
          <w:rFonts w:ascii="Times New Roman" w:cs="Times New Roman" w:eastAsia="Times New Roman" w:hAnsi="Times New Roman"/>
          <w:sz w:val="14"/>
          <w:szCs w:val="14"/>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certain of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The Investment Adviser will allocate investment opportunities in a fair and equitable manner consistent with our allocation policy, and we have received exemptive relief with respect to certain co-investment transactions. Where co-investment is unavailable or inappropriate, the Investment Adviser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85" w:lineRule="exact"/>
        <w:rPr>
          <w:sz w:val="20"/>
          <w:szCs w:val="20"/>
          <w:color w:val="auto"/>
        </w:rPr>
      </w:pPr>
    </w:p>
    <w:p>
      <w:pPr>
        <w:ind w:right="100" w:firstLine="438"/>
        <w:spacing w:after="0" w:line="241" w:lineRule="auto"/>
        <w:rPr>
          <w:sz w:val="20"/>
          <w:szCs w:val="20"/>
          <w:color w:val="auto"/>
        </w:rPr>
      </w:pPr>
      <w:r>
        <w:rPr>
          <w:rFonts w:ascii="Times New Roman" w:cs="Times New Roman" w:eastAsia="Times New Roman" w:hAnsi="Times New Roman"/>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our trade allocation procedures and, if applicable, the terms of our exemptive relief.</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Management Agreement</w:t>
      </w:r>
    </w:p>
    <w:p>
      <w:pPr>
        <w:spacing w:after="0" w:line="127" w:lineRule="exact"/>
        <w:rPr>
          <w:sz w:val="20"/>
          <w:szCs w:val="20"/>
          <w:color w:val="auto"/>
        </w:rPr>
      </w:pPr>
    </w:p>
    <w:p>
      <w:pPr>
        <w:ind w:right="60" w:firstLine="438"/>
        <w:spacing w:after="0" w:line="233" w:lineRule="auto"/>
        <w:rPr>
          <w:sz w:val="20"/>
          <w:szCs w:val="20"/>
          <w:color w:val="auto"/>
        </w:rPr>
      </w:pPr>
      <w:r>
        <w:rPr>
          <w:rFonts w:ascii="Times New Roman" w:cs="Times New Roman" w:eastAsia="Times New Roman" w:hAnsi="Times New Roman"/>
          <w:sz w:val="14"/>
          <w:szCs w:val="14"/>
          <w:color w:val="auto"/>
        </w:rPr>
        <w:t>We have entered into an agreement with the Investment Adviser, or the Investment Management Agreement, under which the Investment Adviser, subject to the overall supervision of our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SBIC II under its respective investment management agreement. Such investment management agreement does not affect the management or incentive fees that we pay to the Investment Adviser on a consolidated basis. Under the terms of our Investment Management Agreement, the Investment Adviser:</w:t>
      </w:r>
    </w:p>
    <w:p>
      <w:pPr>
        <w:spacing w:after="0" w:line="110" w:lineRule="exact"/>
        <w:rPr>
          <w:sz w:val="20"/>
          <w:szCs w:val="20"/>
          <w:color w:val="auto"/>
        </w:rPr>
      </w:pPr>
    </w:p>
    <w:p>
      <w:pPr>
        <w:ind w:left="920" w:hanging="359"/>
        <w:spacing w:after="0"/>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determines the composition of our portfolio, the nature and timing of the changes to our portfolio and the manner of implementing such changes;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identifies, evaluates and negotiates the structure of the investments we make (including performing due diligence on our prospective portfolio companies);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closes and monitors the investments we make;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us with such other investment advisory, research and related services, as we may need from time to time.</w:t>
      </w:r>
    </w:p>
    <w:p>
      <w:pPr>
        <w:spacing w:after="0" w:line="136" w:lineRule="exact"/>
        <w:rPr>
          <w:sz w:val="20"/>
          <w:szCs w:val="20"/>
          <w:color w:val="auto"/>
        </w:rPr>
      </w:pPr>
    </w:p>
    <w:p>
      <w:pPr>
        <w:ind w:right="280" w:firstLine="438"/>
        <w:spacing w:after="0" w:line="236" w:lineRule="auto"/>
        <w:rPr>
          <w:sz w:val="20"/>
          <w:szCs w:val="20"/>
          <w:color w:val="auto"/>
        </w:rPr>
      </w:pPr>
      <w:r>
        <w:rPr>
          <w:rFonts w:ascii="Times New Roman" w:cs="Times New Roman" w:eastAsia="Times New Roman" w:hAnsi="Times New Roman"/>
          <w:sz w:val="14"/>
          <w:szCs w:val="14"/>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monitors for any potential conflicts that may arise upon such a development. For providing these services, the Investment Adviser receives a fee from us, consisting of two components—a base management fee and an incentive fee or, collectively, Management Fees.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 Fees</w:t>
      </w:r>
    </w:p>
    <w:p>
      <w:pPr>
        <w:spacing w:after="0" w:line="127" w:lineRule="exact"/>
        <w:rPr>
          <w:sz w:val="20"/>
          <w:szCs w:val="20"/>
          <w:color w:val="auto"/>
        </w:rPr>
      </w:pPr>
    </w:p>
    <w:p>
      <w:pPr>
        <w:ind w:right="20" w:firstLine="438"/>
        <w:spacing w:after="0" w:line="244" w:lineRule="auto"/>
        <w:rPr>
          <w:sz w:val="20"/>
          <w:szCs w:val="20"/>
          <w:color w:val="auto"/>
        </w:rPr>
      </w:pPr>
      <w:r>
        <w:rPr>
          <w:rFonts w:ascii="Times New Roman" w:cs="Times New Roman" w:eastAsia="Times New Roman" w:hAnsi="Times New Roman"/>
          <w:sz w:val="13"/>
          <w:szCs w:val="13"/>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2020, 2019 and 2018, the Investment Adviser earned base management fees of $18.6 million, $18.2 million and $16.5 million (after a waiver of $0.9 million), respectively, from us.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is a hypothetical example of the calculation of average adjusted gross assets:</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Gross assets as of December 31, 20XX = $160 million</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U.S. Treasury bills and temporary draws on credit facilities as of December 31, 20XX = $10 million</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Adjusted gross assets as of December 31, 20XX = $150 million</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Gross assets as of March 31, 20XX = $200 million</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U.S. Treasury bills and temporary draws on credit facilities as of March 31, 20XX = $20 million</w:t>
      </w:r>
    </w:p>
    <w:p>
      <w:pPr>
        <w:spacing w:after="0" w:line="1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4"/>
          <w:szCs w:val="14"/>
          <w:color w:val="auto"/>
        </w:rPr>
        <w:t>Adjusted gross assets as of March 31, 20XX = $180 million</w:t>
      </w:r>
    </w:p>
    <w:p>
      <w:pPr>
        <w:spacing w:after="0" w:line="136" w:lineRule="exact"/>
        <w:rPr>
          <w:sz w:val="20"/>
          <w:szCs w:val="20"/>
          <w:color w:val="auto"/>
        </w:rPr>
      </w:pPr>
    </w:p>
    <w:p>
      <w:pPr>
        <w:ind w:right="260" w:firstLine="438"/>
        <w:spacing w:after="0" w:line="261" w:lineRule="auto"/>
        <w:rPr>
          <w:sz w:val="20"/>
          <w:szCs w:val="20"/>
          <w:color w:val="auto"/>
        </w:rPr>
      </w:pPr>
      <w:r>
        <w:rPr>
          <w:rFonts w:ascii="Times New Roman" w:cs="Times New Roman" w:eastAsia="Times New Roman" w:hAnsi="Times New Roman"/>
          <w:sz w:val="14"/>
          <w:szCs w:val="14"/>
          <w:color w:val="auto"/>
        </w:rPr>
        <w:t>Average value of adjusted gross assets as of March 31, 20XX and December 31, 20XX, which are the two immediately preceding calendar quarters, and appropriately adjusted for any share issuances or repurchases during the current calendar quarter equals ($150 million + $180 million) / 2 = $165 million.</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36" w:lineRule="exact"/>
        <w:rPr>
          <w:sz w:val="20"/>
          <w:szCs w:val="20"/>
          <w:color w:val="auto"/>
        </w:rPr>
      </w:pPr>
    </w:p>
    <w:p>
      <w:pPr>
        <w:ind w:firstLine="438"/>
        <w:spacing w:after="0" w:line="224"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or amendment fees under any credit facilities and distribution paid on any issued and outstanding preferred stock, but excluding the incentive fee). Pre-Incentive Fee Net Investment Income includes, in the case of investments with a deferred interest feature (such as original issue discount, or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w:t>
      </w:r>
    </w:p>
    <w:p>
      <w:pPr>
        <w:ind w:firstLine="8"/>
        <w:spacing w:after="0" w:line="224" w:lineRule="auto"/>
        <w:tabs>
          <w:tab w:leader="none" w:pos="20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Additionally, beginning April 1, 2020 and through September 30, 2020, the Investment Adviser has voluntarily agreed, in consultation with our board of directors, to irrevocably waive the performance-based incentive fees. For the years ended September 30, 2020, 2019 and 2018, the Investment Adviser earned $2.7 million (after a waiver of $1.9 million), $5.1 million and $11.0 million (after a waiver of $0.5 million), respectively, in incentive fees on net investment income from us.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is a graphical representation of the calculation of quarterly incentive fee based on Pre-Incentive Fee Net Investment Income: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Pre-Incentive Fee Net Investment Income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90805</wp:posOffset>
            </wp:positionV>
            <wp:extent cx="2486025" cy="488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8602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Percentage of Pre-Incentive Fee Net Investment Income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i w:val="1"/>
          <w:iCs w:val="1"/>
          <w:color w:val="auto"/>
        </w:rPr>
        <w:t>allocated to income-related portion of incentive fee</w:t>
      </w:r>
    </w:p>
    <w:p>
      <w:pPr>
        <w:spacing w:after="0" w:line="120" w:lineRule="exact"/>
        <w:rPr>
          <w:sz w:val="20"/>
          <w:szCs w:val="20"/>
          <w:color w:val="auto"/>
        </w:rPr>
      </w:pPr>
    </w:p>
    <w:p>
      <w:pPr>
        <w:ind w:right="120" w:firstLine="438"/>
        <w:spacing w:after="0" w:line="233"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2020, 2019 and 2018, the Investment Adviser did not accrue an incentive fee on capital gains as calculated under the Investment Management Agreement (as described above).</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1" w:name="page12"/>
    <w:bookmarkEnd w:id="11"/>
    <w:p>
      <w:pPr>
        <w:ind w:firstLine="438"/>
        <w:spacing w:after="0" w:line="228" w:lineRule="auto"/>
        <w:rPr>
          <w:sz w:val="20"/>
          <w:szCs w:val="20"/>
          <w:color w:val="auto"/>
        </w:rPr>
      </w:pPr>
      <w:r>
        <w:rPr>
          <w:rFonts w:ascii="Times New Roman" w:cs="Times New Roman" w:eastAsia="Times New Roman" w:hAnsi="Times New Roman"/>
          <w:sz w:val="14"/>
          <w:szCs w:val="14"/>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2020, 2019 and 2018, the Investment Adviser did not accrue an incentive fee on capital gains as calculated under GAAP.</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Examples of Quarterly Incentive Fee Calculation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Example 1: Income Related Portion of Incentive Fee (*):</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Alternative 1:</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1.25%</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Hurdle </w:t>
      </w:r>
      <w:r>
        <w:rPr>
          <w:rFonts w:ascii="Times New Roman" w:cs="Times New Roman" w:eastAsia="Times New Roman" w:hAnsi="Times New Roman"/>
          <w:sz w:val="12"/>
          <w:szCs w:val="12"/>
          <w:color w:val="auto"/>
        </w:rPr>
        <w:t>(1)</w:t>
      </w:r>
      <w:r>
        <w:rPr>
          <w:rFonts w:ascii="Times New Roman" w:cs="Times New Roman" w:eastAsia="Times New Roman" w:hAnsi="Times New Roman"/>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Base management fee </w:t>
      </w:r>
      <w:r>
        <w:rPr>
          <w:rFonts w:ascii="Times New Roman" w:cs="Times New Roman" w:eastAsia="Times New Roman" w:hAnsi="Times New Roman"/>
          <w:sz w:val="12"/>
          <w:szCs w:val="12"/>
          <w:color w:val="auto"/>
        </w:rPr>
        <w:t>(2)</w:t>
      </w:r>
      <w:r>
        <w:rPr>
          <w:rFonts w:ascii="Times New Roman" w:cs="Times New Roman" w:eastAsia="Times New Roman" w:hAnsi="Times New Roman"/>
          <w:sz w:val="14"/>
          <w:szCs w:val="14"/>
          <w:color w:val="auto"/>
        </w:rPr>
        <w:t xml:space="preserve"> = 0.375%</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income—(base management fee + other expenses)) = 0.675%</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Pre-Incentive Fee Net Investment Income does not exceed the hurdle; therefore, there is no incentive fee.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Alternative 2:</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2.70%</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Hurdle </w:t>
      </w:r>
      <w:r>
        <w:rPr>
          <w:rFonts w:ascii="Times New Roman" w:cs="Times New Roman" w:eastAsia="Times New Roman" w:hAnsi="Times New Roman"/>
          <w:sz w:val="12"/>
          <w:szCs w:val="12"/>
          <w:color w:val="auto"/>
        </w:rPr>
        <w:t>(1)</w:t>
      </w:r>
      <w:r>
        <w:rPr>
          <w:rFonts w:ascii="Times New Roman" w:cs="Times New Roman" w:eastAsia="Times New Roman" w:hAnsi="Times New Roman"/>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Base management fee </w:t>
      </w:r>
      <w:r>
        <w:rPr>
          <w:rFonts w:ascii="Times New Roman" w:cs="Times New Roman" w:eastAsia="Times New Roman" w:hAnsi="Times New Roman"/>
          <w:sz w:val="12"/>
          <w:szCs w:val="12"/>
          <w:color w:val="auto"/>
        </w:rPr>
        <w:t>(2)</w:t>
      </w:r>
      <w:r>
        <w:rPr>
          <w:rFonts w:ascii="Times New Roman" w:cs="Times New Roman" w:eastAsia="Times New Roman" w:hAnsi="Times New Roman"/>
          <w:sz w:val="14"/>
          <w:szCs w:val="14"/>
          <w:color w:val="auto"/>
        </w:rPr>
        <w:t xml:space="preserve"> = 0.375%</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 = 0.20%</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Pre-Incentive Fee Net Investment Income</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income—(base management fee + other expenses)) = 2.125%</w:t>
      </w:r>
    </w:p>
    <w:p>
      <w:pPr>
        <w:spacing w:after="0" w:line="136" w:lineRule="exact"/>
        <w:rPr>
          <w:sz w:val="20"/>
          <w:szCs w:val="20"/>
          <w:color w:val="auto"/>
        </w:rPr>
      </w:pPr>
    </w:p>
    <w:p>
      <w:pPr>
        <w:ind w:left="1100"/>
        <w:spacing w:after="0"/>
        <w:tabs>
          <w:tab w:leader="none" w:pos="2320" w:val="left"/>
        </w:tabs>
        <w:rPr>
          <w:sz w:val="20"/>
          <w:szCs w:val="20"/>
          <w:color w:val="auto"/>
        </w:rPr>
      </w:pPr>
      <w:r>
        <w:rPr>
          <w:rFonts w:ascii="Times New Roman" w:cs="Times New Roman" w:eastAsia="Times New Roman" w:hAnsi="Times New Roman"/>
          <w:sz w:val="14"/>
          <w:szCs w:val="14"/>
          <w:color w:val="auto"/>
        </w:rPr>
        <w:t>Incentive fee</w:t>
      </w:r>
      <w:r>
        <w:rPr>
          <w:sz w:val="20"/>
          <w:szCs w:val="20"/>
          <w:color w:val="auto"/>
        </w:rPr>
        <w:tab/>
      </w:r>
      <w:r>
        <w:rPr>
          <w:rFonts w:ascii="Times New Roman" w:cs="Times New Roman" w:eastAsia="Times New Roman" w:hAnsi="Times New Roman"/>
          <w:sz w:val="14"/>
          <w:szCs w:val="14"/>
          <w:color w:val="auto"/>
        </w:rPr>
        <w:t>= 17.5% x Pre-Incentive Fee Net Investment Income, subject to “catch-up”</w:t>
      </w:r>
    </w:p>
    <w:p>
      <w:pPr>
        <w:ind w:left="2440" w:hanging="110"/>
        <w:spacing w:after="0" w:line="226" w:lineRule="auto"/>
        <w:tabs>
          <w:tab w:leader="none" w:pos="2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2.125% - 1.75%</w:t>
      </w:r>
    </w:p>
    <w:p>
      <w:pPr>
        <w:ind w:left="2440" w:hanging="110"/>
        <w:spacing w:after="0" w:line="221" w:lineRule="auto"/>
        <w:tabs>
          <w:tab w:leader="none" w:pos="2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0.375%</w:t>
      </w:r>
    </w:p>
    <w:p>
      <w:pPr>
        <w:ind w:left="2440" w:hanging="110"/>
        <w:spacing w:after="0" w:line="221" w:lineRule="auto"/>
        <w:tabs>
          <w:tab w:leader="none" w:pos="2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x 0.375%</w:t>
      </w:r>
    </w:p>
    <w:p>
      <w:pPr>
        <w:ind w:left="2440" w:hanging="110"/>
        <w:spacing w:after="0"/>
        <w:tabs>
          <w:tab w:leader="none" w:pos="24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Alternative 3:</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 (including interest, dividends, fees, etc.) = 3.00%</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Hurdle </w:t>
      </w:r>
      <w:r>
        <w:rPr>
          <w:rFonts w:ascii="Times New Roman" w:cs="Times New Roman" w:eastAsia="Times New Roman" w:hAnsi="Times New Roman"/>
          <w:sz w:val="12"/>
          <w:szCs w:val="12"/>
          <w:color w:val="auto"/>
        </w:rPr>
        <w:t>(1)</w:t>
      </w:r>
      <w:r>
        <w:rPr>
          <w:rFonts w:ascii="Times New Roman" w:cs="Times New Roman" w:eastAsia="Times New Roman" w:hAnsi="Times New Roman"/>
          <w:sz w:val="14"/>
          <w:szCs w:val="14"/>
          <w:color w:val="auto"/>
        </w:rPr>
        <w:t xml:space="preserve"> = 1.75%</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Base management fee </w:t>
      </w:r>
      <w:r>
        <w:rPr>
          <w:rFonts w:ascii="Times New Roman" w:cs="Times New Roman" w:eastAsia="Times New Roman" w:hAnsi="Times New Roman"/>
          <w:sz w:val="12"/>
          <w:szCs w:val="12"/>
          <w:color w:val="auto"/>
        </w:rPr>
        <w:t>(2)</w:t>
      </w:r>
      <w:r>
        <w:rPr>
          <w:rFonts w:ascii="Times New Roman" w:cs="Times New Roman" w:eastAsia="Times New Roman" w:hAnsi="Times New Roman"/>
          <w:sz w:val="14"/>
          <w:szCs w:val="14"/>
          <w:color w:val="auto"/>
        </w:rPr>
        <w:t xml:space="preserve"> = 0.375%</w:t>
      </w: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12" w:name="page13"/>
    <w:bookmarkEnd w:id="12"/>
    <w:p>
      <w:pPr>
        <w:ind w:left="160"/>
        <w:spacing w:after="0"/>
        <w:rPr>
          <w:sz w:val="20"/>
          <w:szCs w:val="20"/>
          <w:color w:val="auto"/>
        </w:rPr>
      </w:pPr>
      <w:r>
        <w:rPr>
          <w:rFonts w:ascii="Times New Roman" w:cs="Times New Roman" w:eastAsia="Times New Roman" w:hAnsi="Times New Roman"/>
          <w:sz w:val="14"/>
          <w:szCs w:val="14"/>
          <w:color w:val="auto"/>
        </w:rPr>
        <w:t>Other expenses (legal, accounting, custodian, transfer agent, etc.) = 0.20%</w:t>
      </w:r>
    </w:p>
    <w:p>
      <w:pPr>
        <w:spacing w:after="0" w:line="1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Pre-Incentive Fee Net Investment Income</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(investment income—(base management fee + other expenses)) = 2.425%</w:t>
      </w:r>
    </w:p>
    <w:p>
      <w:pPr>
        <w:sectPr>
          <w:pgSz w:w="11900" w:h="16838" w:orient="portrait"/>
          <w:cols w:equalWidth="0" w:num="1">
            <w:col w:w="11220"/>
          </w:cols>
          <w:pgMar w:left="320" w:top="279" w:right="359" w:bottom="1440" w:gutter="0" w:footer="0" w:header="0"/>
        </w:sectPr>
      </w:pPr>
    </w:p>
    <w:p>
      <w:pPr>
        <w:spacing w:after="0" w:line="13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Incentive fee</w:t>
      </w:r>
    </w:p>
    <w:p>
      <w:pPr>
        <w:ind w:left="1100"/>
        <w:spacing w:after="0" w:line="226" w:lineRule="auto"/>
        <w:rPr>
          <w:sz w:val="20"/>
          <w:szCs w:val="20"/>
          <w:color w:val="auto"/>
        </w:rPr>
      </w:pPr>
      <w:r>
        <w:rPr>
          <w:rFonts w:ascii="Times New Roman" w:cs="Times New Roman" w:eastAsia="Times New Roman" w:hAnsi="Times New Roman"/>
          <w:sz w:val="14"/>
          <w:szCs w:val="14"/>
          <w:color w:val="auto"/>
        </w:rPr>
        <w:t>Incentive fee</w:t>
      </w:r>
    </w:p>
    <w:p>
      <w:pPr>
        <w:ind w:left="1100"/>
        <w:spacing w:after="0"/>
        <w:rPr>
          <w:sz w:val="20"/>
          <w:szCs w:val="20"/>
          <w:color w:val="auto"/>
        </w:rPr>
      </w:pPr>
      <w:r>
        <w:rPr>
          <w:rFonts w:ascii="Times New Roman" w:cs="Times New Roman" w:eastAsia="Times New Roman" w:hAnsi="Times New Roman"/>
          <w:sz w:val="14"/>
          <w:szCs w:val="14"/>
          <w:color w:val="auto"/>
        </w:rPr>
        <w:t>Catch-up</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 17.5% x Pre-Incentive Fee Net Investment Income, subject to “catch-up” </w:t>
      </w:r>
      <w:r>
        <w:rPr>
          <w:rFonts w:ascii="Times New Roman" w:cs="Times New Roman" w:eastAsia="Times New Roman" w:hAnsi="Times New Roman"/>
          <w:sz w:val="12"/>
          <w:szCs w:val="12"/>
          <w:color w:val="auto"/>
        </w:rPr>
        <w:t>(3)</w:t>
      </w:r>
    </w:p>
    <w:p>
      <w:pPr>
        <w:spacing w:after="0" w:line="226" w:lineRule="auto"/>
        <w:rPr>
          <w:sz w:val="20"/>
          <w:szCs w:val="20"/>
          <w:color w:val="auto"/>
        </w:rPr>
      </w:pPr>
      <w:r>
        <w:rPr>
          <w:rFonts w:ascii="Times New Roman" w:cs="Times New Roman" w:eastAsia="Times New Roman" w:hAnsi="Times New Roman"/>
          <w:sz w:val="14"/>
          <w:szCs w:val="14"/>
          <w:color w:val="auto"/>
        </w:rPr>
        <w:t>= 100% x “catch-up” + (17.5% x (Pre-Incentive Fee Net Investment Income - 2.1212%))</w:t>
      </w:r>
    </w:p>
    <w:p>
      <w:pPr>
        <w:spacing w:after="0"/>
        <w:rPr>
          <w:sz w:val="20"/>
          <w:szCs w:val="20"/>
          <w:color w:val="auto"/>
        </w:rPr>
      </w:pPr>
      <w:r>
        <w:rPr>
          <w:rFonts w:ascii="Times New Roman" w:cs="Times New Roman" w:eastAsia="Times New Roman" w:hAnsi="Times New Roman"/>
          <w:sz w:val="14"/>
          <w:szCs w:val="14"/>
          <w:color w:val="auto"/>
        </w:rPr>
        <w:t>= 2.1212% - 1.75%</w:t>
      </w:r>
    </w:p>
    <w:p>
      <w:pPr>
        <w:spacing w:after="0" w:line="1" w:lineRule="exact"/>
        <w:rPr>
          <w:sz w:val="20"/>
          <w:szCs w:val="20"/>
          <w:color w:val="auto"/>
        </w:rPr>
      </w:pPr>
    </w:p>
    <w:p>
      <w:pPr>
        <w:sectPr>
          <w:pgSz w:w="11900" w:h="16838" w:orient="portrait"/>
          <w:cols w:equalWidth="0" w:num="2">
            <w:col w:w="1840" w:space="500"/>
            <w:col w:w="8880"/>
          </w:cols>
          <w:pgMar w:left="320" w:top="279" w:right="359" w:bottom="1440" w:gutter="0" w:footer="0" w:header="0"/>
          <w:type w:val="continuous"/>
        </w:sectPr>
      </w:pPr>
    </w:p>
    <w:p>
      <w:pPr>
        <w:ind w:left="2440" w:hanging="110"/>
        <w:spacing w:after="0" w:line="202" w:lineRule="auto"/>
        <w:tabs>
          <w:tab w:leader="none" w:pos="24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0.3712%</w:t>
      </w:r>
    </w:p>
    <w:p>
      <w:pPr>
        <w:ind w:left="2440" w:hanging="110"/>
        <w:spacing w:after="0" w:line="221" w:lineRule="auto"/>
        <w:tabs>
          <w:tab w:leader="none" w:pos="24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x 0.3712%) + (17.5% x (2.425% - 2.1212%))</w:t>
      </w:r>
    </w:p>
    <w:p>
      <w:pPr>
        <w:ind w:left="2440" w:hanging="110"/>
        <w:spacing w:after="0" w:line="221" w:lineRule="auto"/>
        <w:tabs>
          <w:tab w:leader="none" w:pos="24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0.3712% + (17.5% x 0.3038%)</w:t>
      </w:r>
    </w:p>
    <w:p>
      <w:pPr>
        <w:ind w:left="2440" w:hanging="110"/>
        <w:spacing w:after="0" w:line="221" w:lineRule="auto"/>
        <w:tabs>
          <w:tab w:leader="none" w:pos="24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0.3712% + 0.053165%</w:t>
      </w:r>
    </w:p>
    <w:p>
      <w:pPr>
        <w:ind w:left="2440" w:hanging="110"/>
        <w:spacing w:after="0"/>
        <w:tabs>
          <w:tab w:leader="none" w:pos="2440" w:val="left"/>
        </w:tabs>
        <w:numPr>
          <w:ilvl w:val="1"/>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0.424365%</w:t>
      </w:r>
    </w:p>
    <w:p>
      <w:pPr>
        <w:spacing w:after="0" w:line="17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4"/>
          <w:szCs w:val="14"/>
          <w:color w:val="auto"/>
        </w:rPr>
        <w:t>The hypothetical amount of Pre-Incentive Fee Net Investment Income shown is based on a percentage of total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34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380" w:hanging="372"/>
        <w:spacing w:after="0" w:line="226" w:lineRule="auto"/>
        <w:tabs>
          <w:tab w:leader="none" w:pos="3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7.0% annualized hurdle.</w:t>
      </w:r>
    </w:p>
    <w:p>
      <w:pPr>
        <w:ind w:left="380" w:hanging="372"/>
        <w:spacing w:after="0" w:line="221" w:lineRule="auto"/>
        <w:tabs>
          <w:tab w:leader="none" w:pos="3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1.5% annualized base management fee.</w:t>
      </w:r>
    </w:p>
    <w:p>
      <w:pPr>
        <w:ind w:left="380" w:right="260" w:hanging="372"/>
        <w:spacing w:after="0" w:line="239" w:lineRule="auto"/>
        <w:tabs>
          <w:tab w:leader="none" w:pos="3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“catch-up” provision is intended to provide the Investment Adviser with an incentive fee of 17.5% on all of our Pre-Incentive Fee Net Investment Income as if a hurdle rate did not apply when our net investment income exceeds 2.1212% in any calendar quarter.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Example 2: Capital Gains Portion of Incentive Fee:</w:t>
      </w:r>
    </w:p>
    <w:p>
      <w:pPr>
        <w:spacing w:after="0" w:line="1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i w:val="1"/>
          <w:iCs w:val="1"/>
          <w:color w:val="auto"/>
        </w:rPr>
        <w:t>Assumptions</w:t>
      </w:r>
    </w:p>
    <w:p>
      <w:pPr>
        <w:spacing w:after="0" w:line="1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Year 1 = no net realized capital gains or losses</w:t>
      </w:r>
    </w:p>
    <w:p>
      <w:pPr>
        <w:spacing w:after="0" w:line="123" w:lineRule="exact"/>
        <w:rPr>
          <w:sz w:val="20"/>
          <w:szCs w:val="20"/>
          <w:color w:val="auto"/>
        </w:rPr>
      </w:pPr>
    </w:p>
    <w:p>
      <w:pPr>
        <w:ind w:left="160" w:right="200"/>
        <w:spacing w:after="0" w:line="261" w:lineRule="auto"/>
        <w:rPr>
          <w:sz w:val="20"/>
          <w:szCs w:val="20"/>
          <w:color w:val="auto"/>
        </w:rPr>
      </w:pPr>
      <w:r>
        <w:rPr>
          <w:rFonts w:ascii="Times New Roman" w:cs="Times New Roman" w:eastAsia="Times New Roman" w:hAnsi="Times New Roman"/>
          <w:sz w:val="14"/>
          <w:szCs w:val="14"/>
          <w:color w:val="auto"/>
        </w:rPr>
        <w:t>Year 2 = 6% realized capital gains and 1% realized capital losses and unrealized capital depreciation, capital gain incentive fee = 17.5% x (realized capital gains for year computed net of all realized capital losses and unrealized capital depreciation at year end)</w:t>
      </w:r>
    </w:p>
    <w:p>
      <w:pPr>
        <w:spacing w:after="0" w:line="95" w:lineRule="exact"/>
        <w:rPr>
          <w:sz w:val="20"/>
          <w:szCs w:val="20"/>
          <w:color w:val="auto"/>
        </w:rPr>
      </w:pPr>
    </w:p>
    <w:p>
      <w:pPr>
        <w:ind w:left="1100"/>
        <w:spacing w:after="0"/>
        <w:tabs>
          <w:tab w:leader="none" w:pos="2360" w:val="left"/>
        </w:tabs>
        <w:rPr>
          <w:sz w:val="20"/>
          <w:szCs w:val="20"/>
          <w:color w:val="auto"/>
        </w:rPr>
      </w:pPr>
      <w:r>
        <w:rPr>
          <w:rFonts w:ascii="Times New Roman" w:cs="Times New Roman" w:eastAsia="Times New Roman" w:hAnsi="Times New Roman"/>
          <w:sz w:val="14"/>
          <w:szCs w:val="14"/>
          <w:color w:val="auto"/>
        </w:rPr>
        <w:t>Year 1 incentive fee</w:t>
        <w:tab/>
        <w:t>= 17.5% x (0)</w:t>
      </w:r>
    </w:p>
    <w:p>
      <w:pPr>
        <w:ind w:left="2500" w:hanging="116"/>
        <w:spacing w:after="0" w:line="226" w:lineRule="auto"/>
        <w:tabs>
          <w:tab w:leader="none" w:pos="2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w:t>
      </w:r>
    </w:p>
    <w:p>
      <w:pPr>
        <w:ind w:left="2500" w:hanging="116"/>
        <w:spacing w:after="0"/>
        <w:tabs>
          <w:tab w:leader="none" w:pos="250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incentive fee</w:t>
      </w:r>
    </w:p>
    <w:p>
      <w:pPr>
        <w:spacing w:after="0" w:line="120" w:lineRule="exact"/>
        <w:rPr>
          <w:sz w:val="20"/>
          <w:szCs w:val="20"/>
          <w:color w:val="auto"/>
        </w:rPr>
      </w:pPr>
    </w:p>
    <w:p>
      <w:pPr>
        <w:ind w:left="2500" w:hanging="116"/>
        <w:spacing w:after="0"/>
        <w:tabs>
          <w:tab w:leader="none" w:pos="2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17.5% x 5%</w:t>
      </w:r>
    </w:p>
    <w:p>
      <w:pPr>
        <w:spacing w:after="0" w:line="3" w:lineRule="exact"/>
        <w:rPr>
          <w:rFonts w:ascii="Times New Roman" w:cs="Times New Roman" w:eastAsia="Times New Roman" w:hAnsi="Times New Roman"/>
          <w:sz w:val="14"/>
          <w:szCs w:val="14"/>
          <w:color w:val="auto"/>
        </w:rPr>
      </w:pPr>
    </w:p>
    <w:p>
      <w:pPr>
        <w:ind w:left="2500" w:hanging="116"/>
        <w:spacing w:after="0"/>
        <w:tabs>
          <w:tab w:leader="none" w:pos="2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0.875%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of the Investment Adviser</w:t>
      </w:r>
    </w:p>
    <w:p>
      <w:pPr>
        <w:spacing w:after="0" w:line="140" w:lineRule="exact"/>
        <w:rPr>
          <w:sz w:val="20"/>
          <w:szCs w:val="20"/>
          <w:color w:val="auto"/>
        </w:rPr>
      </w:pPr>
    </w:p>
    <w:p>
      <w:pPr>
        <w:ind w:right="460" w:firstLine="438"/>
        <w:spacing w:after="0" w:line="261" w:lineRule="auto"/>
        <w:rPr>
          <w:sz w:val="20"/>
          <w:szCs w:val="20"/>
          <w:color w:val="auto"/>
        </w:rPr>
      </w:pPr>
      <w:r>
        <w:rPr>
          <w:rFonts w:ascii="Times New Roman" w:cs="Times New Roman" w:eastAsia="Times New Roman" w:hAnsi="Times New Roman"/>
          <w:sz w:val="14"/>
          <w:szCs w:val="14"/>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Duration and Termination of Investment Management Agreement</w:t>
      </w:r>
    </w:p>
    <w:p>
      <w:pPr>
        <w:spacing w:after="0" w:line="140" w:lineRule="exact"/>
        <w:rPr>
          <w:sz w:val="20"/>
          <w:szCs w:val="20"/>
          <w:color w:val="auto"/>
        </w:rPr>
      </w:pPr>
    </w:p>
    <w:p>
      <w:pPr>
        <w:ind w:firstLine="438"/>
        <w:spacing w:after="0" w:line="227" w:lineRule="auto"/>
        <w:rPr>
          <w:sz w:val="20"/>
          <w:szCs w:val="20"/>
          <w:color w:val="auto"/>
        </w:rPr>
      </w:pPr>
      <w:r>
        <w:rPr>
          <w:rFonts w:ascii="Times New Roman" w:cs="Times New Roman" w:eastAsia="Times New Roman" w:hAnsi="Times New Roman"/>
          <w:sz w:val="14"/>
          <w:szCs w:val="14"/>
          <w:color w:val="auto"/>
        </w:rPr>
        <w:t>The Investment Management Agreement was reapproved by our board of directors, including a majority of our directors who are not interested persons of us or the Investment Adviser in February 2020. Unless terminated earlier as described below, the Investment Management Agreement will continue in effect for a period of one year through February 2021.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the Investment Adviser’s ability to manage conflicts of interest effectively, our short and long-term performance, our costs, including as compared to comparable externally and internally managed publicly traded BDCs that engage in similar investing activities, the Investment Adviser’s profitability, any economies of scale, and any other benefits of the relationship for the Investment Adviser.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97" w:lineRule="exact"/>
        <w:rPr>
          <w:sz w:val="20"/>
          <w:szCs w:val="20"/>
          <w:color w:val="auto"/>
        </w:rPr>
      </w:pPr>
    </w:p>
    <w:p>
      <w:pPr>
        <w:ind w:right="140" w:firstLine="438"/>
        <w:spacing w:after="0" w:line="236" w:lineRule="auto"/>
        <w:rPr>
          <w:sz w:val="20"/>
          <w:szCs w:val="20"/>
          <w:color w:val="auto"/>
        </w:rPr>
      </w:pPr>
      <w:r>
        <w:rPr>
          <w:rFonts w:ascii="Times New Roman" w:cs="Times New Roman" w:eastAsia="Times New Roman" w:hAnsi="Times New Roman"/>
          <w:sz w:val="14"/>
          <w:szCs w:val="14"/>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Administration Agreement</w:t>
      </w:r>
    </w:p>
    <w:p>
      <w:pPr>
        <w:spacing w:after="0" w:line="140" w:lineRule="exact"/>
        <w:rPr>
          <w:sz w:val="20"/>
          <w:szCs w:val="20"/>
          <w:color w:val="auto"/>
        </w:rPr>
      </w:pPr>
    </w:p>
    <w:p>
      <w:pPr>
        <w:ind w:right="40" w:firstLine="438"/>
        <w:spacing w:after="0" w:line="226" w:lineRule="auto"/>
        <w:rPr>
          <w:sz w:val="20"/>
          <w:szCs w:val="20"/>
          <w:color w:val="auto"/>
        </w:rPr>
      </w:pPr>
      <w:r>
        <w:rPr>
          <w:rFonts w:ascii="Times New Roman" w:cs="Times New Roman" w:eastAsia="Times New Roman" w:hAnsi="Times New Roman"/>
          <w:sz w:val="14"/>
          <w:szCs w:val="14"/>
          <w:color w:val="auto"/>
        </w:rPr>
        <w:t>We have entered into an agreement, or the Administration Agreement, with the Administrator, under which the Administrator furnishes us with office facilities, equipment and clerical, bookkeeping and record keeping services. Under our Administration Agreement, the Administrator performs, or oversees the performance of, our required administrative services, which include, among other activities, being responsible for the financial records we are required to maintain and preparing reports to our stockholders and reports filed with the SEC. In addition, the Administrator assists us in determining and publishing our NAV, oversees the preparation and filing of our tax returns and generally oversees the payment of our expenses and the performance of administrative and professional services rendered to us by others. PennantPark Investment, through the Administrator, provides similar services to SBIC II under its administration agreement with us. For providing these services, facilities and personnel, we have agreed to reimburse the Administrator for its allocable portion of overhead and other expenses incurred by the Administrator in performing its obligations under the Administration Agreement, including rent, technology systems, insurance and our allocable portion of the cost of compensation and related expenses of our Chief Compliance Officer, Chief Financial Officer and their respective staffs. The Administrator also offers on our behalf, significant managerial assistance to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Statements of Operations. For the years ended September 30, 2020, 2019 and 2018, we reimbursed the Investment Adviser approximately $1.4 million, $1.8 million and $2.0 million, respectively, including expenses the Investment Adviser incurred on behalf of the Administrator for services described above.</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Duration and Termination of Administration Agreement</w:t>
      </w:r>
    </w:p>
    <w:p>
      <w:pPr>
        <w:spacing w:after="0" w:line="127" w:lineRule="exact"/>
        <w:rPr>
          <w:sz w:val="20"/>
          <w:szCs w:val="20"/>
          <w:color w:val="auto"/>
        </w:rPr>
      </w:pPr>
    </w:p>
    <w:p>
      <w:pPr>
        <w:ind w:right="100" w:firstLine="438"/>
        <w:spacing w:after="0" w:line="233" w:lineRule="auto"/>
        <w:rPr>
          <w:sz w:val="20"/>
          <w:szCs w:val="20"/>
          <w:color w:val="auto"/>
        </w:rPr>
      </w:pPr>
      <w:r>
        <w:rPr>
          <w:rFonts w:ascii="Times New Roman" w:cs="Times New Roman" w:eastAsia="Times New Roman" w:hAnsi="Times New Roman"/>
          <w:sz w:val="14"/>
          <w:szCs w:val="14"/>
          <w:color w:val="auto"/>
        </w:rPr>
        <w:t>The Administration Agreement was reapproved by our board of directors, including a majority of our directors who are not interested persons of us, in February 2020. Unless terminated earlier as described below, our Administration Agreement will continue in effect for a period of one year through February 2021. It will remain in effect if approved annually by our board of directors, or by the affirmative vote of the holders of a majority of our outstanding voting securities, including, in either case, approval by a majority of our directors who are not interested persons of us. The Administration Agreement may not be assigned by either party without the consent of the other party. The Administration Agreement may be terminated by either party without penalty upon 60 days’ written notice to the other.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Indemnification</w:t>
      </w:r>
    </w:p>
    <w:p>
      <w:pPr>
        <w:spacing w:after="0" w:line="140" w:lineRule="exact"/>
        <w:rPr>
          <w:sz w:val="20"/>
          <w:szCs w:val="20"/>
          <w:color w:val="auto"/>
        </w:rPr>
      </w:pPr>
    </w:p>
    <w:p>
      <w:pPr>
        <w:ind w:right="220" w:firstLine="438"/>
        <w:spacing w:after="0" w:line="233" w:lineRule="auto"/>
        <w:rPr>
          <w:sz w:val="20"/>
          <w:szCs w:val="20"/>
          <w:color w:val="auto"/>
        </w:rPr>
      </w:pPr>
      <w:r>
        <w:rPr>
          <w:rFonts w:ascii="Times New Roman" w:cs="Times New Roman" w:eastAsia="Times New Roman" w:hAnsi="Times New Roman"/>
          <w:sz w:val="14"/>
          <w:szCs w:val="14"/>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managers,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License Agreement</w:t>
      </w:r>
    </w:p>
    <w:p>
      <w:pPr>
        <w:spacing w:after="0" w:line="140"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We have entered into a license agreement, or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PennantPark Senior Loan Fund, LLC</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On July 31, 2020, we and Pantheon formed PSLF, an unconsolidated joint venture. PSLF invests primarily in middle-market and other corporate debt securities consistent with our</w:t>
      </w:r>
    </w:p>
    <w:p>
      <w:pPr>
        <w:spacing w:after="0" w:line="27" w:lineRule="exact"/>
        <w:rPr>
          <w:sz w:val="20"/>
          <w:szCs w:val="20"/>
          <w:color w:val="auto"/>
        </w:rPr>
      </w:pPr>
    </w:p>
    <w:p>
      <w:pPr>
        <w:ind w:right="340"/>
        <w:spacing w:after="0" w:line="234" w:lineRule="auto"/>
        <w:rPr>
          <w:sz w:val="20"/>
          <w:szCs w:val="20"/>
          <w:color w:val="auto"/>
        </w:rPr>
      </w:pPr>
      <w:r>
        <w:rPr>
          <w:rFonts w:ascii="Times New Roman" w:cs="Times New Roman" w:eastAsia="Times New Roman" w:hAnsi="Times New Roman"/>
          <w:sz w:val="14"/>
          <w:szCs w:val="14"/>
          <w:color w:val="auto"/>
        </w:rPr>
        <w:t>strategy. PSLF was formed as a Delaware limited liability company. As of September 30, 2020, PSLF had total assets of $361.8 million, and its portfolio consisted of debt investments in 37 portfolio companies. As of September 30, 2020, at fair value, the largest investment in a single portfolio company in PSLF was $18.4 million and the five largest investments totaled $77.9 million. PSLF invests in portfolio companies in the same industries in which we may directly invest.</w:t>
      </w:r>
    </w:p>
    <w:p>
      <w:pPr>
        <w:spacing w:after="0" w:line="1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September 30, 2020, we and Pantheon owned 72% and 28%, respectively, of each of the</w:t>
      </w:r>
    </w:p>
    <w:p>
      <w:pPr>
        <w:spacing w:after="0" w:line="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outstanding subordinated notes and equity interests of PSLF. As of the same date, our investment in PSLF consisted of subordinated notes of $63.0 million and equity interests of $36.3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Development Company, Regulated Investment Company Regulations and Small Business Investment Company Regulations</w:t>
      </w:r>
    </w:p>
    <w:p>
      <w:pPr>
        <w:spacing w:after="0" w:line="140"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its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holders of a majority of our outstanding voting securities.</w:t>
      </w:r>
    </w:p>
    <w:p>
      <w:pPr>
        <w:spacing w:after="0" w:line="96" w:lineRule="exact"/>
        <w:rPr>
          <w:sz w:val="20"/>
          <w:szCs w:val="20"/>
          <w:color w:val="auto"/>
        </w:rPr>
      </w:pPr>
    </w:p>
    <w:p>
      <w:pPr>
        <w:ind w:right="60" w:firstLine="438"/>
        <w:spacing w:after="0"/>
        <w:rPr>
          <w:sz w:val="20"/>
          <w:szCs w:val="20"/>
          <w:color w:val="auto"/>
        </w:rPr>
      </w:pPr>
      <w:r>
        <w:rPr>
          <w:rFonts w:ascii="Times New Roman" w:cs="Times New Roman" w:eastAsia="Times New Roman" w:hAnsi="Times New Roman"/>
          <w:sz w:val="14"/>
          <w:szCs w:val="14"/>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of 1933, as amended, or the Securities Act. We may purchase or otherwise receive warrants to purchase the common stock of our portfolio companies in connection with acquisition financing or other investments. Similarly, in connection with an acquisition, we may acquire rights to require the issuers of securities we own or their affiliates to repurchase them under certain circumstances. We do not intend to acquire securities issued by any registered investment company that exceed the limits imposed by the 1940 Act. Under these limits, we generally cannot acquire more than 3% of the voting stock of any registered investment company, invest more than 5% of the value of our total assets in the securities of one registered investment company or invest more than 10% of the value of our total assets in the securities of more than one registered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and currency fluctuations. None of these policies are fundamental and they may be changed without stockholder approval.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Qualifying Assets</w:t>
      </w:r>
    </w:p>
    <w:p>
      <w:pPr>
        <w:spacing w:after="0" w:line="140" w:lineRule="exact"/>
        <w:rPr>
          <w:sz w:val="20"/>
          <w:szCs w:val="20"/>
          <w:color w:val="auto"/>
        </w:rPr>
      </w:pPr>
    </w:p>
    <w:p>
      <w:pPr>
        <w:ind w:firstLine="438"/>
        <w:spacing w:after="0" w:line="261" w:lineRule="auto"/>
        <w:rPr>
          <w:sz w:val="20"/>
          <w:szCs w:val="20"/>
          <w:color w:val="auto"/>
        </w:rPr>
      </w:pPr>
      <w:r>
        <w:rPr>
          <w:rFonts w:ascii="Times New Roman" w:cs="Times New Roman" w:eastAsia="Times New Roman" w:hAnsi="Times New Roman"/>
          <w:sz w:val="14"/>
          <w:szCs w:val="14"/>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82" w:lineRule="exact"/>
        <w:rPr>
          <w:sz w:val="20"/>
          <w:szCs w:val="20"/>
          <w:color w:val="auto"/>
        </w:rPr>
      </w:pPr>
    </w:p>
    <w:p>
      <w:pPr>
        <w:ind w:left="920" w:right="20" w:hanging="359"/>
        <w:spacing w:after="0" w:line="241" w:lineRule="auto"/>
        <w:tabs>
          <w:tab w:leader="none" w:pos="9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109" w:lineRule="exact"/>
        <w:rPr>
          <w:rFonts w:ascii="Times New Roman" w:cs="Times New Roman" w:eastAsia="Times New Roman" w:hAnsi="Times New Roman"/>
          <w:sz w:val="14"/>
          <w:szCs w:val="14"/>
          <w:color w:val="auto"/>
        </w:rPr>
      </w:pPr>
    </w:p>
    <w:p>
      <w:pPr>
        <w:ind w:left="1480" w:hanging="365"/>
        <w:spacing w:after="0"/>
        <w:tabs>
          <w:tab w:leader="none" w:pos="14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organized under the laws of, and has its principal place of business in, the United States;</w:t>
      </w:r>
    </w:p>
    <w:p>
      <w:pPr>
        <w:spacing w:after="0" w:line="136" w:lineRule="exact"/>
        <w:rPr>
          <w:rFonts w:ascii="Times New Roman" w:cs="Times New Roman" w:eastAsia="Times New Roman" w:hAnsi="Times New Roman"/>
          <w:sz w:val="14"/>
          <w:szCs w:val="14"/>
          <w:color w:val="auto"/>
        </w:rPr>
      </w:pPr>
    </w:p>
    <w:p>
      <w:pPr>
        <w:ind w:left="1480" w:right="100" w:hanging="365"/>
        <w:spacing w:after="0" w:line="261" w:lineRule="auto"/>
        <w:tabs>
          <w:tab w:leader="none" w:pos="14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95" w:lineRule="exact"/>
        <w:rPr>
          <w:rFonts w:ascii="Times New Roman" w:cs="Times New Roman" w:eastAsia="Times New Roman" w:hAnsi="Times New Roman"/>
          <w:sz w:val="14"/>
          <w:szCs w:val="14"/>
          <w:color w:val="auto"/>
        </w:rPr>
      </w:pPr>
    </w:p>
    <w:p>
      <w:pPr>
        <w:ind w:left="1480" w:hanging="365"/>
        <w:spacing w:after="0"/>
        <w:tabs>
          <w:tab w:leader="none" w:pos="148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satisfies any of the following:</w:t>
      </w:r>
    </w:p>
    <w:p>
      <w:pPr>
        <w:spacing w:after="0" w:line="136" w:lineRule="exact"/>
        <w:rPr>
          <w:rFonts w:ascii="Times New Roman" w:cs="Times New Roman" w:eastAsia="Times New Roman" w:hAnsi="Times New Roman"/>
          <w:sz w:val="14"/>
          <w:szCs w:val="14"/>
          <w:color w:val="auto"/>
        </w:rPr>
      </w:pPr>
    </w:p>
    <w:p>
      <w:pPr>
        <w:ind w:left="2040" w:hanging="372"/>
        <w:spacing w:after="0"/>
        <w:tabs>
          <w:tab w:leader="none" w:pos="2040" w:val="left"/>
        </w:tabs>
        <w:numPr>
          <w:ilvl w:val="2"/>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have any class of securities listed on a national securities exchange;</w:t>
      </w:r>
    </w:p>
    <w:p>
      <w:pPr>
        <w:spacing w:after="0" w:line="136" w:lineRule="exact"/>
        <w:rPr>
          <w:rFonts w:ascii="Times New Roman" w:cs="Times New Roman" w:eastAsia="Times New Roman" w:hAnsi="Times New Roman"/>
          <w:sz w:val="14"/>
          <w:szCs w:val="14"/>
          <w:color w:val="auto"/>
        </w:rPr>
      </w:pPr>
    </w:p>
    <w:p>
      <w:pPr>
        <w:ind w:left="2040" w:hanging="372"/>
        <w:spacing w:after="0"/>
        <w:tabs>
          <w:tab w:leader="none" w:pos="2040" w:val="left"/>
        </w:tabs>
        <w:numPr>
          <w:ilvl w:val="2"/>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any class of securities listed on a national securities exchange subject to a maximum market capitalization of $250.0 million; or</w:t>
      </w:r>
    </w:p>
    <w:p>
      <w:pPr>
        <w:spacing w:after="0" w:line="136" w:lineRule="exact"/>
        <w:rPr>
          <w:rFonts w:ascii="Times New Roman" w:cs="Times New Roman" w:eastAsia="Times New Roman" w:hAnsi="Times New Roman"/>
          <w:sz w:val="14"/>
          <w:szCs w:val="14"/>
          <w:color w:val="auto"/>
        </w:rPr>
      </w:pPr>
    </w:p>
    <w:p>
      <w:pPr>
        <w:ind w:left="2040" w:right="360" w:hanging="372"/>
        <w:spacing w:after="0" w:line="261" w:lineRule="auto"/>
        <w:tabs>
          <w:tab w:leader="none" w:pos="2040" w:val="left"/>
        </w:tabs>
        <w:numPr>
          <w:ilvl w:val="2"/>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95"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any eligible portfolio company which we control.</w:t>
      </w:r>
    </w:p>
    <w:p>
      <w:pPr>
        <w:spacing w:after="0" w:line="136" w:lineRule="exact"/>
        <w:rPr>
          <w:rFonts w:ascii="Times New Roman" w:cs="Times New Roman" w:eastAsia="Times New Roman" w:hAnsi="Times New Roman"/>
          <w:sz w:val="14"/>
          <w:szCs w:val="14"/>
          <w:color w:val="auto"/>
        </w:rPr>
      </w:pPr>
    </w:p>
    <w:p>
      <w:pPr>
        <w:ind w:left="920" w:right="160" w:hanging="359"/>
        <w:spacing w:after="0" w:line="241" w:lineRule="auto"/>
        <w:tabs>
          <w:tab w:leader="none" w:pos="9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75" w:right="379" w:bottom="1440" w:gutter="0" w:footer="0" w:header="0"/>
        </w:sectPr>
      </w:pPr>
    </w:p>
    <w:bookmarkStart w:id="14" w:name="page15"/>
    <w:bookmarkEnd w:id="14"/>
    <w:p>
      <w:pPr>
        <w:ind w:left="920" w:right="100" w:hanging="359"/>
        <w:spacing w:after="0" w:line="261" w:lineRule="auto"/>
        <w:tabs>
          <w:tab w:leader="none" w:pos="9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of an eligible portfolio company purchased from any person in a private transaction if there is no readily available market for such securities and we already own 60% of the outstanding equity of the eligible portfolio company.</w:t>
      </w:r>
    </w:p>
    <w:p>
      <w:pPr>
        <w:spacing w:after="0" w:line="95" w:lineRule="exact"/>
        <w:rPr>
          <w:rFonts w:ascii="Times New Roman" w:cs="Times New Roman" w:eastAsia="Times New Roman" w:hAnsi="Times New Roman"/>
          <w:sz w:val="14"/>
          <w:szCs w:val="14"/>
          <w:color w:val="auto"/>
        </w:rPr>
      </w:pPr>
    </w:p>
    <w:p>
      <w:pPr>
        <w:ind w:left="920" w:right="220" w:hanging="359"/>
        <w:spacing w:after="0" w:line="261" w:lineRule="auto"/>
        <w:tabs>
          <w:tab w:leader="none" w:pos="9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received in exchange for or distributed on or with respect to securities described in (1) through (4) above, or pursuant to the exercise of warrants or rights relating to such securities.</w:t>
      </w:r>
    </w:p>
    <w:p>
      <w:pPr>
        <w:spacing w:after="0" w:line="95"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Cash, cash equivalents, U.S. government securities or high-quality debt securities maturing in one year or less from the time of investment.</w:t>
      </w:r>
    </w:p>
    <w:p>
      <w:pPr>
        <w:spacing w:after="0" w:line="136" w:lineRule="exact"/>
        <w:rPr>
          <w:sz w:val="20"/>
          <w:szCs w:val="20"/>
          <w:color w:val="auto"/>
        </w:rPr>
      </w:pPr>
    </w:p>
    <w:p>
      <w:pPr>
        <w:ind w:right="300" w:firstLine="438"/>
        <w:spacing w:after="0" w:line="261" w:lineRule="auto"/>
        <w:rPr>
          <w:sz w:val="20"/>
          <w:szCs w:val="20"/>
          <w:color w:val="auto"/>
        </w:rPr>
      </w:pPr>
      <w:r>
        <w:rPr>
          <w:rFonts w:ascii="Times New Roman" w:cs="Times New Roman" w:eastAsia="Times New Roman" w:hAnsi="Times New Roman"/>
          <w:sz w:val="14"/>
          <w:szCs w:val="14"/>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Managerial Assistance to Portfolio Companies</w:t>
      </w:r>
    </w:p>
    <w:p>
      <w:pPr>
        <w:spacing w:after="0" w:line="140"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As a BDC, we are required to make available significant managerial assistance to our portfolio companies that constitute a qualifying asset within the meaning of Section 2(a)(47) of the 1940 Act. However, if a BDC purchases securities in conjunction with one or more other persons acting together, one of the other persons in the group may make available such significant managerial assistance. Making available significant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may provide assistance to controlled affiliates.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Temporary Investments</w:t>
      </w:r>
    </w:p>
    <w:p>
      <w:pPr>
        <w:spacing w:after="0" w:line="127"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below under “Regulation—Election to be Treated as a RIC,” in order to qualify as a RIC for federal income tax purposes. Thus, we do not intend to enter into repurchase agreements with a single counterparty in excess of this limit. Our Investment Adviser will monitor the creditworthiness of the counterparties with which we may enter into repurchase agreement transactions.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Senior Securities</w:t>
      </w:r>
    </w:p>
    <w:p>
      <w:pPr>
        <w:spacing w:after="0" w:line="140" w:lineRule="exact"/>
        <w:rPr>
          <w:sz w:val="20"/>
          <w:szCs w:val="20"/>
          <w:color w:val="auto"/>
        </w:rPr>
      </w:pPr>
    </w:p>
    <w:p>
      <w:pPr>
        <w:ind w:firstLine="438"/>
        <w:spacing w:after="0" w:line="231" w:lineRule="auto"/>
        <w:rPr>
          <w:sz w:val="20"/>
          <w:szCs w:val="20"/>
          <w:color w:val="auto"/>
        </w:rPr>
      </w:pPr>
      <w:r>
        <w:rPr>
          <w:rFonts w:ascii="Times New Roman" w:cs="Times New Roman" w:eastAsia="Times New Roman" w:hAnsi="Times New Roman"/>
          <w:sz w:val="14"/>
          <w:szCs w:val="14"/>
          <w:color w:val="auto"/>
        </w:rPr>
        <w:t>We are permitted, under specified conditions, to issue multiple classes of indebtedness and one class of stock senior to our common stock if our asset coverage, as defined in the 1940 Act and referred to as the asset coverage ratio,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Joint Code of Ethics and Code of Conduct</w:t>
      </w:r>
    </w:p>
    <w:p>
      <w:pPr>
        <w:spacing w:after="0" w:line="140"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xml:space="preserve">. In addition, the joint code of ethics is attached as an exhibit to this Report and is available on the EDGAR Database on the SEC’s Internet 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xml:space="preserve">. You may also obtain a copy of our joint code of ethics, after paying a duplicating fee, by electronic request at the following email address: </w:t>
      </w:r>
      <w:r>
        <w:rPr>
          <w:rFonts w:ascii="Times New Roman" w:cs="Times New Roman" w:eastAsia="Times New Roman" w:hAnsi="Times New Roman"/>
          <w:sz w:val="14"/>
          <w:szCs w:val="14"/>
          <w:i w:val="1"/>
          <w:iCs w:val="1"/>
          <w:u w:val="single" w:color="auto"/>
          <w:color w:val="auto"/>
        </w:rPr>
        <w:t>publicinfo@sec.gov</w:t>
      </w:r>
      <w:r>
        <w:rPr>
          <w:rFonts w:ascii="Times New Roman" w:cs="Times New Roman" w:eastAsia="Times New Roman" w:hAnsi="Times New Roman"/>
          <w:sz w:val="14"/>
          <w:szCs w:val="14"/>
          <w:color w:val="auto"/>
        </w:rPr>
        <w: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Proxy Voting Policies and Procedures</w:t>
      </w:r>
    </w:p>
    <w:p>
      <w:pPr>
        <w:spacing w:after="0" w:line="127" w:lineRule="exact"/>
        <w:rPr>
          <w:sz w:val="20"/>
          <w:szCs w:val="20"/>
          <w:color w:val="auto"/>
        </w:rPr>
      </w:pPr>
    </w:p>
    <w:p>
      <w:pPr>
        <w:jc w:val="both"/>
        <w:ind w:right="20" w:firstLine="438"/>
        <w:spacing w:after="0" w:line="241" w:lineRule="auto"/>
        <w:rPr>
          <w:sz w:val="20"/>
          <w:szCs w:val="20"/>
          <w:color w:val="auto"/>
        </w:rPr>
      </w:pPr>
      <w:r>
        <w:rPr>
          <w:rFonts w:ascii="Times New Roman" w:cs="Times New Roman" w:eastAsia="Times New Roman" w:hAnsi="Times New Roman"/>
          <w:sz w:val="14"/>
          <w:szCs w:val="14"/>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Introduction</w:t>
      </w:r>
    </w:p>
    <w:p>
      <w:pPr>
        <w:spacing w:after="0" w:line="138" w:lineRule="exact"/>
        <w:rPr>
          <w:sz w:val="20"/>
          <w:szCs w:val="20"/>
          <w:color w:val="auto"/>
        </w:rPr>
      </w:pPr>
    </w:p>
    <w:p>
      <w:pPr>
        <w:ind w:right="100" w:firstLine="438"/>
        <w:spacing w:after="0" w:line="261" w:lineRule="auto"/>
        <w:rPr>
          <w:sz w:val="20"/>
          <w:szCs w:val="20"/>
          <w:color w:val="auto"/>
        </w:rPr>
      </w:pPr>
      <w:r>
        <w:rPr>
          <w:rFonts w:ascii="Times New Roman" w:cs="Times New Roman" w:eastAsia="Times New Roman" w:hAnsi="Times New Roman"/>
          <w:sz w:val="14"/>
          <w:szCs w:val="14"/>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These policies and procedures for voting proxies for our investment advisory clients are intended to comply with Section 206 of, and Rule 206(4)-6 under, the Advisers Act.</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Proxy Policies</w:t>
      </w:r>
    </w:p>
    <w:p>
      <w:pPr>
        <w:spacing w:after="0" w:line="138"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We vote proxies relating to our portfolio securities in what we perceive to be the best interests of our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96"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Our proxy voting decisions are made by the senior investment professionals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Proxy Voting Records</w:t>
      </w:r>
    </w:p>
    <w:p>
      <w:pPr>
        <w:spacing w:after="0" w:line="125" w:lineRule="exact"/>
        <w:rPr>
          <w:sz w:val="20"/>
          <w:szCs w:val="20"/>
          <w:color w:val="auto"/>
        </w:rPr>
      </w:pPr>
    </w:p>
    <w:p>
      <w:pPr>
        <w:ind w:right="300" w:firstLine="438"/>
        <w:spacing w:after="0" w:line="261" w:lineRule="auto"/>
        <w:rPr>
          <w:sz w:val="20"/>
          <w:szCs w:val="20"/>
          <w:color w:val="auto"/>
        </w:rPr>
      </w:pPr>
      <w:r>
        <w:rPr>
          <w:rFonts w:ascii="Times New Roman" w:cs="Times New Roman" w:eastAsia="Times New Roman" w:hAnsi="Times New Roman"/>
          <w:sz w:val="14"/>
          <w:szCs w:val="14"/>
          <w:color w:val="auto"/>
        </w:rPr>
        <w:t>You may obtain information about how we voted proxies, free of charge, by calling us collect at (212) 905-1000 or by making a written request for proxy voting information to: Aviv Efrat, Chief Financial Officer and Treasurer, 590 Madison Avenue, 15th Floor, New York, New York 10022.</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79"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i w:val="1"/>
          <w:iCs w:val="1"/>
          <w:color w:val="auto"/>
        </w:rPr>
        <w:t>Privacy Protection Principles</w:t>
      </w:r>
    </w:p>
    <w:p>
      <w:pPr>
        <w:spacing w:after="0" w:line="127"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95"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restrict access to non-public personal information about our stockholders to employees of our Investment Adviser and its affiliates with a legitimate business need for the information.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maintain physical, electronic and procedural safeguards designed to protect the non-public personal information of our stockholders.</w:t>
      </w:r>
    </w:p>
    <w:p>
      <w:pPr>
        <w:spacing w:after="0" w:line="105" w:lineRule="exact"/>
        <w:rPr>
          <w:sz w:val="20"/>
          <w:szCs w:val="20"/>
          <w:color w:val="auto"/>
        </w:rPr>
      </w:pPr>
    </w:p>
    <w:p>
      <w:pPr>
        <w:ind w:right="160" w:firstLine="438"/>
        <w:spacing w:after="0" w:line="264" w:lineRule="auto"/>
        <w:rPr>
          <w:sz w:val="20"/>
          <w:szCs w:val="20"/>
          <w:color w:val="auto"/>
        </w:rPr>
      </w:pPr>
      <w:r>
        <w:rPr>
          <w:rFonts w:ascii="Times New Roman" w:cs="Times New Roman" w:eastAsia="Times New Roman" w:hAnsi="Times New Roman"/>
          <w:sz w:val="14"/>
          <w:szCs w:val="14"/>
          <w:color w:val="auto"/>
        </w:rPr>
        <w:t xml:space="preserve">Our privacy protection policies are available, free of charge, on our website at </w:t>
      </w:r>
      <w:r>
        <w:rPr>
          <w:rFonts w:ascii="Times New Roman" w:cs="Times New Roman" w:eastAsia="Times New Roman" w:hAnsi="Times New Roman"/>
          <w:sz w:val="14"/>
          <w:szCs w:val="14"/>
          <w:i w:val="1"/>
          <w:iCs w:val="1"/>
          <w:u w:val="single" w:color="auto"/>
          <w:color w:val="auto"/>
        </w:rPr>
        <w:t>www.pennantpark.com</w:t>
      </w:r>
      <w:r>
        <w:rPr>
          <w:rFonts w:ascii="Times New Roman" w:cs="Times New Roman" w:eastAsia="Times New Roman" w:hAnsi="Times New Roman"/>
          <w:sz w:val="14"/>
          <w:szCs w:val="14"/>
          <w:color w:val="auto"/>
        </w:rPr>
        <w:t xml:space="preserve">. In addition, the privacy policy is available on the EDGAR Database on the SEC’s Internet website at </w:t>
      </w:r>
      <w:r>
        <w:rPr>
          <w:rFonts w:ascii="Times New Roman" w:cs="Times New Roman" w:eastAsia="Times New Roman" w:hAnsi="Times New Roman"/>
          <w:sz w:val="14"/>
          <w:szCs w:val="14"/>
          <w:i w:val="1"/>
          <w:iCs w:val="1"/>
          <w:u w:val="single" w:color="auto"/>
          <w:color w:val="auto"/>
        </w:rPr>
        <w:t>www.sec.gov</w:t>
      </w:r>
      <w:r>
        <w:rPr>
          <w:rFonts w:ascii="Times New Roman" w:cs="Times New Roman" w:eastAsia="Times New Roman" w:hAnsi="Times New Roman"/>
          <w:sz w:val="14"/>
          <w:szCs w:val="14"/>
          <w:color w:val="auto"/>
        </w:rPr>
        <w:t>, filed as an exhibit to our annual report on Form 10-K (File No. 814-00736), filed on November 16, 2011.</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w:t>
      </w:r>
    </w:p>
    <w:p>
      <w:pPr>
        <w:spacing w:after="0" w:line="140" w:lineRule="exact"/>
        <w:rPr>
          <w:sz w:val="20"/>
          <w:szCs w:val="20"/>
          <w:color w:val="auto"/>
        </w:rPr>
      </w:pPr>
    </w:p>
    <w:p>
      <w:pPr>
        <w:ind w:right="300" w:firstLine="438"/>
        <w:spacing w:after="0" w:line="261" w:lineRule="auto"/>
        <w:rPr>
          <w:sz w:val="20"/>
          <w:szCs w:val="20"/>
          <w:color w:val="auto"/>
        </w:rPr>
      </w:pPr>
      <w:r>
        <w:rPr>
          <w:rFonts w:ascii="Times New Roman" w:cs="Times New Roman" w:eastAsia="Times New Roman" w:hAnsi="Times New Roman"/>
          <w:sz w:val="14"/>
          <w:szCs w:val="14"/>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will be periodically examined by the SEC and SBA for compliance with the 1940 Act and 1958 Act, respectively.</w:t>
      </w:r>
    </w:p>
    <w:p>
      <w:pPr>
        <w:spacing w:after="0" w:line="136" w:lineRule="exact"/>
        <w:rPr>
          <w:sz w:val="20"/>
          <w:szCs w:val="20"/>
          <w:color w:val="auto"/>
        </w:rPr>
      </w:pPr>
    </w:p>
    <w:p>
      <w:pPr>
        <w:ind w:right="140" w:firstLine="438"/>
        <w:spacing w:after="0" w:line="241" w:lineRule="auto"/>
        <w:rPr>
          <w:sz w:val="20"/>
          <w:szCs w:val="20"/>
          <w:color w:val="auto"/>
        </w:rPr>
      </w:pPr>
      <w:r>
        <w:rPr>
          <w:rFonts w:ascii="Times New Roman" w:cs="Times New Roman" w:eastAsia="Times New Roman" w:hAnsi="Times New Roman"/>
          <w:sz w:val="14"/>
          <w:szCs w:val="14"/>
          <w:color w:val="auto"/>
        </w:rPr>
        <w:t>We are required by law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09" w:lineRule="exact"/>
        <w:rPr>
          <w:sz w:val="20"/>
          <w:szCs w:val="20"/>
          <w:color w:val="auto"/>
        </w:rPr>
      </w:pPr>
    </w:p>
    <w:p>
      <w:pPr>
        <w:jc w:val="both"/>
        <w:ind w:right="80" w:firstLine="438"/>
        <w:spacing w:after="0" w:line="241" w:lineRule="auto"/>
        <w:rPr>
          <w:sz w:val="20"/>
          <w:szCs w:val="20"/>
          <w:color w:val="auto"/>
        </w:rPr>
      </w:pPr>
      <w:r>
        <w:rPr>
          <w:rFonts w:ascii="Times New Roman" w:cs="Times New Roman" w:eastAsia="Times New Roman" w:hAnsi="Times New Roman"/>
          <w:sz w:val="14"/>
          <w:szCs w:val="14"/>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Sarbanes-Oxley Act of 2002</w:t>
      </w:r>
    </w:p>
    <w:p>
      <w:pPr>
        <w:spacing w:after="0" w:line="140" w:lineRule="exact"/>
        <w:rPr>
          <w:sz w:val="20"/>
          <w:szCs w:val="20"/>
          <w:color w:val="auto"/>
        </w:rPr>
      </w:pPr>
    </w:p>
    <w:p>
      <w:pPr>
        <w:ind w:right="580" w:firstLine="438"/>
        <w:spacing w:after="0" w:line="261" w:lineRule="auto"/>
        <w:rPr>
          <w:sz w:val="20"/>
          <w:szCs w:val="20"/>
          <w:color w:val="auto"/>
        </w:rPr>
      </w:pPr>
      <w:r>
        <w:rPr>
          <w:rFonts w:ascii="Times New Roman" w:cs="Times New Roman" w:eastAsia="Times New Roman" w:hAnsi="Times New Roman"/>
          <w:sz w:val="14"/>
          <w:szCs w:val="14"/>
          <w:color w:val="auto"/>
        </w:rPr>
        <w:t>The Sarbanes-Oxley Act of 2002, as amended, or the Sarbanes-Oxley Act, imposes several regulatory requirements on publicly held companies and their insiders. Many of these requirements affect us.</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For example:</w:t>
      </w:r>
    </w:p>
    <w:p>
      <w:pPr>
        <w:spacing w:after="0" w:line="123" w:lineRule="exact"/>
        <w:rPr>
          <w:sz w:val="20"/>
          <w:szCs w:val="20"/>
          <w:color w:val="auto"/>
        </w:rPr>
      </w:pPr>
    </w:p>
    <w:p>
      <w:pPr>
        <w:ind w:left="920" w:right="380" w:hanging="359"/>
        <w:spacing w:after="0" w:line="261" w:lineRule="auto"/>
        <w:tabs>
          <w:tab w:leader="none" w:pos="9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13a-14 of the Securities Exchange Act of 1934, as amended, or the Exchange Act, our Chief Executive Officer and Chief Financial Officer must certify the accuracy of the financial statements contained in our periodic reports;</w:t>
      </w:r>
    </w:p>
    <w:p>
      <w:pPr>
        <w:spacing w:after="0" w:line="95"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307 of Regulation S-K, our periodic reports must disclose our conclusions about the effectiveness of our disclosure controls and procedures;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13a-15 of the Exchange Act, our management must prepare an annual report regarding its assessment of our internal controls over financial reporting; and</w:t>
      </w:r>
    </w:p>
    <w:p>
      <w:pPr>
        <w:spacing w:after="0" w:line="136" w:lineRule="exact"/>
        <w:rPr>
          <w:rFonts w:ascii="Times New Roman" w:cs="Times New Roman" w:eastAsia="Times New Roman" w:hAnsi="Times New Roman"/>
          <w:sz w:val="14"/>
          <w:szCs w:val="14"/>
          <w:color w:val="auto"/>
        </w:rPr>
      </w:pPr>
    </w:p>
    <w:p>
      <w:pPr>
        <w:jc w:val="both"/>
        <w:ind w:left="920" w:right="160" w:hanging="359"/>
        <w:spacing w:after="0" w:line="241" w:lineRule="auto"/>
        <w:tabs>
          <w:tab w:leader="none" w:pos="9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9" w:lineRule="exact"/>
        <w:rPr>
          <w:sz w:val="20"/>
          <w:szCs w:val="20"/>
          <w:color w:val="auto"/>
        </w:rPr>
      </w:pPr>
    </w:p>
    <w:p>
      <w:pPr>
        <w:ind w:right="60" w:firstLine="438"/>
        <w:spacing w:after="0" w:line="242" w:lineRule="auto"/>
        <w:rPr>
          <w:sz w:val="20"/>
          <w:szCs w:val="20"/>
          <w:color w:val="auto"/>
        </w:rPr>
      </w:pPr>
      <w:r>
        <w:rPr>
          <w:rFonts w:ascii="Times New Roman" w:cs="Times New Roman" w:eastAsia="Times New Roman" w:hAnsi="Times New Roman"/>
          <w:sz w:val="14"/>
          <w:szCs w:val="14"/>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Election to be Treated as a RIC</w:t>
      </w:r>
    </w:p>
    <w:p>
      <w:pPr>
        <w:spacing w:after="0" w:line="140"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 order to qualify as a RIC for federal income tax purposes, we must:</w:t>
      </w:r>
    </w:p>
    <w:p>
      <w:pPr>
        <w:spacing w:after="0" w:line="136" w:lineRule="exact"/>
        <w:rPr>
          <w:sz w:val="20"/>
          <w:szCs w:val="20"/>
          <w:color w:val="auto"/>
        </w:rPr>
      </w:pPr>
    </w:p>
    <w:p>
      <w:pPr>
        <w:ind w:left="920" w:hanging="359"/>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an election to be treated as a BDC under the 1940 Act at all times during each taxable year;</w:t>
      </w:r>
    </w:p>
    <w:p>
      <w:pPr>
        <w:spacing w:after="0" w:line="136" w:lineRule="exact"/>
        <w:rPr>
          <w:rFonts w:ascii="Times New Roman" w:cs="Times New Roman" w:eastAsia="Times New Roman" w:hAnsi="Times New Roman"/>
          <w:sz w:val="14"/>
          <w:szCs w:val="14"/>
          <w:color w:val="auto"/>
        </w:rPr>
      </w:pPr>
    </w:p>
    <w:p>
      <w:pPr>
        <w:ind w:left="920" w:right="120" w:hanging="359"/>
        <w:spacing w:after="0" w:line="241" w:lineRule="auto"/>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109"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diversify our holdings, or the Diversification Tests, so that at the end of each quarter of the taxable year:</w:t>
      </w:r>
    </w:p>
    <w:p>
      <w:pPr>
        <w:spacing w:after="0" w:line="136" w:lineRule="exact"/>
        <w:rPr>
          <w:rFonts w:ascii="Times New Roman" w:cs="Times New Roman" w:eastAsia="Times New Roman" w:hAnsi="Times New Roman"/>
          <w:sz w:val="14"/>
          <w:szCs w:val="14"/>
          <w:color w:val="auto"/>
        </w:rPr>
      </w:pPr>
    </w:p>
    <w:p>
      <w:pPr>
        <w:ind w:left="1480" w:right="20" w:hanging="365"/>
        <w:spacing w:after="0" w:line="261" w:lineRule="auto"/>
        <w:tabs>
          <w:tab w:leader="none" w:pos="148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95" w:lineRule="exact"/>
        <w:rPr>
          <w:rFonts w:ascii="Times New Roman" w:cs="Times New Roman" w:eastAsia="Times New Roman" w:hAnsi="Times New Roman"/>
          <w:sz w:val="14"/>
          <w:szCs w:val="14"/>
          <w:color w:val="auto"/>
        </w:rPr>
      </w:pPr>
    </w:p>
    <w:p>
      <w:pPr>
        <w:ind w:left="1480" w:right="160" w:hanging="365"/>
        <w:spacing w:after="0" w:line="241" w:lineRule="auto"/>
        <w:tabs>
          <w:tab w:leader="none" w:pos="148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16" w:name="page17"/>
    <w:bookmarkEnd w:id="16"/>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in respect of each calendar year dividends to our stockholders of an amount at least equal to the sum of (1) 98% of our net ordinary income (subject to certain deferrals and elections) for the calendar year,</w:t>
      </w:r>
    </w:p>
    <w:p>
      <w:pPr>
        <w:ind w:right="60" w:firstLine="8"/>
        <w:spacing w:after="0" w:line="228" w:lineRule="auto"/>
        <w:tabs>
          <w:tab w:leader="none" w:pos="20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98.2% of our capital gain net income (i.e., the excess, if any, of our capital gains over capital losses), adjusted for certain ordinary losses, generally for the one-year period ending on October 31 of the calendar year plus (3) any net ordinary income or capital gain net income for the preceding years that was not distributed during such years on which we did not incur any corporate income tax, or the Excise Tax Avoidance Requirement. Although we may distribute realized net capital gains (i.e., net long-term capital gains in excess of net short-term capital losses), if any, at least annually, out of the assets legally available for such distributions in the manner described above, we may retain and incur tax on such net capital gains or investment company taxable income, subject to maintaining our ability to be treated as a RIC for federal income tax purposes, in order to provide us with additional liquidity.</w:t>
      </w:r>
    </w:p>
    <w:p>
      <w:pPr>
        <w:spacing w:after="0" w:line="97" w:lineRule="exact"/>
        <w:rPr>
          <w:sz w:val="20"/>
          <w:szCs w:val="20"/>
          <w:color w:val="auto"/>
        </w:rPr>
      </w:pPr>
    </w:p>
    <w:p>
      <w:pPr>
        <w:jc w:val="both"/>
        <w:ind w:right="240" w:firstLine="438"/>
        <w:spacing w:after="0" w:line="236" w:lineRule="auto"/>
        <w:rPr>
          <w:sz w:val="20"/>
          <w:szCs w:val="20"/>
          <w:color w:val="auto"/>
        </w:rPr>
      </w:pPr>
      <w:r>
        <w:rPr>
          <w:rFonts w:ascii="Times New Roman" w:cs="Times New Roman" w:eastAsia="Times New Roman" w:hAnsi="Times New Roman"/>
          <w:sz w:val="14"/>
          <w:szCs w:val="14"/>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09"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Subsidiaries, which are classified as corporations for U.S. federal income tax purposes. The Taxable Subsidiaries generally will be subject to corporate income taxes on their earnings, which ultimately will reduce our return on such income and fees.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Taxation as a RIC</w:t>
      </w:r>
    </w:p>
    <w:p>
      <w:pPr>
        <w:spacing w:after="0" w:line="127" w:lineRule="exact"/>
        <w:rPr>
          <w:sz w:val="20"/>
          <w:szCs w:val="20"/>
          <w:color w:val="auto"/>
        </w:rPr>
      </w:pPr>
    </w:p>
    <w:p>
      <w:pPr>
        <w:ind w:right="160" w:firstLine="438"/>
        <w:spacing w:after="0"/>
        <w:rPr>
          <w:sz w:val="20"/>
          <w:szCs w:val="20"/>
          <w:color w:val="auto"/>
        </w:rPr>
      </w:pPr>
      <w:r>
        <w:rPr>
          <w:rFonts w:ascii="Times New Roman" w:cs="Times New Roman" w:eastAsia="Times New Roman" w:hAnsi="Times New Roman"/>
          <w:sz w:val="14"/>
          <w:szCs w:val="14"/>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247"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10"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Gain or loss realized by us from equity securities and warrants acquired by us, as well as any loss attributable to the lapse of such warrants, generally will be treated as capital gain or loss.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gain or loss generally will be long-term or short-term, depending on how long we held a particular warrant.</w:t>
      </w:r>
    </w:p>
    <w:p>
      <w:pPr>
        <w:spacing w:after="0" w:line="120"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0"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Qualify as a RIC</w:t>
      </w:r>
    </w:p>
    <w:p>
      <w:pPr>
        <w:spacing w:after="0" w:line="140"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If we fail to satisfy the Annual Distribution Requirement or fail to qualify as a RIC in any taxable year, unless certain cure provisions of the Code apply, we will be subject to tax in that taxable year on all of our taxable income at regular corporate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09" w:lineRule="exact"/>
        <w:rPr>
          <w:sz w:val="20"/>
          <w:szCs w:val="20"/>
          <w:color w:val="auto"/>
        </w:rPr>
      </w:pPr>
    </w:p>
    <w:p>
      <w:pPr>
        <w:ind w:firstLine="438"/>
        <w:spacing w:after="0" w:line="227" w:lineRule="auto"/>
        <w:rPr>
          <w:sz w:val="20"/>
          <w:szCs w:val="20"/>
          <w:color w:val="auto"/>
        </w:rPr>
      </w:pPr>
      <w:r>
        <w:rPr>
          <w:rFonts w:ascii="Times New Roman" w:cs="Times New Roman" w:eastAsia="Times New Roman" w:hAnsi="Times New Roman"/>
          <w:sz w:val="14"/>
          <w:szCs w:val="14"/>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SBA Regulations</w:t>
      </w:r>
    </w:p>
    <w:p>
      <w:pPr>
        <w:spacing w:after="0" w:line="127" w:lineRule="exact"/>
        <w:rPr>
          <w:sz w:val="20"/>
          <w:szCs w:val="20"/>
          <w:color w:val="auto"/>
        </w:rPr>
      </w:pPr>
    </w:p>
    <w:p>
      <w:pPr>
        <w:ind w:right="540" w:firstLine="438"/>
        <w:spacing w:after="0" w:line="261" w:lineRule="auto"/>
        <w:rPr>
          <w:sz w:val="20"/>
          <w:szCs w:val="20"/>
          <w:color w:val="auto"/>
        </w:rPr>
      </w:pPr>
      <w:r>
        <w:rPr>
          <w:rFonts w:ascii="Times New Roman" w:cs="Times New Roman" w:eastAsia="Times New Roman" w:hAnsi="Times New Roman"/>
          <w:sz w:val="14"/>
          <w:szCs w:val="14"/>
          <w:color w:val="auto"/>
        </w:rPr>
        <w:t>SBIC II is licensed under the SBA as a SBIC under Section 301(c) of the 1958 Act and received its license in 2013. During the year ended September 30, 2019, we liquidated and dissolved SBIC I.</w:t>
      </w:r>
    </w:p>
    <w:p>
      <w:pPr>
        <w:spacing w:after="0" w:line="95" w:lineRule="exact"/>
        <w:rPr>
          <w:sz w:val="20"/>
          <w:szCs w:val="20"/>
          <w:color w:val="auto"/>
        </w:rPr>
      </w:pPr>
    </w:p>
    <w:p>
      <w:pPr>
        <w:ind w:right="20" w:firstLine="438"/>
        <w:spacing w:after="0" w:line="228" w:lineRule="auto"/>
        <w:rPr>
          <w:sz w:val="20"/>
          <w:szCs w:val="20"/>
          <w:color w:val="auto"/>
        </w:rPr>
      </w:pPr>
      <w:r>
        <w:rPr>
          <w:rFonts w:ascii="Times New Roman" w:cs="Times New Roman" w:eastAsia="Times New Roman" w:hAnsi="Times New Roman"/>
          <w:sz w:val="14"/>
          <w:szCs w:val="14"/>
          <w:color w:val="auto"/>
        </w:rPr>
        <w:t>SBICs are designed to stimulate the flow of capital to businesses that meet specified eligibility requirements discussed below. Under SBA regulations, SBIC II is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SBIC II is subject to periodic audits and examinations of their financial statements that are prepared on a basis of accounting other than GAAP pursuant to SBA accounting standards and financial reporting requirements for SBICs. For example, SBIC II does not use fair value accounting on its assets or liabilities under SBA valuation guidelines. If SBIC II fails to comply with applicable SBA regulations, the SBA could, depending on the severity of the violation, limit or prohibit use of debentures, declare outstanding debentures immediately due and payable, and/or limit SBIC II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Eligible Small and Smaller Businesses</w:t>
      </w:r>
    </w:p>
    <w:p>
      <w:pPr>
        <w:spacing w:after="0" w:line="125" w:lineRule="exact"/>
        <w:rPr>
          <w:sz w:val="20"/>
          <w:szCs w:val="20"/>
          <w:color w:val="auto"/>
        </w:rPr>
      </w:pPr>
    </w:p>
    <w:p>
      <w:pPr>
        <w:ind w:right="40" w:firstLine="438"/>
        <w:spacing w:after="0"/>
        <w:rPr>
          <w:sz w:val="20"/>
          <w:szCs w:val="20"/>
          <w:color w:val="auto"/>
        </w:rPr>
      </w:pPr>
      <w:r>
        <w:rPr>
          <w:rFonts w:ascii="Times New Roman" w:cs="Times New Roman" w:eastAsia="Times New Roman" w:hAnsi="Times New Roman"/>
          <w:sz w:val="14"/>
          <w:szCs w:val="14"/>
          <w:color w:val="auto"/>
        </w:rPr>
        <w:t>Under present SBA regulations, eligible small business include businesses that (together with their affiliates) have tangible net worth not exceeding $19.5 million and have average annual net income of $6.5 million for the two most recent fiscal years. In addition, SBIC II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2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Financing Limitations, Terms and Changes in Control</w:t>
      </w:r>
    </w:p>
    <w:p>
      <w:pPr>
        <w:spacing w:after="0" w:line="138"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The SBA prohibits an SBIC from financing small businesses in certain industries such as relending, gambling, oil and gas exploration and other passive businesses. Additional SBA prohibitions include investing outside the United States, investing more than 30% of regulatory capital in one company and lending money to any officer, director or employee or to invest in any affiliate thereof. The SBA places certain limits on the financing terms of investments by SBIC II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96" w:lineRule="exact"/>
        <w:rPr>
          <w:sz w:val="20"/>
          <w:szCs w:val="20"/>
          <w:color w:val="auto"/>
        </w:rPr>
      </w:pPr>
    </w:p>
    <w:p>
      <w:pPr>
        <w:jc w:val="both"/>
        <w:ind w:right="240" w:firstLine="438"/>
        <w:spacing w:after="0" w:line="241" w:lineRule="auto"/>
        <w:rPr>
          <w:sz w:val="20"/>
          <w:szCs w:val="20"/>
          <w:color w:val="auto"/>
        </w:rPr>
      </w:pPr>
      <w:r>
        <w:rPr>
          <w:rFonts w:ascii="Times New Roman" w:cs="Times New Roman" w:eastAsia="Times New Roman" w:hAnsi="Times New Roman"/>
          <w:sz w:val="14"/>
          <w:szCs w:val="14"/>
          <w:color w:val="auto"/>
        </w:rPr>
        <w:t>The SBA also prohibits, without prior written approval, a “change in control” of SBIC II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Idle Funds Limitation</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SBA limits an SBIC to investing idle funds in the following types of securities:</w:t>
      </w:r>
    </w:p>
    <w:p>
      <w:pPr>
        <w:spacing w:after="0" w:line="123" w:lineRule="exact"/>
        <w:rPr>
          <w:sz w:val="20"/>
          <w:szCs w:val="20"/>
          <w:color w:val="auto"/>
        </w:rPr>
      </w:pPr>
    </w:p>
    <w:p>
      <w:pPr>
        <w:ind w:left="920" w:hanging="359"/>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or obligations guaranteed as to principal and interest by, the U.S. Government, which mature within 15 months from the date of the investment;</w:t>
      </w:r>
    </w:p>
    <w:p>
      <w:pPr>
        <w:spacing w:after="0" w:line="136" w:lineRule="exact"/>
        <w:rPr>
          <w:rFonts w:ascii="Times New Roman" w:cs="Times New Roman" w:eastAsia="Times New Roman" w:hAnsi="Times New Roman"/>
          <w:sz w:val="14"/>
          <w:szCs w:val="14"/>
          <w:color w:val="auto"/>
        </w:rPr>
      </w:pPr>
    </w:p>
    <w:p>
      <w:pPr>
        <w:ind w:left="920" w:right="80" w:hanging="359"/>
        <w:spacing w:after="0" w:line="261" w:lineRule="auto"/>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95"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of deposit with a maturity of one year or less, issued by a federally insured institution; or</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deposit account in a federally insured institution that is subject to withdrawal restriction of one year or less.</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SBA Leverage or Debentures</w:t>
      </w:r>
    </w:p>
    <w:p>
      <w:pPr>
        <w:spacing w:after="0" w:line="138"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$175.0 million, which is up to twice its regulatory capital, and a maximum of $350.0 million as part of a group of SBICs under common control.</w:t>
      </w:r>
    </w:p>
    <w:p>
      <w:pPr>
        <w:spacing w:after="0" w:line="10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1A.</w:t>
      </w:r>
      <w:r>
        <w:rPr>
          <w:sz w:val="20"/>
          <w:szCs w:val="20"/>
          <w:color w:val="auto"/>
        </w:rPr>
        <w:tab/>
      </w:r>
      <w:r>
        <w:rPr>
          <w:rFonts w:ascii="Times New Roman" w:cs="Times New Roman" w:eastAsia="Times New Roman" w:hAnsi="Times New Roman"/>
          <w:sz w:val="14"/>
          <w:szCs w:val="14"/>
          <w:b w:val="1"/>
          <w:bCs w:val="1"/>
          <w:color w:val="auto"/>
        </w:rPr>
        <w:t>Risk Factors</w:t>
      </w:r>
    </w:p>
    <w:p>
      <w:pPr>
        <w:spacing w:after="0" w:line="136" w:lineRule="exact"/>
        <w:rPr>
          <w:sz w:val="20"/>
          <w:szCs w:val="20"/>
          <w:color w:val="auto"/>
        </w:rPr>
      </w:pPr>
    </w:p>
    <w:p>
      <w:pPr>
        <w:ind w:right="60" w:firstLine="438"/>
        <w:spacing w:after="0" w:line="233" w:lineRule="auto"/>
        <w:rPr>
          <w:sz w:val="20"/>
          <w:szCs w:val="20"/>
          <w:color w:val="auto"/>
        </w:rPr>
      </w:pPr>
      <w:r>
        <w:rPr>
          <w:rFonts w:ascii="Times New Roman" w:cs="Times New Roman" w:eastAsia="Times New Roman" w:hAnsi="Times New Roman"/>
          <w:sz w:val="14"/>
          <w:szCs w:val="14"/>
          <w:i w:val="1"/>
          <w:iCs w:val="1"/>
          <w:color w:val="auto"/>
        </w:rPr>
        <w:t>Before you invest in our securities, you should be aware of various risks, including those described below. You should carefully consider these risk factors, together with all of the other information included in this Report,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our 2024 Notes, or any securities we may issue, may decline, and you may lose all or part of your investment.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BUSINESS AND STRUCTURE</w:t>
      </w:r>
    </w:p>
    <w:p>
      <w:pPr>
        <w:spacing w:after="0" w:line="134"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are subject to various covenants under our Credit Facility which, if not complied with, could result in reduced availability and/or mandatory prepayments under our Credit Facility and SBA debentures.</w:t>
      </w:r>
    </w:p>
    <w:p>
      <w:pPr>
        <w:spacing w:after="0" w:line="91" w:lineRule="exact"/>
        <w:rPr>
          <w:sz w:val="20"/>
          <w:szCs w:val="20"/>
          <w:color w:val="auto"/>
        </w:rPr>
      </w:pPr>
    </w:p>
    <w:p>
      <w:pPr>
        <w:ind w:right="80" w:firstLine="438"/>
        <w:spacing w:after="0"/>
        <w:rPr>
          <w:sz w:val="20"/>
          <w:szCs w:val="20"/>
          <w:color w:val="auto"/>
        </w:rPr>
      </w:pPr>
      <w:r>
        <w:rPr>
          <w:rFonts w:ascii="Times New Roman" w:cs="Times New Roman" w:eastAsia="Times New Roman" w:hAnsi="Times New Roman"/>
          <w:sz w:val="14"/>
          <w:szCs w:val="14"/>
          <w:color w:val="auto"/>
        </w:rPr>
        <w:t>In addition to the asset coverage ratio requirements, our Credit Facility contains various covenants which, if not complied with, could accelerate repayment under the Credit Facility. This could have a material adverse effect on our business, financial condition and results of operations. Our borrowings under our Credit Facility are collateralized by the assets in our investment portfolio, excluding those portfolio investments held by SBIC II. The agreements governing the Credit Facility require us to comply with certain financial and operational covenants. These covenants include:</w:t>
      </w:r>
    </w:p>
    <w:p>
      <w:pPr>
        <w:spacing w:after="0" w:line="246" w:lineRule="exact"/>
        <w:rPr>
          <w:sz w:val="20"/>
          <w:szCs w:val="20"/>
          <w:color w:val="auto"/>
        </w:rPr>
      </w:pPr>
    </w:p>
    <w:p>
      <w:pPr>
        <w:ind w:left="920" w:hanging="359"/>
        <w:spacing w:after="0"/>
        <w:tabs>
          <w:tab w:leader="none" w:pos="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to retain our status as a RIC;</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to maintain a minimum amount of stockholders’ equity;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requirement that our outstanding borrowings under the Credit Facility not exceed a certain percentage of the value of our portfolio.</w:t>
      </w:r>
    </w:p>
    <w:p>
      <w:pPr>
        <w:spacing w:after="0" w:line="136"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In addition to the Credit Facility, SBIC II has issued SBA debentures that require us and SBIC II to generate sufficient cash flow to make required interest payments. Further, SBIC II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II.</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18" w:name="page19"/>
    <w:bookmarkEnd w:id="18"/>
    <w:p>
      <w:pPr>
        <w:ind w:right="160" w:firstLine="438"/>
        <w:spacing w:after="0" w:line="236" w:lineRule="auto"/>
        <w:rPr>
          <w:sz w:val="20"/>
          <w:szCs w:val="20"/>
          <w:color w:val="auto"/>
        </w:rPr>
      </w:pPr>
      <w:r>
        <w:rPr>
          <w:rFonts w:ascii="Times New Roman" w:cs="Times New Roman" w:eastAsia="Times New Roman" w:hAnsi="Times New Roman"/>
          <w:sz w:val="14"/>
          <w:szCs w:val="14"/>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operate in a highly competitive market for investment opportunities.</w:t>
      </w:r>
    </w:p>
    <w:p>
      <w:pPr>
        <w:spacing w:after="0" w:line="140" w:lineRule="exact"/>
        <w:rPr>
          <w:sz w:val="20"/>
          <w:szCs w:val="20"/>
          <w:color w:val="auto"/>
        </w:rPr>
      </w:pPr>
    </w:p>
    <w:p>
      <w:pPr>
        <w:ind w:right="40" w:firstLine="438"/>
        <w:spacing w:after="0" w:line="227" w:lineRule="auto"/>
        <w:rPr>
          <w:sz w:val="20"/>
          <w:szCs w:val="20"/>
          <w:color w:val="auto"/>
        </w:rPr>
      </w:pPr>
      <w:r>
        <w:rPr>
          <w:rFonts w:ascii="Times New Roman" w:cs="Times New Roman" w:eastAsia="Times New Roman" w:hAnsi="Times New Roman"/>
          <w:sz w:val="14"/>
          <w:szCs w:val="14"/>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15"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borrowers may default on their payments, which may have a materially negative effect on our financial performance.</w:t>
      </w:r>
    </w:p>
    <w:p>
      <w:pPr>
        <w:spacing w:after="0" w:line="140" w:lineRule="exact"/>
        <w:rPr>
          <w:sz w:val="20"/>
          <w:szCs w:val="20"/>
          <w:color w:val="auto"/>
        </w:rPr>
      </w:pPr>
    </w:p>
    <w:p>
      <w:pPr>
        <w:ind w:right="240" w:firstLine="438"/>
        <w:spacing w:after="0" w:line="261" w:lineRule="auto"/>
        <w:rPr>
          <w:sz w:val="20"/>
          <w:szCs w:val="20"/>
          <w:color w:val="auto"/>
        </w:rPr>
      </w:pPr>
      <w:r>
        <w:rPr>
          <w:rFonts w:ascii="Times New Roman" w:cs="Times New Roman" w:eastAsia="Times New Roman" w:hAnsi="Times New Roman"/>
          <w:sz w:val="14"/>
          <w:szCs w:val="14"/>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95" w:lineRule="exact"/>
        <w:rPr>
          <w:sz w:val="20"/>
          <w:szCs w:val="20"/>
          <w:color w:val="auto"/>
        </w:rPr>
      </w:pPr>
    </w:p>
    <w:p>
      <w:pPr>
        <w:ind w:right="320" w:firstLine="438"/>
        <w:spacing w:after="0" w:line="241" w:lineRule="auto"/>
        <w:rPr>
          <w:sz w:val="20"/>
          <w:szCs w:val="20"/>
          <w:color w:val="auto"/>
        </w:rPr>
      </w:pPr>
      <w:r>
        <w:rPr>
          <w:rFonts w:ascii="Times New Roman" w:cs="Times New Roman" w:eastAsia="Times New Roman" w:hAnsi="Times New Roman"/>
          <w:sz w:val="14"/>
          <w:szCs w:val="14"/>
          <w:color w:val="auto"/>
        </w:rPr>
        <w:t>In addition, market conditions have affected consumer confidence levels, which may harm the business of our portfolio companies and result in adverse changes in payment patterns. Increased delinquencies and default rates would negatively impact our results of operations. Deterioration in the credit quality of our portfolio could have a material adverse effect on our business, financial condition and results of operations. If interest rates rise, some of our portfolio companies may not be able to pay the escalating interest on our loans and may default.</w:t>
      </w:r>
    </w:p>
    <w:p>
      <w:pPr>
        <w:spacing w:after="0" w:line="96" w:lineRule="exact"/>
        <w:rPr>
          <w:sz w:val="20"/>
          <w:szCs w:val="20"/>
          <w:color w:val="auto"/>
        </w:rPr>
      </w:pPr>
    </w:p>
    <w:p>
      <w:pPr>
        <w:ind w:firstLine="438"/>
        <w:spacing w:after="0" w:line="227" w:lineRule="auto"/>
        <w:rPr>
          <w:sz w:val="20"/>
          <w:szCs w:val="20"/>
          <w:color w:val="auto"/>
        </w:rPr>
      </w:pPr>
      <w:r>
        <w:rPr>
          <w:rFonts w:ascii="Times New Roman" w:cs="Times New Roman" w:eastAsia="Times New Roman" w:hAnsi="Times New Roman"/>
          <w:sz w:val="14"/>
          <w:szCs w:val="14"/>
          <w:color w:val="auto"/>
        </w:rPr>
        <w:t>We make long-term loans and debt investments, which may involve a high degree of repayment risk. Our investments with a deferred interest feature, such as OID income and PIK interest, could represent a higher credit risk than investments that must pay interest in full in cash on a regular basis. We invest in companies that may have limited financial resources, typically are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adversely affect our financial condition and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unrealized losses we experience on our investment portfolio may be an indication of future realized losses, which could reduce our income available for distribution.</w:t>
      </w:r>
    </w:p>
    <w:p>
      <w:pPr>
        <w:spacing w:after="0" w:line="140" w:lineRule="exact"/>
        <w:rPr>
          <w:sz w:val="20"/>
          <w:szCs w:val="20"/>
          <w:color w:val="auto"/>
        </w:rPr>
      </w:pPr>
    </w:p>
    <w:p>
      <w:pPr>
        <w:jc w:val="both"/>
        <w:ind w:right="100" w:firstLine="438"/>
        <w:spacing w:after="0" w:line="236" w:lineRule="auto"/>
        <w:rPr>
          <w:sz w:val="20"/>
          <w:szCs w:val="20"/>
          <w:color w:val="auto"/>
        </w:rPr>
      </w:pPr>
      <w:r>
        <w:rPr>
          <w:rFonts w:ascii="Times New Roman" w:cs="Times New Roman" w:eastAsia="Times New Roman" w:hAnsi="Times New Roman"/>
          <w:sz w:val="14"/>
          <w:szCs w:val="14"/>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96" w:lineRule="exact"/>
        <w:rPr>
          <w:sz w:val="20"/>
          <w:szCs w:val="20"/>
          <w:color w:val="auto"/>
        </w:rPr>
      </w:pPr>
    </w:p>
    <w:p>
      <w:pPr>
        <w:ind w:right="380" w:firstLine="438"/>
        <w:spacing w:after="0" w:line="261" w:lineRule="auto"/>
        <w:rPr>
          <w:sz w:val="20"/>
          <w:szCs w:val="20"/>
          <w:color w:val="auto"/>
        </w:rPr>
      </w:pPr>
      <w:r>
        <w:rPr>
          <w:rFonts w:ascii="Times New Roman" w:cs="Times New Roman" w:eastAsia="Times New Roman" w:hAnsi="Times New Roman"/>
          <w:sz w:val="14"/>
          <w:szCs w:val="14"/>
          <w:color w:val="auto"/>
        </w:rPr>
        <w:t>If the fair value of our portfolio companies reflects unrealized losses that are subsequently realized, we could experience reductions of our income available for distribution in future periods that could materially harm our results of operations and cause a material decline in the value of our publicly traded common stock.</w:t>
      </w:r>
    </w:p>
    <w:p>
      <w:pPr>
        <w:spacing w:after="0" w:line="91"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91" w:lineRule="exact"/>
        <w:rPr>
          <w:sz w:val="20"/>
          <w:szCs w:val="20"/>
          <w:color w:val="auto"/>
        </w:rPr>
      </w:pPr>
    </w:p>
    <w:p>
      <w:pPr>
        <w:ind w:right="140" w:firstLine="438"/>
        <w:spacing w:after="0" w:line="231" w:lineRule="auto"/>
        <w:rPr>
          <w:sz w:val="20"/>
          <w:szCs w:val="20"/>
          <w:color w:val="auto"/>
        </w:rPr>
      </w:pPr>
      <w:r>
        <w:rPr>
          <w:rFonts w:ascii="Times New Roman" w:cs="Times New Roman" w:eastAsia="Times New Roman" w:hAnsi="Times New Roman"/>
          <w:sz w:val="14"/>
          <w:szCs w:val="14"/>
          <w:color w:val="auto"/>
        </w:rPr>
        <w:t>We depend on the diligence, skill and network of business contacts of the senior investment professionals of our Investment Adviser for our future success. We also depend, to a significant extent, on PennantPark Investment Advisers’ access to the investment information and deal flow generated by these senior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96"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If our Investment Management Agreement is terminated, our costs under new agreements that we enter into may increase. In addition, we will likely incur significant time and expense in locating alternative parties to provide the services we expect to receive under our Investment Management Agreement. Any new investment management agreement would also be subject to approval by our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exposed to risks associated with changes in interest rates that may affect our cost of capital and net investment income.</w:t>
      </w:r>
    </w:p>
    <w:p>
      <w:pPr>
        <w:spacing w:after="0" w:line="140" w:lineRule="exact"/>
        <w:rPr>
          <w:sz w:val="20"/>
          <w:szCs w:val="20"/>
          <w:color w:val="auto"/>
        </w:rPr>
      </w:pPr>
    </w:p>
    <w:p>
      <w:pPr>
        <w:ind w:right="20" w:firstLine="438"/>
        <w:spacing w:after="0"/>
        <w:rPr>
          <w:sz w:val="20"/>
          <w:szCs w:val="20"/>
          <w:color w:val="auto"/>
        </w:rPr>
      </w:pPr>
      <w:r>
        <w:rPr>
          <w:rFonts w:ascii="Times New Roman" w:cs="Times New Roman" w:eastAsia="Times New Roman" w:hAnsi="Times New Roman"/>
          <w:sz w:val="14"/>
          <w:szCs w:val="14"/>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periods of rising interest rates, our cost of funds will increase and the interest rate on investments with an interest rate floor will not increase until interest rates exceed the applicable floor, which will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which may diminish the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19" w:name="page20"/>
    <w:bookmarkEnd w:id="19"/>
    <w:p>
      <w:pPr>
        <w:ind w:right="320"/>
        <w:spacing w:after="0" w:line="261" w:lineRule="auto"/>
        <w:rPr>
          <w:sz w:val="20"/>
          <w:szCs w:val="20"/>
          <w:color w:val="auto"/>
        </w:rPr>
      </w:pPr>
      <w:r>
        <w:rPr>
          <w:rFonts w:ascii="Times New Roman" w:cs="Times New Roman" w:eastAsia="Times New Roman" w:hAnsi="Times New Roman"/>
          <w:sz w:val="14"/>
          <w:szCs w:val="14"/>
          <w:color w:val="auto"/>
        </w:rPr>
        <w:t>actual benefits of any hedging strategy we employ. See “Management’s Discussion and Analysis of Financial Condition and Results of Operations—Quantitative and Qualitative Disclosures about Market Risk” for more information.</w:t>
      </w:r>
    </w:p>
    <w:p>
      <w:pPr>
        <w:spacing w:after="0" w:line="82" w:lineRule="exact"/>
        <w:rPr>
          <w:sz w:val="20"/>
          <w:szCs w:val="20"/>
          <w:color w:val="auto"/>
        </w:rPr>
      </w:pPr>
    </w:p>
    <w:p>
      <w:pPr>
        <w:ind w:right="100" w:firstLine="438"/>
        <w:spacing w:after="0" w:line="241" w:lineRule="auto"/>
        <w:rPr>
          <w:sz w:val="20"/>
          <w:szCs w:val="20"/>
          <w:color w:val="auto"/>
        </w:rPr>
      </w:pPr>
      <w:r>
        <w:rPr>
          <w:rFonts w:ascii="Times New Roman" w:cs="Times New Roman" w:eastAsia="Times New Roman" w:hAnsi="Times New Roman"/>
          <w:sz w:val="14"/>
          <w:szCs w:val="14"/>
          <w:color w:val="auto"/>
        </w:rPr>
        <w:t>A rise in the general level of interest rates can be expected to lead to higher interest rates applicable to our debt investments once the interest rate exceeds the applicable floor.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9" w:lineRule="exact"/>
        <w:rPr>
          <w:sz w:val="20"/>
          <w:szCs w:val="20"/>
          <w:color w:val="auto"/>
        </w:rPr>
      </w:pPr>
    </w:p>
    <w:p>
      <w:pPr>
        <w:ind w:right="60" w:firstLine="438"/>
        <w:spacing w:after="0" w:line="233" w:lineRule="auto"/>
        <w:rPr>
          <w:sz w:val="20"/>
          <w:szCs w:val="20"/>
          <w:color w:val="auto"/>
        </w:rPr>
      </w:pPr>
      <w:r>
        <w:rPr>
          <w:rFonts w:ascii="Times New Roman" w:cs="Times New Roman" w:eastAsia="Times New Roman" w:hAnsi="Times New Roman"/>
          <w:sz w:val="14"/>
          <w:szCs w:val="14"/>
          <w:color w:val="auto"/>
        </w:rPr>
        <w:t>General interest rate fluctuations may have a substantial negative impact on our investments, the value of our common stock and our rate of return on invested capital. A reduction in interest rates may result in both lower interest rates on new investments and higher repayments on current investments with higher interest rates, which may have an adverse impact on our net investment income. An increase in interest rates could decrease the value of any investments we hold which earn fixed interest rates or are subject to interest rate floors and also could increase our interest expense on our Credit Facility, thereby decreasing our net investment income. Also, an increase in interest rates available to investors could make an investment in our common stock less attractive if we are not able to increase our dividend rate, which could reduce the value of our common stock.</w:t>
      </w:r>
    </w:p>
    <w:p>
      <w:pPr>
        <w:spacing w:after="0" w:line="110"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If general interest rates rise, there is a risk that the portfolio companies in which we hold floating rate securities will be unable to pay escalating interest amounts, which could result in a default under their loan documents with us.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relating to the LIBOR calculation process may adversely affect the value of the LIBOR-indexed, floating-rate debt securities in our portfolio or issued by us.</w:t>
      </w:r>
    </w:p>
    <w:p>
      <w:pPr>
        <w:spacing w:after="0" w:line="140" w:lineRule="exact"/>
        <w:rPr>
          <w:sz w:val="20"/>
          <w:szCs w:val="20"/>
          <w:color w:val="auto"/>
        </w:rPr>
      </w:pPr>
    </w:p>
    <w:p>
      <w:pPr>
        <w:ind w:firstLine="451"/>
        <w:spacing w:after="0" w:line="231" w:lineRule="auto"/>
        <w:rPr>
          <w:sz w:val="20"/>
          <w:szCs w:val="20"/>
          <w:color w:val="auto"/>
        </w:rPr>
      </w:pPr>
      <w:r>
        <w:rPr>
          <w:rFonts w:ascii="Times New Roman" w:cs="Times New Roman" w:eastAsia="Times New Roman" w:hAnsi="Times New Roman"/>
          <w:sz w:val="14"/>
          <w:szCs w:val="14"/>
          <w:color w:val="auto"/>
        </w:rPr>
        <w:t>In July 2017, the head of the United Kingdom Financial Conduct Authority announced the desire to phase out the use of LIBOR by the end of 2021. At this time, no consensus exists as to what rate or rates will become accepted alternatives to LIBOR, although the U.S. Federal Reserve, in connection with the Alternative Reference Rates Committee, a steering committee comprised of large U.S. financial institutions, is considering replacing U.S. dollar LIBOR with the Secured Overnight Financing Rate (“SOFR”). Given the inherent differences between LIBOR and SOFR, or any other alternative benchmark rate that may be established, there are many uncertainties regarding a transition from LIBOR, including, but not limited to, the need to amend all contracts with LIBOR as the referenced rate and how this will impact the cost of variable rate debt and certain derivative financial instruments. In addition, SOFR or other replacement rates may fail to gain market acceptance. Any failure of SOFR or alternative reference rates to gain market acceptance could adversely affect the return on, value of and market for securities linked to such rates.</w:t>
      </w:r>
    </w:p>
    <w:p>
      <w:pPr>
        <w:spacing w:after="0" w:line="96" w:lineRule="exact"/>
        <w:rPr>
          <w:sz w:val="20"/>
          <w:szCs w:val="20"/>
          <w:color w:val="auto"/>
        </w:rPr>
      </w:pPr>
    </w:p>
    <w:p>
      <w:pPr>
        <w:ind w:right="120" w:firstLine="451"/>
        <w:spacing w:after="0" w:line="227" w:lineRule="auto"/>
        <w:rPr>
          <w:sz w:val="20"/>
          <w:szCs w:val="20"/>
          <w:color w:val="auto"/>
        </w:rPr>
      </w:pPr>
      <w:r>
        <w:rPr>
          <w:rFonts w:ascii="Times New Roman" w:cs="Times New Roman" w:eastAsia="Times New Roman" w:hAnsi="Times New Roman"/>
          <w:sz w:val="14"/>
          <w:szCs w:val="14"/>
          <w:color w:val="auto"/>
        </w:rPr>
        <w:t>The effect of the establishment of alternative reference rates or any other reforms to LIBOR or other reference rates (including whether LIBOR will continue to be an acceptable market benchmark) cannot be predicted at this time, and the transition away from LIBOR and other current reference rates to alternative reference rates is complex and could have a material adverse effect on our business, financial condition and results of operations. Factors such as the pace of the transition to replacement or reformed rates, the specific terms and parameters for and market acceptance of any alternative reference rate, prices of and the liquidity of trading markets for products based on alternative reference rates, and our ability to transition and develop appropriate systems and analytics for one or more alternative reference rates could also have a material adverse effect on our business, financial condition and results of operations. We may also need to renegotiate any credit or similar agreements extending beyond 2021 with our portfolio companies that utilize LIBOR as a factor in determining the interest rate and our Credit Facility to replace LIBOR with the new standard that is established. If the agreements with our portfolio companies are unable to be renegotiated, our investments may bear interest at a lower rate, which would decrease investment income and potentially the value of such investments. If we are unable to renegotiate our Credit Facility, amounts drawn under our Credit Facility may bear interest at a higher rate, which would increase the cost of our borrowings and, in turn, affect our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financial condition and results of operation depend on our ability to manage future growth effectively.</w:t>
      </w:r>
    </w:p>
    <w:p>
      <w:pPr>
        <w:spacing w:after="0" w:line="140" w:lineRule="exact"/>
        <w:rPr>
          <w:sz w:val="20"/>
          <w:szCs w:val="20"/>
          <w:color w:val="auto"/>
        </w:rPr>
      </w:pPr>
    </w:p>
    <w:p>
      <w:pPr>
        <w:ind w:right="100" w:firstLine="438"/>
        <w:spacing w:after="0" w:line="228" w:lineRule="auto"/>
        <w:rPr>
          <w:sz w:val="20"/>
          <w:szCs w:val="20"/>
          <w:color w:val="auto"/>
        </w:rPr>
      </w:pPr>
      <w:r>
        <w:rPr>
          <w:rFonts w:ascii="Times New Roman" w:cs="Times New Roman" w:eastAsia="Times New Roman" w:hAnsi="Times New Roman"/>
          <w:sz w:val="14"/>
          <w:szCs w:val="14"/>
          <w:color w:val="auto"/>
        </w:rPr>
        <w:t>Our ability to achieve our investment objectives depends on our ability to grow, which depends, in turn, on our Investment Adviser’s ability to identify, invest in and monitor companies that meet our investment selection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for us to grow, our Investment Adviser will need to hire, train, supervise and manage new employees. However, we can offer no assurance that any current or future employees will contribute effectively to the work of, or remain associated with, the Investment Adviser. We caution you that the principals of our Investment Adviser or Administrator may also be called upon to provide and currently do provide significant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highly dependent on information systems and systems failures could have a material adverse effect on our business, financial condition and results of operations.</w:t>
      </w:r>
    </w:p>
    <w:p>
      <w:pPr>
        <w:spacing w:after="0" w:line="140" w:lineRule="exact"/>
        <w:rPr>
          <w:sz w:val="20"/>
          <w:szCs w:val="20"/>
          <w:color w:val="auto"/>
        </w:rPr>
      </w:pPr>
    </w:p>
    <w:p>
      <w:pPr>
        <w:ind w:right="400" w:firstLine="438"/>
        <w:spacing w:after="0" w:line="241" w:lineRule="auto"/>
        <w:rPr>
          <w:sz w:val="20"/>
          <w:szCs w:val="20"/>
          <w:color w:val="auto"/>
        </w:rPr>
      </w:pPr>
      <w:r>
        <w:rPr>
          <w:rFonts w:ascii="Times New Roman" w:cs="Times New Roman" w:eastAsia="Times New Roman" w:hAnsi="Times New Roman"/>
          <w:sz w:val="14"/>
          <w:szCs w:val="14"/>
          <w:color w:val="auto"/>
        </w:rPr>
        <w:t>Our business depends on the communications and information systems, including financial and accounting systems, of the Investment Adviser, the Administrator and our sub-administrator. Any failure or interruption of such systems could cause delays or other problems in our activities. This, in turn, could have a material adverse effect on our business, financial condition and results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replicate the historical performance of other investment companies and funds with which our senior and other investment professionals have been affiliated.</w:t>
      </w:r>
    </w:p>
    <w:p>
      <w:pPr>
        <w:spacing w:after="0" w:line="127" w:lineRule="exact"/>
        <w:rPr>
          <w:sz w:val="20"/>
          <w:szCs w:val="20"/>
          <w:color w:val="auto"/>
        </w:rPr>
      </w:pPr>
    </w:p>
    <w:p>
      <w:pPr>
        <w:ind w:firstLine="438"/>
        <w:spacing w:after="0" w:line="231" w:lineRule="auto"/>
        <w:rPr>
          <w:sz w:val="20"/>
          <w:szCs w:val="20"/>
          <w:color w:val="auto"/>
        </w:rPr>
      </w:pPr>
      <w:r>
        <w:rPr>
          <w:rFonts w:ascii="Times New Roman" w:cs="Times New Roman" w:eastAsia="Times New Roman" w:hAnsi="Times New Roman"/>
          <w:sz w:val="14"/>
          <w:szCs w:val="14"/>
          <w:color w:val="auto"/>
        </w:rPr>
        <w:t>The 1940 Act imposes numerous constraints on the investment activities of BDCs. For example, BDCs are required to invest at least 70% of their total assets primarily in securities of U.S. private companies or thinly traded public companies (i.e.,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and funds advised by the Investment Adviser. Accordingly, we can offer no assurance that we will replicate the historical performance of other investment companies and funds with which our senior and other investment professionals have been affiliated, and we caution that our investment returns could be substantially lower than the returns achieved by such other companies.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on our part to maintain our status as a BDC would reduce our operating flexibility.</w:t>
      </w:r>
    </w:p>
    <w:p>
      <w:pPr>
        <w:spacing w:after="0" w:line="140"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of RIC tax status would substantially reduce our net assets and income available for debt service and distributions.</w:t>
      </w:r>
    </w:p>
    <w:p>
      <w:pPr>
        <w:spacing w:after="0" w:line="140"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We have operated and continue to operate so as to maintain our election to be treated as a RIC under Subchapter M of the Code. If we meet the 90% Income Test, the Diversification Tests, and the Annual Distribution Requirement, we generally will not be subject to corporate-level income taxation on income we timely distribute, or deem to</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0" w:name="page21"/>
    <w:bookmarkEnd w:id="20"/>
    <w:p>
      <w:pPr>
        <w:ind w:right="240"/>
        <w:spacing w:after="0" w:line="233" w:lineRule="auto"/>
        <w:rPr>
          <w:sz w:val="20"/>
          <w:szCs w:val="20"/>
          <w:color w:val="auto"/>
        </w:rPr>
      </w:pPr>
      <w:r>
        <w:rPr>
          <w:rFonts w:ascii="Times New Roman" w:cs="Times New Roman" w:eastAsia="Times New Roman" w:hAnsi="Times New Roman"/>
          <w:sz w:val="14"/>
          <w:szCs w:val="14"/>
          <w:color w:val="auto"/>
        </w:rPr>
        <w:t>distribute, as dividends for U.S. federal income tax purposes to our stockholders. We would cease to qualify for such tax treatment if we were unable to comply with these requirements. In addition, we may have difficulty meeting our Annual Distribution Requirement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 4% nondeductible excise tax if we do not distribute to our stockholders in respect of each calendar year of an amount at least equal to the Excise Tax Avoidance Requirement.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have difficulty paying our Annual Distribution Requirement if we recognize income before or without receiving cash representing such income.</w:t>
      </w:r>
    </w:p>
    <w:p>
      <w:pPr>
        <w:spacing w:after="0" w:line="140" w:lineRule="exact"/>
        <w:rPr>
          <w:sz w:val="20"/>
          <w:szCs w:val="20"/>
          <w:color w:val="auto"/>
        </w:rPr>
      </w:pPr>
    </w:p>
    <w:p>
      <w:pPr>
        <w:ind w:right="60" w:firstLine="438"/>
        <w:spacing w:after="0"/>
        <w:rPr>
          <w:sz w:val="20"/>
          <w:szCs w:val="20"/>
          <w:color w:val="auto"/>
        </w:rPr>
      </w:pPr>
      <w:r>
        <w:rPr>
          <w:rFonts w:ascii="Times New Roman" w:cs="Times New Roman" w:eastAsia="Times New Roman" w:hAnsi="Times New Roman"/>
          <w:sz w:val="14"/>
          <w:szCs w:val="14"/>
          <w:color w:val="auto"/>
        </w:rPr>
        <w:t>For federal income tax purposes, we include in income certain amounts that we have not yet received in cash, such as OID and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 such as amounts attributable to foreign currency transactions. Our investments with a deferred interest feature, such as PIK interest, may represent a higher credit risk than loans for which interest must be paid in full in cash on a regular basis. For example, even if the accounting conditions for income accrual are met, the borrower could still default when our actual collection is scheduled to occur upon maturity of the obligation.</w:t>
      </w:r>
    </w:p>
    <w:p>
      <w:pPr>
        <w:spacing w:after="0" w:line="235"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PIK or OID interest, it is possible that accrued interest previously used in the calculation of the incentive fee will become uncollectible.</w:t>
      </w:r>
    </w:p>
    <w:p>
      <w:pPr>
        <w:spacing w:after="0" w:line="96"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If we are unable to satisfy the Annual Distribution Requirement, we may have to sell some of our investments at times or prices we would not consider advantageous, or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lose our ability to be subject to tax as a RIC and thus be subject to corporate-level income tax.</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Legislation enacted in 2018 allows us to incur additional leverage.</w:t>
      </w:r>
    </w:p>
    <w:p>
      <w:pPr>
        <w:spacing w:after="0" w:line="140" w:lineRule="exact"/>
        <w:rPr>
          <w:sz w:val="20"/>
          <w:szCs w:val="20"/>
          <w:color w:val="auto"/>
        </w:rPr>
      </w:pPr>
    </w:p>
    <w:p>
      <w:pPr>
        <w:ind w:right="20" w:firstLine="438"/>
        <w:spacing w:after="0" w:line="226" w:lineRule="auto"/>
        <w:rPr>
          <w:sz w:val="20"/>
          <w:szCs w:val="20"/>
          <w:color w:val="auto"/>
        </w:rPr>
      </w:pPr>
      <w:r>
        <w:rPr>
          <w:rFonts w:ascii="Times New Roman" w:cs="Times New Roman" w:eastAsia="Times New Roman" w:hAnsi="Times New Roman"/>
          <w:sz w:val="14"/>
          <w:szCs w:val="14"/>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February 5, 2019, our stockholders approved such reduction, as approved by our board of directors on November 13, 2018. As of February 5, 2019, we are able to incur additional indebtedness so long as we comply with the applicable disclosure requirements, which may increase the risk of investing in us. Under the 200% minimum asset coverage ratio, we were permitted to borrow up to one dollar for investment purposes for every one dollar of investor equity and, under the 150% minimum asset coverage ratio, we are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 Effective February 5, 2019, base management fees were reduced from 1.50% to 1.00% on gross assets that exceed 200% of our total net assets as of the immediately preceding quarter-end.</w:t>
      </w:r>
    </w:p>
    <w:p>
      <w:pPr>
        <w:spacing w:after="0" w:line="11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78"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In connection with satisfying the requirements to be subject to tax as a RIC,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09" w:lineRule="exact"/>
        <w:rPr>
          <w:sz w:val="20"/>
          <w:szCs w:val="20"/>
          <w:color w:val="auto"/>
        </w:rPr>
      </w:pPr>
    </w:p>
    <w:p>
      <w:pPr>
        <w:ind w:right="140" w:firstLine="438"/>
        <w:spacing w:after="0" w:line="231" w:lineRule="auto"/>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from 200% to 150%. As a result, as of February 6,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0" w:lineRule="exact"/>
        <w:rPr>
          <w:sz w:val="20"/>
          <w:szCs w:val="20"/>
          <w:color w:val="auto"/>
        </w:rPr>
      </w:pPr>
    </w:p>
    <w:p>
      <w:pPr>
        <w:ind w:right="220" w:firstLine="438"/>
        <w:spacing w:after="0" w:line="236" w:lineRule="auto"/>
        <w:rPr>
          <w:sz w:val="20"/>
          <w:szCs w:val="20"/>
          <w:color w:val="auto"/>
        </w:rPr>
      </w:pPr>
      <w:r>
        <w:rPr>
          <w:rFonts w:ascii="Times New Roman" w:cs="Times New Roman" w:eastAsia="Times New Roman" w:hAnsi="Times New Roman"/>
          <w:sz w:val="14"/>
          <w:szCs w:val="14"/>
          <w:color w:val="auto"/>
        </w:rPr>
        <w:t>We depend in part on SBIC II for cash distributions to enable us to meet the distribution requirements to be subject to tax as a RIC. In this regard, SBIC II is limited by the SBA regulations governing SBICs from making certain distributions to us that may be necessary to satisfy the requirements to be subject to tax as a RIC. In such a case, we would need to request a waiver of the SBA’s restrictions for SBIC II to make certain distributions to enable us to be subject to tax as a RIC. We cannot assure you that the SBA will grant such waiver, and if SBIC II is unable to obtain a waiver, compliance with the SBA regulations may cause us to incur a corporate-level income tax.</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Regulations governing our operation as a BDC will affect our ability to, and the way in which we, raise additional capital.</w:t>
      </w:r>
    </w:p>
    <w:p>
      <w:pPr>
        <w:spacing w:after="0" w:line="140"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debt securities or preferred securities, which we refer to collectively as “senior securities,” and we may borrow money from banks, through the SBA debenture program or other financial institutions, up to the maximum amount permitted by the 1940 Act. Under the 1940 Act, the asset coverage ratio requirements permit us to issue senior securities or incur indebtedness subject to certain limitations, exclusive of the SBA debentures pursuant to our SEC exemptive relief. Our ability to pay distributions or issue additional senior securities would be restricted if our asset coverage ratio was not met. If the value of our assets declines, we may be unable to satisfy the asset coverage ratio. If that happens, we may be required to liquidate a portion of our investments and repay a portion of our indebtedness at a time when such sales may be disadvantageous, which could materially harm our business, financial condition and results of operations.</w:t>
      </w:r>
    </w:p>
    <w:p>
      <w:pPr>
        <w:spacing w:after="0" w:line="109" w:lineRule="exact"/>
        <w:rPr>
          <w:sz w:val="20"/>
          <w:szCs w:val="20"/>
          <w:color w:val="auto"/>
        </w:rPr>
      </w:pPr>
    </w:p>
    <w:p>
      <w:pPr>
        <w:ind w:left="920" w:right="180" w:hanging="359"/>
        <w:spacing w:after="0" w:line="234" w:lineRule="auto"/>
        <w:tabs>
          <w:tab w:leader="none" w:pos="9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Senior Securities. </w:t>
      </w:r>
      <w:r>
        <w:rPr>
          <w:rFonts w:ascii="Times New Roman" w:cs="Times New Roman" w:eastAsia="Times New Roman" w:hAnsi="Times New Roman"/>
          <w:sz w:val="14"/>
          <w:szCs w:val="14"/>
          <w:color w:val="auto"/>
        </w:rPr>
        <w:t>As a result of issuing senior securities, we are exposed to typical risks associated with leverage, including an increased risk of loss. If we issue preferred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6" w:lineRule="exact"/>
        <w:rPr>
          <w:rFonts w:ascii="Times New Roman" w:cs="Times New Roman" w:eastAsia="Times New Roman" w:hAnsi="Times New Roman"/>
          <w:sz w:val="14"/>
          <w:szCs w:val="14"/>
          <w:color w:val="auto"/>
        </w:rPr>
      </w:pPr>
    </w:p>
    <w:p>
      <w:pPr>
        <w:ind w:left="920" w:right="140" w:hanging="359"/>
        <w:spacing w:after="0" w:line="267" w:lineRule="auto"/>
        <w:tabs>
          <w:tab w:leader="none" w:pos="92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Additional Common Stock. </w:t>
      </w:r>
      <w:r>
        <w:rPr>
          <w:rFonts w:ascii="Times New Roman" w:cs="Times New Roman" w:eastAsia="Times New Roman" w:hAnsi="Times New Roman"/>
          <w:sz w:val="14"/>
          <w:szCs w:val="14"/>
          <w:color w:val="auto"/>
        </w:rPr>
        <w:t>Our board of directors may decide to issue common stock to finance our operations rather than issuing debt or other senior securities. As a BDC,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 generally not able to issue our common stock at a price below NAV per share without first obtaining certain approvals from our stockholders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1" w:name="page22"/>
    <w:bookmarkEnd w:id="21"/>
    <w:p>
      <w:pPr>
        <w:ind w:left="920" w:right="20"/>
        <w:spacing w:after="0" w:line="225" w:lineRule="auto"/>
        <w:rPr>
          <w:sz w:val="20"/>
          <w:szCs w:val="20"/>
          <w:color w:val="auto"/>
        </w:rPr>
      </w:pPr>
      <w:r>
        <w:rPr>
          <w:rFonts w:ascii="Times New Roman" w:cs="Times New Roman" w:eastAsia="Times New Roman" w:hAnsi="Times New Roman"/>
          <w:sz w:val="14"/>
          <w:szCs w:val="14"/>
          <w:color w:val="auto"/>
        </w:rPr>
        <w:t>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However, when required to be undertaken, the procedures used by the board of directors to determine the NAV per share of our common stock within 48 hours of each offering of our common stock may differ materially from and will necessarily be more abbreviated than the procedures used by the board of directors to determine the NAV per share of our common stock at the end of each quarter because there is a an extensive process each quarter to determine the NAV per share of our common stock which cannot be completed in 48 hours. The quarterly process includes preliminary valuation conclusions, engagement of independent valuation firms and review by those firms of preliminary valuation conclusions. By contrast, the procedures in connection with an offering may yield a NAV that is less precise than the NAV determined at the end of each quarter.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11" w:lineRule="exact"/>
        <w:rPr>
          <w:sz w:val="20"/>
          <w:szCs w:val="20"/>
          <w:color w:val="auto"/>
        </w:rPr>
      </w:pPr>
    </w:p>
    <w:p>
      <w:pPr>
        <w:ind w:left="920" w:hanging="359"/>
        <w:spacing w:after="0" w:line="226" w:lineRule="auto"/>
        <w:tabs>
          <w:tab w:leader="none" w:pos="9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Securitization. </w:t>
      </w:r>
      <w:r>
        <w:rPr>
          <w:rFonts w:ascii="Times New Roman" w:cs="Times New Roman" w:eastAsia="Times New Roman" w:hAnsi="Times New Roman"/>
          <w:sz w:val="14"/>
          <w:szCs w:val="14"/>
          <w:color w:val="auto"/>
        </w:rPr>
        <w:t>In addition to issuing securities to raise capital as described above, we anticipate that in the future, as market conditions and the rules and regulations of the SEC</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permit, we 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05" w:lineRule="exact"/>
        <w:rPr>
          <w:rFonts w:ascii="Times New Roman" w:cs="Times New Roman" w:eastAsia="Times New Roman" w:hAnsi="Times New Roman"/>
          <w:sz w:val="14"/>
          <w:szCs w:val="14"/>
          <w:color w:val="auto"/>
        </w:rPr>
      </w:pPr>
    </w:p>
    <w:p>
      <w:pPr>
        <w:ind w:left="920" w:right="20" w:hanging="359"/>
        <w:spacing w:after="0" w:line="237" w:lineRule="auto"/>
        <w:tabs>
          <w:tab w:leader="none" w:pos="9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SBA Debentures. </w:t>
      </w:r>
      <w:r>
        <w:rPr>
          <w:rFonts w:ascii="Times New Roman" w:cs="Times New Roman" w:eastAsia="Times New Roman" w:hAnsi="Times New Roman"/>
          <w:sz w:val="14"/>
          <w:szCs w:val="14"/>
          <w:color w:val="auto"/>
        </w:rPr>
        <w:t>In addition to issuing securities and using securitizations to raise capital as described above, we have issued and may in the future issue, as permitted under SBA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regulations and through our wholly-owned subsidiary, SBIC II, and any future SBIC subsidiary, SBA debentures to generate cash for funding new investments. To issue SBA debentures, we may request commitments for debt capital from the SBA. SBIC II is, and any future SBIC subsidiary may be, exposed to any losses on its portfolio of loans, however, such debentures are non-recourse to us.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SBIC II may be unable to make distributions to us that will enable us to meet or maintain RIC tax status.</w:t>
      </w:r>
    </w:p>
    <w:p>
      <w:pPr>
        <w:spacing w:after="0" w:line="127"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In order for us to continue to qualify for RIC tax treatment and to minimize corporate-level income taxes, we will be required to distribute substantially all of our consolidated investment company taxable income and capital gains net income, including income from SBIC II, each taxable year as dividends to our stockholders. As noted above, we depend in part on SBIC II for cash distributions to enable us to meet the RIC distribution requirements. SBIC II may be limited by SBA regulations governing SBICs from making certain distributions to us that may be necessary to maintain our status as a RIC. We may have to request a waiver of the SBA’s restrictions for SBIC II to make certain distributions to maintain our RIC tax status. We cannot assure you that the SBA will grant such waiver and if SBIC II is unable to obtain a waiver, compliance with the SBA regulations may result in corporate level income tax on 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SBIC II is licensed by the SBA and is subject to SBA regulations.</w:t>
      </w:r>
    </w:p>
    <w:p>
      <w:pPr>
        <w:spacing w:after="0" w:line="140"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SBIC II, our wholly-owned subsidiary, received a license to operate as a SBIC under the 1958 Act and is regulated by the SBA. The SBA places certain limitations on the financing terms of investments by SBICs in portfolio companies and regulates the types of financings and prohibits investing in certain industries. Compliance with SBIC requirements may cause SBIC II to make investments at lower rates in order to qualify investments under the SBA regulations.</w:t>
      </w:r>
    </w:p>
    <w:p>
      <w:pPr>
        <w:spacing w:after="0" w:line="96"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Further, SBA regulations require that a licensed SBIC be periodically examined and audited by the SBA to determine its compliance with the relevant regulations. If SBIC II fails to comply with applicable regulations, the SBA could, depending on the severity of the violation, limit or prohibit its use of debentures, declare outstanding debentures immediately due and payable, and/or limit it from making new investments. In addition, the SBA could revoke or suspend SBIC II’s license for willful or repeated violation of, or willful or repeated failure to observe, any provision of the 1958 Act or any rule or regulation promulgated thereunder. These actions by the SBA would, in turn, negatively affect us because SBIC II is our wholly-owned subsidiary.</w:t>
      </w:r>
    </w:p>
    <w:p>
      <w:pPr>
        <w:spacing w:after="0" w:line="109"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Current SBA regulations limit the amount that any single SBIC may borrow to a maximum of $175.0 million, which is up to twice its regulatory capital, and a maximum of $350.0 million as part of a group of SBICs under common control.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currently use borrowed funds to make investments and are exposed to the typical risks associated with leverage.</w:t>
      </w:r>
    </w:p>
    <w:p>
      <w:pPr>
        <w:spacing w:after="0" w:line="127"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may be restricted when our asset coverage ratio is not met, exclusive of the SBA debentures pursuant to SEC exemptive relief, and any cash that we use to service our indebtedness is not available for distribution to our common stockholders.</w:t>
      </w:r>
    </w:p>
    <w:p>
      <w:pPr>
        <w:spacing w:after="0" w:line="109" w:lineRule="exact"/>
        <w:rPr>
          <w:sz w:val="20"/>
          <w:szCs w:val="20"/>
          <w:color w:val="auto"/>
        </w:rPr>
      </w:pPr>
    </w:p>
    <w:p>
      <w:pPr>
        <w:ind w:right="200" w:firstLine="438"/>
        <w:spacing w:after="0" w:line="236" w:lineRule="auto"/>
        <w:rPr>
          <w:sz w:val="20"/>
          <w:szCs w:val="20"/>
          <w:color w:val="auto"/>
        </w:rPr>
      </w:pPr>
      <w:r>
        <w:rPr>
          <w:rFonts w:ascii="Times New Roman" w:cs="Times New Roman" w:eastAsia="Times New Roman" w:hAnsi="Times New Roman"/>
          <w:sz w:val="14"/>
          <w:szCs w:val="14"/>
          <w:color w:val="auto"/>
        </w:rPr>
        <w:t>Our current debt is governed by the terms of our Credit Facility, 2024 Notes and SBA debentures and future debt may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 and may also carry leverage related risks. Leverage magnifies the potential risks for loss and the risks of investing in us, both as detailed below.</w:t>
      </w:r>
    </w:p>
    <w:p>
      <w:pPr>
        <w:spacing w:after="0" w:line="109"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Additionally, SBIC II has received borrowed funds and may in the future receive funds from the SBA through its debenture program. In connection with the filing of its initial SBA license application, PennantPark Investment received exemptive relief, in 2011, from the SEC to permit us to exclude the debt of our SBICs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i w:val="1"/>
          <w:iCs w:val="1"/>
          <w:color w:val="auto"/>
        </w:rPr>
        <w:t>If we incur additional debt, it could increase the risk of investing in our shares.</w:t>
      </w:r>
    </w:p>
    <w:p>
      <w:pPr>
        <w:spacing w:after="0" w:line="127" w:lineRule="exact"/>
        <w:rPr>
          <w:sz w:val="20"/>
          <w:szCs w:val="20"/>
          <w:color w:val="auto"/>
        </w:rPr>
      </w:pPr>
    </w:p>
    <w:p>
      <w:pPr>
        <w:ind w:right="20" w:firstLine="438"/>
        <w:spacing w:after="0" w:line="226" w:lineRule="auto"/>
        <w:rPr>
          <w:sz w:val="20"/>
          <w:szCs w:val="20"/>
          <w:color w:val="auto"/>
        </w:rPr>
      </w:pPr>
      <w:r>
        <w:rPr>
          <w:rFonts w:ascii="Times New Roman" w:cs="Times New Roman" w:eastAsia="Times New Roman" w:hAnsi="Times New Roman"/>
          <w:sz w:val="14"/>
          <w:szCs w:val="14"/>
          <w:color w:val="auto"/>
        </w:rPr>
        <w:t>We have indebtedness outstanding pursuant to our Credit Facility, 2024 Notes and SBA debentures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SBIC II, in connection with borrowings under our Credit Facility. In the case of a liquidation event, those lenders would receive proceeds before our stockholders. Additionally, the SBA, as a lender and an administrative agent, has a superior claim over the assets of SBIC II in relation to our other creditors. Any future debt issuance will increase our leverage and may be subordinate to our Credit Facility and SBA debentures. In addition, borrowings or debt issuances and SBA debentures, also known as leverage, magnify the potential for loss or gain on amounts invested and, therefore, increase the risks associated with investing in our securities. Leverage is generally considered a speculative investment technique. If the value of our assets decreases, then the use of leverage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jc w:val="both"/>
        <w:ind w:right="140" w:firstLine="438"/>
        <w:spacing w:after="0"/>
        <w:rPr>
          <w:sz w:val="20"/>
          <w:szCs w:val="20"/>
          <w:color w:val="auto"/>
        </w:rPr>
      </w:pPr>
      <w:r>
        <w:rPr>
          <w:rFonts w:ascii="Times New Roman" w:cs="Times New Roman" w:eastAsia="Times New Roman" w:hAnsi="Times New Roman"/>
          <w:sz w:val="14"/>
          <w:szCs w:val="14"/>
          <w:color w:val="auto"/>
        </w:rPr>
        <w:t>As noted above, on November 13, 2018 and February 5, 2019, our board of directors, including a “required majority” (as such term is defined in Section 57(o) of the 1940 Act), and our stockholders, respectively, approved a reduction of our asset coverage ratio. As a result, as of February 6,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260"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As of September 30, 2020 and 2019, our asset coverage ratio, as computed in accordance with the 1940 Act, was 208% and 207%, respectively. Since our leverage, including SBA debentures outstanding, was 116% and 120% of our net assets as of September 30, 2020 and 2019, respectively, we would have to receive an annual return of at least 1.6% and 2.3%, respectively, to cover annual interest payments.</w:t>
      </w:r>
    </w:p>
    <w:p>
      <w:pPr>
        <w:spacing w:after="0" w:line="96" w:lineRule="exact"/>
        <w:rPr>
          <w:sz w:val="20"/>
          <w:szCs w:val="20"/>
          <w:color w:val="auto"/>
        </w:rPr>
      </w:pPr>
    </w:p>
    <w:p>
      <w:pPr>
        <w:ind w:right="20" w:firstLine="438"/>
        <w:spacing w:after="0"/>
        <w:rPr>
          <w:sz w:val="20"/>
          <w:szCs w:val="20"/>
          <w:color w:val="auto"/>
        </w:rPr>
      </w:pPr>
      <w:r>
        <w:rPr>
          <w:rFonts w:ascii="Times New Roman" w:cs="Times New Roman" w:eastAsia="Times New Roman" w:hAnsi="Times New Roman"/>
          <w:sz w:val="14"/>
          <w:szCs w:val="14"/>
          <w:color w:val="auto"/>
        </w:rPr>
        <w:t>As of September 30, 2020, we had outstanding borrowings of $388.3 million under our Credit Facility, $118.5 million outstanding under the SBA debentures and $86.3 million of 2024 Notes outstanding. Our consolidated debt outstanding was $593.0 million and had a weighted average annual interest rate at the time of 3.0%, exclusive of the fee on undrawn commitment on our Credit Facility and upfront fees on the SBA debentures.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247"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The following table is designed to illustrate the effect on the return to a holder of our common stock of the leverage created by our use of borrowing as of September 30, 2020 of 51% of total assets (including such borrowed funds), at the current interest rate at the time of 3.0%, and assumes hypothetical annual returns on our portfolio of minus 10 to plus 10 percent. The table also assumes that we will maintain a constant level of leverage and weighted average interest rate.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Assumed return on portfolio (net of expenses) </w:t>
            </w:r>
            <w:r>
              <w:rPr>
                <w:rFonts w:ascii="Times New Roman" w:cs="Times New Roman" w:eastAsia="Times New Roman" w:hAnsi="Times New Roman"/>
                <w:sz w:val="12"/>
                <w:szCs w:val="12"/>
                <w:color w:val="auto"/>
              </w:rPr>
              <w:t>(1)</w:t>
            </w:r>
          </w:p>
        </w:tc>
        <w:tc>
          <w:tcPr>
            <w:tcW w:w="1840" w:type="dxa"/>
            <w:vAlign w:val="bottom"/>
            <w:shd w:val="clear" w:color="auto" w:fill="CCECFF"/>
          </w:tcPr>
          <w:p>
            <w:pPr>
              <w:jc w:val="right"/>
              <w:ind w:right="488"/>
              <w:spacing w:after="0"/>
              <w:rPr>
                <w:sz w:val="20"/>
                <w:szCs w:val="20"/>
                <w:color w:val="auto"/>
              </w:rPr>
            </w:pPr>
            <w:r>
              <w:rPr>
                <w:rFonts w:ascii="Times New Roman" w:cs="Times New Roman" w:eastAsia="Times New Roman" w:hAnsi="Times New Roman"/>
                <w:sz w:val="14"/>
                <w:szCs w:val="14"/>
                <w:color w:val="auto"/>
              </w:rPr>
              <w:t>(10.0)%</w:t>
            </w:r>
          </w:p>
        </w:tc>
        <w:tc>
          <w:tcPr>
            <w:tcW w:w="1620" w:type="dxa"/>
            <w:vAlign w:val="bottom"/>
            <w:shd w:val="clear" w:color="auto" w:fill="CCECFF"/>
          </w:tcPr>
          <w:p>
            <w:pPr>
              <w:jc w:val="right"/>
              <w:ind w:right="528"/>
              <w:spacing w:after="0"/>
              <w:rPr>
                <w:sz w:val="20"/>
                <w:szCs w:val="20"/>
                <w:color w:val="auto"/>
              </w:rPr>
            </w:pPr>
            <w:r>
              <w:rPr>
                <w:rFonts w:ascii="Times New Roman" w:cs="Times New Roman" w:eastAsia="Times New Roman" w:hAnsi="Times New Roman"/>
                <w:sz w:val="14"/>
                <w:szCs w:val="14"/>
                <w:color w:val="auto"/>
              </w:rPr>
              <w:t>(5.0)%</w:t>
            </w:r>
          </w:p>
        </w:tc>
        <w:tc>
          <w:tcPr>
            <w:tcW w:w="16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CFF"/>
          </w:tcPr>
          <w:p>
            <w:pPr>
              <w:jc w:val="right"/>
              <w:ind w:right="508"/>
              <w:spacing w:after="0"/>
              <w:rPr>
                <w:sz w:val="20"/>
                <w:szCs w:val="20"/>
                <w:color w:val="auto"/>
              </w:rPr>
            </w:pPr>
            <w:r>
              <w:rPr>
                <w:rFonts w:ascii="Times New Roman" w:cs="Times New Roman" w:eastAsia="Times New Roman" w:hAnsi="Times New Roman"/>
                <w:sz w:val="14"/>
                <w:szCs w:val="14"/>
                <w:color w:val="auto"/>
              </w:rPr>
              <w:t>5.0%</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Corresponding return to common stockholders </w:t>
            </w:r>
            <w:r>
              <w:rPr>
                <w:rFonts w:ascii="Times New Roman" w:cs="Times New Roman" w:eastAsia="Times New Roman" w:hAnsi="Times New Roman"/>
                <w:sz w:val="12"/>
                <w:szCs w:val="12"/>
                <w:color w:val="auto"/>
              </w:rPr>
              <w:t>(2)</w:t>
            </w:r>
          </w:p>
        </w:tc>
        <w:tc>
          <w:tcPr>
            <w:tcW w:w="18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rPr>
              <w:t>(24.6)%</w:t>
            </w:r>
          </w:p>
        </w:tc>
        <w:tc>
          <w:tcPr>
            <w:tcW w:w="1620" w:type="dxa"/>
            <w:vAlign w:val="bottom"/>
          </w:tcPr>
          <w:p>
            <w:pPr>
              <w:jc w:val="right"/>
              <w:ind w:right="528"/>
              <w:spacing w:after="0"/>
              <w:rPr>
                <w:sz w:val="20"/>
                <w:szCs w:val="20"/>
                <w:color w:val="auto"/>
              </w:rPr>
            </w:pPr>
            <w:r>
              <w:rPr>
                <w:rFonts w:ascii="Times New Roman" w:cs="Times New Roman" w:eastAsia="Times New Roman" w:hAnsi="Times New Roman"/>
                <w:sz w:val="14"/>
                <w:szCs w:val="14"/>
                <w:color w:val="auto"/>
              </w:rPr>
              <w:t>(14.0)%</w:t>
            </w:r>
          </w:p>
        </w:tc>
        <w:tc>
          <w:tcPr>
            <w:tcW w:w="16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(3.4)%</w:t>
            </w:r>
          </w:p>
        </w:tc>
        <w:tc>
          <w:tcPr>
            <w:tcW w:w="1500" w:type="dxa"/>
            <w:vAlign w:val="bottom"/>
          </w:tcPr>
          <w:p>
            <w:pPr>
              <w:jc w:val="right"/>
              <w:ind w:right="508"/>
              <w:spacing w:after="0"/>
              <w:rPr>
                <w:sz w:val="20"/>
                <w:szCs w:val="20"/>
                <w:color w:val="auto"/>
              </w:rPr>
            </w:pPr>
            <w:r>
              <w:rPr>
                <w:rFonts w:ascii="Times New Roman" w:cs="Times New Roman" w:eastAsia="Times New Roman" w:hAnsi="Times New Roman"/>
                <w:sz w:val="14"/>
                <w:szCs w:val="14"/>
                <w:color w:val="auto"/>
              </w:rPr>
              <w:t>7.2%</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455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380" w:hanging="372"/>
        <w:spacing w:after="0" w:line="230" w:lineRule="auto"/>
        <w:tabs>
          <w:tab w:leader="none" w:pos="380" w:val="left"/>
        </w:tabs>
        <w:numPr>
          <w:ilvl w:val="0"/>
          <w:numId w:val="39"/>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The assumed portfolio return is required by regulation of the SEC and is not a prediction of, and does not represent, our projected or actual performance.</w:t>
      </w:r>
    </w:p>
    <w:p>
      <w:pPr>
        <w:ind w:left="380" w:right="220" w:hanging="372"/>
        <w:spacing w:after="0" w:line="193" w:lineRule="auto"/>
        <w:tabs>
          <w:tab w:leader="none" w:pos="380" w:val="left"/>
        </w:tabs>
        <w:numPr>
          <w:ilvl w:val="0"/>
          <w:numId w:val="39"/>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16"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91"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the best interest of stockholders.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 the future determine to fund a portion of our investments with debt securities, which would magnify the potential for loss and the risks of investing in us.</w:t>
      </w:r>
    </w:p>
    <w:p>
      <w:pPr>
        <w:spacing w:after="0" w:line="140" w:lineRule="exact"/>
        <w:rPr>
          <w:sz w:val="20"/>
          <w:szCs w:val="20"/>
          <w:color w:val="auto"/>
        </w:rPr>
      </w:pPr>
    </w:p>
    <w:p>
      <w:pPr>
        <w:ind w:right="20" w:firstLine="438"/>
        <w:spacing w:after="0"/>
        <w:rPr>
          <w:sz w:val="20"/>
          <w:szCs w:val="20"/>
          <w:color w:val="auto"/>
        </w:rPr>
      </w:pPr>
      <w:r>
        <w:rPr>
          <w:rFonts w:ascii="Times New Roman" w:cs="Times New Roman" w:eastAsia="Times New Roman" w:hAnsi="Times New Roman"/>
          <w:sz w:val="14"/>
          <w:szCs w:val="14"/>
          <w:color w:val="auto"/>
        </w:rPr>
        <w:t>As a result of the issuance of our SBA debentures and borrowings under our Credit Facility,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cash that we use to service our indebtedness would not be available for the payment of distributions to our common stockholders.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credit ratings may not reflect all risks of an investment in our debt securities.</w:t>
      </w:r>
    </w:p>
    <w:p>
      <w:pPr>
        <w:spacing w:after="0" w:line="127" w:lineRule="exact"/>
        <w:rPr>
          <w:sz w:val="20"/>
          <w:szCs w:val="20"/>
          <w:color w:val="auto"/>
        </w:rPr>
      </w:pPr>
    </w:p>
    <w:p>
      <w:pPr>
        <w:ind w:right="140" w:firstLine="438"/>
        <w:spacing w:after="0" w:line="236" w:lineRule="auto"/>
        <w:rPr>
          <w:sz w:val="20"/>
          <w:szCs w:val="20"/>
          <w:color w:val="auto"/>
        </w:rPr>
      </w:pPr>
      <w:r>
        <w:rPr>
          <w:rFonts w:ascii="Times New Roman" w:cs="Times New Roman" w:eastAsia="Times New Roman" w:hAnsi="Times New Roman"/>
          <w:sz w:val="14"/>
          <w:szCs w:val="14"/>
          <w:color w:val="auto"/>
        </w:rPr>
        <w:t>Our credit ratings, if any, are an assessment of our ability to pay our obligations. Consequently, real or anticipated changes in our credit ratings will generally affect the market value of any publicly issued debt securities. Our credit ratings may not reflect the potential impact of risks related to market conditions or other factors discussed above on the market value of, or trading market for, any publicly issued debt securities. Rating agencies have reviewed, and may continue to review, our credit ratings and those of other business development companies in light of the SBCAA as well as any corresponding changes to asset coverage ratios and, in certain cases, downgrade such ratings. Such a downgrade in our credit ratings may adversely affect our securities.</w:t>
      </w:r>
    </w:p>
    <w:p>
      <w:pPr>
        <w:spacing w:after="0" w:line="105" w:lineRule="exact"/>
        <w:rPr>
          <w:sz w:val="20"/>
          <w:szCs w:val="20"/>
          <w:color w:val="auto"/>
        </w:rPr>
      </w:pPr>
    </w:p>
    <w:p>
      <w:pPr>
        <w:ind w:right="28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A downgrade, suspension or withdrawal of the credit rating assigned by a rating agency to us or our 2024 Notes, if any, or change in the debt markets could cause the liquidity or market value of our 2024 Notes to decline significantly.</w:t>
      </w:r>
    </w:p>
    <w:p>
      <w:pPr>
        <w:spacing w:after="0" w:line="91"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Our credit ratings are an assessment by rating agencies of our ability to pay our debts when due. Consequently, real or anticipated changes in our credit ratings will generally affect the market value of our 2024 Notes. Our credit ratings may not reflect the potential impact of risks relating to the structure or marketing of our 2024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our 2024 Notes of any changes in our credit ratings. There can be no assurance that our credit ratings will remain for any given period of time or that such credit ratings will not be lowered or withdrawn entirely by any of the rating agencies if in</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3" w:name="page24"/>
    <w:bookmarkEnd w:id="23"/>
    <w:p>
      <w:pPr>
        <w:ind w:right="540"/>
        <w:spacing w:after="0" w:line="261" w:lineRule="auto"/>
        <w:rPr>
          <w:sz w:val="20"/>
          <w:szCs w:val="20"/>
          <w:color w:val="auto"/>
        </w:rPr>
      </w:pPr>
      <w:r>
        <w:rPr>
          <w:rFonts w:ascii="Times New Roman" w:cs="Times New Roman" w:eastAsia="Times New Roman" w:hAnsi="Times New Roman"/>
          <w:sz w:val="14"/>
          <w:szCs w:val="14"/>
          <w:color w:val="auto"/>
        </w:rPr>
        <w:t>their respective judgments future circumstances relating to the basis of the credit rating, such as adverse changes in our Company, so warrant. The conditions of the financial markets and prevailing interest rates have fluctuated in the past and are likely to fluctuate in the future.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140" w:lineRule="exact"/>
        <w:rPr>
          <w:sz w:val="20"/>
          <w:szCs w:val="20"/>
          <w:color w:val="auto"/>
        </w:rPr>
      </w:pPr>
    </w:p>
    <w:p>
      <w:pPr>
        <w:ind w:firstLine="438"/>
        <w:spacing w:after="0" w:line="227" w:lineRule="auto"/>
        <w:rPr>
          <w:sz w:val="20"/>
          <w:szCs w:val="20"/>
          <w:color w:val="auto"/>
        </w:rPr>
      </w:pPr>
      <w:r>
        <w:rPr>
          <w:rFonts w:ascii="Times New Roman" w:cs="Times New Roman" w:eastAsia="Times New Roman" w:hAnsi="Times New Roman"/>
          <w:sz w:val="14"/>
          <w:szCs w:val="14"/>
          <w:color w:val="auto"/>
        </w:rPr>
        <w:t>Our Credit Facility matures in September 2024 and our 2024 Notes mature in October 2024. Additionally, our SBA debentures mature between March 2026 and March 2028. We utilize proceeds from the Credit Facility, our 2024 Notes and our SBA debentures to make investments in our portfolio companies. The duration of many of our investments exceeds the duration of our indebtedness under our Credit Facility, our 2024 Notes and certain of our SBA debentures. This means that we will have to extend the maturity of our Credit Facility or refinance our indebtedness in order to avoid selling investments at maturity of any of our debt investments, at which time such sales may be at prices that are disadvantageous to us, which could materially damage our business. In addition, future market conditions may affect our ability to renew or refinance our Credit Facility, our 2024 Notes and our SBA debentures on terms as favorable as those in our existing indebtedness. If we fail to extend or refinance the indebtedness by the time it becomes due and payable, holders of the debt and/or the administrative agent may elect to exercise various remedies, including the sale of all or a portion of the collateral securing such indebtedness,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are significant potential conflicts of interest which could impact our investment returns.</w:t>
      </w:r>
    </w:p>
    <w:p>
      <w:pPr>
        <w:spacing w:after="0" w:line="127" w:lineRule="exact"/>
        <w:rPr>
          <w:sz w:val="20"/>
          <w:szCs w:val="20"/>
          <w:color w:val="auto"/>
        </w:rPr>
      </w:pPr>
    </w:p>
    <w:p>
      <w:pPr>
        <w:ind w:right="80" w:firstLine="438"/>
        <w:spacing w:after="0" w:line="226" w:lineRule="auto"/>
        <w:rPr>
          <w:sz w:val="20"/>
          <w:szCs w:val="20"/>
          <w:color w:val="auto"/>
        </w:rPr>
      </w:pPr>
      <w:r>
        <w:rPr>
          <w:rFonts w:ascii="Times New Roman" w:cs="Times New Roman" w:eastAsia="Times New Roman" w:hAnsi="Times New Roman"/>
          <w:sz w:val="14"/>
          <w:szCs w:val="14"/>
          <w:color w:val="auto"/>
        </w:rPr>
        <w:t>The professionals of the Investment Adviser and Administrator may serve as officers, directors or principals of entities that operate in the same or a related line of business as we do or of investment funds managed by affiliates of us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our exemptive relief and our allocation procedures.</w:t>
      </w:r>
    </w:p>
    <w:p>
      <w:pPr>
        <w:spacing w:after="0" w:line="114"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In the ordinary course of our investing activities, we pay investment advisory and incentive fees to the Investment Adviser, and reimburse the Investment Adviser for certain expenses it incurs. As a result, investors in our common stock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 For example, the Investment Adviser may seek to invest in more speculative investments in order to increase its incentive fee, which practice could result in higher investment losses, particularly during economic downturns.</w:t>
      </w:r>
    </w:p>
    <w:p>
      <w:pPr>
        <w:spacing w:after="0" w:line="110" w:lineRule="exact"/>
        <w:rPr>
          <w:sz w:val="20"/>
          <w:szCs w:val="20"/>
          <w:color w:val="auto"/>
        </w:rPr>
      </w:pPr>
    </w:p>
    <w:p>
      <w:pPr>
        <w:ind w:right="60" w:firstLine="438"/>
        <w:spacing w:after="0"/>
        <w:rPr>
          <w:sz w:val="20"/>
          <w:szCs w:val="20"/>
          <w:color w:val="auto"/>
        </w:rPr>
      </w:pPr>
      <w:r>
        <w:rPr>
          <w:rFonts w:ascii="Times New Roman" w:cs="Times New Roman" w:eastAsia="Times New Roman" w:hAnsi="Times New Roman"/>
          <w:sz w:val="14"/>
          <w:szCs w:val="14"/>
          <w:color w:val="auto"/>
        </w:rPr>
        <w:t>We have entered into the License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234" w:lineRule="exact"/>
        <w:rPr>
          <w:sz w:val="20"/>
          <w:szCs w:val="20"/>
          <w:color w:val="auto"/>
        </w:rPr>
      </w:pPr>
    </w:p>
    <w:p>
      <w:pPr>
        <w:jc w:val="both"/>
        <w:ind w:right="500" w:firstLine="438"/>
        <w:spacing w:after="0" w:line="241" w:lineRule="auto"/>
        <w:rPr>
          <w:sz w:val="20"/>
          <w:szCs w:val="20"/>
          <w:color w:val="auto"/>
        </w:rPr>
      </w:pPr>
      <w:r>
        <w:rPr>
          <w:rFonts w:ascii="Times New Roman" w:cs="Times New Roman" w:eastAsia="Times New Roman" w:hAnsi="Times New Roman"/>
          <w:sz w:val="14"/>
          <w:szCs w:val="14"/>
          <w:color w:val="auto"/>
        </w:rPr>
        <w:t>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risks associated with cybersecurity and cyber incidents.</w:t>
      </w:r>
    </w:p>
    <w:p>
      <w:pPr>
        <w:spacing w:after="0" w:line="140" w:lineRule="exact"/>
        <w:rPr>
          <w:sz w:val="20"/>
          <w:szCs w:val="20"/>
          <w:color w:val="auto"/>
        </w:rPr>
      </w:pPr>
    </w:p>
    <w:p>
      <w:pPr>
        <w:ind w:right="20" w:firstLine="438"/>
        <w:spacing w:after="0" w:line="226" w:lineRule="auto"/>
        <w:rPr>
          <w:sz w:val="20"/>
          <w:szCs w:val="20"/>
          <w:color w:val="auto"/>
        </w:rPr>
      </w:pPr>
      <w:r>
        <w:rPr>
          <w:rFonts w:ascii="Times New Roman" w:cs="Times New Roman" w:eastAsia="Times New Roman" w:hAnsi="Times New Roman"/>
          <w:sz w:val="14"/>
          <w:szCs w:val="14"/>
          <w:color w:val="auto"/>
        </w:rPr>
        <w:t>Our business relies on secure information technology systems. These systems are subject to potential attacks, including through adverse events that threaten the confidentiality, integrity or availability of our information resources (i.e., cyber incidents). These attacks could involve gaining unauthorized access to our information systems for purposes of misappropriating assets, stealing confidential information, corrupting data or causing operational disruption and result in disrupted operations, misstated or unreliable financial data, liability for stolen assets or information, increased cybersecurity protection and insurance costs, litigation and damage to our business relationships, any of which could have a material adverse effect on our business, financial condition and results of operations. As our reliance on technology has increased, so have the risks posed to our information systems, both internal and those provided by the Investment Adviser and third-party service providers. We, along with our Investment Adviser, have implemented processes, procedures and internal controls to help mitigate cybersecurity risks and cyber intrusions, but these measures, as well as our increased awareness of the nature and extent of the risk of a cyber incident, may be ineffective and do not guarantee that a cyber incident will not occur or that our financial results, operations or confidential information will not be negatively impacted by such an incident. In addition, the costs related to cyber or other security threats or disruptions may not be fully insured or indemnified by other means. Furthermore,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experience fluctuations in our quarterly results.</w:t>
      </w:r>
    </w:p>
    <w:p>
      <w:pPr>
        <w:spacing w:after="0" w:line="140" w:lineRule="exact"/>
        <w:rPr>
          <w:sz w:val="20"/>
          <w:szCs w:val="20"/>
          <w:color w:val="auto"/>
        </w:rPr>
      </w:pPr>
    </w:p>
    <w:p>
      <w:pPr>
        <w:ind w:right="60" w:firstLine="438"/>
        <w:spacing w:after="0" w:line="231" w:lineRule="auto"/>
        <w:rPr>
          <w:sz w:val="20"/>
          <w:szCs w:val="20"/>
          <w:color w:val="auto"/>
        </w:rPr>
      </w:pPr>
      <w:r>
        <w:rPr>
          <w:rFonts w:ascii="Times New Roman" w:cs="Times New Roman" w:eastAsia="Times New Roman" w:hAnsi="Times New Roman"/>
          <w:sz w:val="14"/>
          <w:szCs w:val="14"/>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is expected to have a corresponding increase to our NAV. Similarly, future increases in the fair value of our debt may have a corresponding decrease to our NAV. Any future indebtedness that we elect the fair value option for may have similar effects on our NAV as our Credit Facility. This is expected to mitigate volatility in our earnings and NAV. As a result, results for any period should not be relied upon as being indicative of future performance.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 of any preferred stock that we may issue will have the right to elect members of the board of directors and have class voting rights on certain matters.</w:t>
      </w:r>
    </w:p>
    <w:p>
      <w:pPr>
        <w:spacing w:after="0" w:line="127"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conversion to open-end status and, accordingly, preferred stockholders could veto any such changes in addition to any ability of common and preferred stockholders, voting together as a single class, to veto such matters.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i w:val="1"/>
          <w:iCs w:val="1"/>
          <w:color w:val="auto"/>
        </w:rPr>
        <w:t>If we issue preferred stock, debt securities or convertible debt securities, the NAV and market value of our common stock may become more volatile.</w:t>
      </w:r>
    </w:p>
    <w:p>
      <w:pPr>
        <w:spacing w:after="0" w:line="127" w:lineRule="exact"/>
        <w:rPr>
          <w:sz w:val="20"/>
          <w:szCs w:val="20"/>
          <w:color w:val="auto"/>
        </w:rPr>
      </w:pPr>
    </w:p>
    <w:p>
      <w:pPr>
        <w:ind w:right="80" w:firstLine="438"/>
        <w:spacing w:after="0" w:line="229" w:lineRule="auto"/>
        <w:rPr>
          <w:sz w:val="20"/>
          <w:szCs w:val="20"/>
          <w:color w:val="auto"/>
        </w:rPr>
      </w:pPr>
      <w:r>
        <w:rPr>
          <w:rFonts w:ascii="Times New Roman" w:cs="Times New Roman" w:eastAsia="Times New Roman" w:hAnsi="Times New Roman"/>
          <w:sz w:val="14"/>
          <w:szCs w:val="14"/>
          <w:color w:val="auto"/>
        </w:rPr>
        <w:t>We cannot assure you that the issuance of preferred stock and/or debt securities would result in a higher yield or return to the holders of our common stock. The issuance of preferred stock, debt securities and/or convertible debt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or entirely eliminated.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113" w:lineRule="exact"/>
        <w:rPr>
          <w:sz w:val="20"/>
          <w:szCs w:val="20"/>
          <w:color w:val="auto"/>
        </w:rPr>
      </w:pPr>
    </w:p>
    <w:p>
      <w:pPr>
        <w:ind w:right="100" w:firstLine="438"/>
        <w:spacing w:after="0" w:line="229" w:lineRule="auto"/>
        <w:rPr>
          <w:sz w:val="20"/>
          <w:szCs w:val="20"/>
          <w:color w:val="auto"/>
        </w:rPr>
      </w:pPr>
      <w:r>
        <w:rPr>
          <w:rFonts w:ascii="Times New Roman" w:cs="Times New Roman" w:eastAsia="Times New Roman" w:hAnsi="Times New Roman"/>
          <w:sz w:val="14"/>
          <w:szCs w:val="14"/>
          <w:color w:val="auto"/>
        </w:rPr>
        <w:t>There is also a risk that, in the event of a sharp decline in the value of our net assets, we would be in danger of failing to maintain required asset coverage ratios or other covenants which may be required by the preferred stock, debt securities and/or convertible debt or risk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or convertible debt.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any combination of these securities may have different interests than holders of common stock and may at times have disproportionate influence over our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trading market or market value of any publicly issued debt or convertible debt securities may be volatile.</w:t>
      </w:r>
    </w:p>
    <w:p>
      <w:pPr>
        <w:spacing w:after="0" w:line="127" w:lineRule="exact"/>
        <w:rPr>
          <w:sz w:val="20"/>
          <w:szCs w:val="20"/>
          <w:color w:val="auto"/>
        </w:rPr>
      </w:pPr>
    </w:p>
    <w:p>
      <w:pPr>
        <w:jc w:val="both"/>
        <w:ind w:right="160" w:firstLine="438"/>
        <w:spacing w:after="0" w:line="241" w:lineRule="auto"/>
        <w:rPr>
          <w:sz w:val="20"/>
          <w:szCs w:val="20"/>
          <w:color w:val="auto"/>
        </w:rPr>
      </w:pPr>
      <w:r>
        <w:rPr>
          <w:rFonts w:ascii="Times New Roman" w:cs="Times New Roman" w:eastAsia="Times New Roman" w:hAnsi="Times New Roman"/>
          <w:sz w:val="14"/>
          <w:szCs w:val="14"/>
          <w:color w:val="auto"/>
        </w:rPr>
        <w:t>If we publicly issue debt or convertible debt securities, they initially will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These factors include the following:</w:t>
      </w:r>
    </w:p>
    <w:p>
      <w:pPr>
        <w:spacing w:after="0" w:line="136" w:lineRule="exact"/>
        <w:rPr>
          <w:sz w:val="20"/>
          <w:szCs w:val="20"/>
          <w:color w:val="auto"/>
        </w:rPr>
      </w:pPr>
    </w:p>
    <w:p>
      <w:pPr>
        <w:ind w:left="920" w:hanging="359"/>
        <w:spacing w:after="0"/>
        <w:tabs>
          <w:tab w:leader="none" w:pos="9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time remaining to the maturity of these debt securities;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principal amount of debt securities with terms identical or similar to these debt securities;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of debt securities trading in the secondary market, if any;</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repayment or convertible features, if any, of these debt securities;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direction and volatility of market interest rates;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rates of interest higher or lower than rates borne by the debt securities.</w:t>
      </w:r>
    </w:p>
    <w:p>
      <w:pPr>
        <w:spacing w:after="0" w:line="136" w:lineRule="exact"/>
        <w:rPr>
          <w:sz w:val="20"/>
          <w:szCs w:val="20"/>
          <w:color w:val="auto"/>
        </w:rPr>
      </w:pPr>
    </w:p>
    <w:p>
      <w:pPr>
        <w:ind w:right="200" w:firstLine="438"/>
        <w:spacing w:after="0" w:line="261" w:lineRule="auto"/>
        <w:rPr>
          <w:sz w:val="20"/>
          <w:szCs w:val="20"/>
          <w:color w:val="auto"/>
        </w:rPr>
      </w:pPr>
      <w:r>
        <w:rPr>
          <w:rFonts w:ascii="Times New Roman" w:cs="Times New Roman" w:eastAsia="Times New Roman" w:hAnsi="Times New Roman"/>
          <w:sz w:val="14"/>
          <w:szCs w:val="14"/>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Terms relating to debt redemption may have a material adverse effect on the return on any debt securities.</w:t>
      </w:r>
    </w:p>
    <w:p>
      <w:pPr>
        <w:spacing w:after="0" w:line="140"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issue subscription rights or warrants for our common stock, your interest in us may be diluted as a result of such rights or warrants offering.</w:t>
      </w:r>
    </w:p>
    <w:p>
      <w:pPr>
        <w:spacing w:after="0" w:line="127"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09" w:lineRule="exact"/>
        <w:rPr>
          <w:sz w:val="20"/>
          <w:szCs w:val="20"/>
          <w:color w:val="auto"/>
        </w:rPr>
      </w:pPr>
    </w:p>
    <w:p>
      <w:pPr>
        <w:ind w:right="40" w:firstLine="438"/>
        <w:spacing w:after="0"/>
        <w:rPr>
          <w:sz w:val="20"/>
          <w:szCs w:val="20"/>
          <w:color w:val="auto"/>
        </w:rPr>
      </w:pPr>
      <w:r>
        <w:rPr>
          <w:rFonts w:ascii="Times New Roman" w:cs="Times New Roman" w:eastAsia="Times New Roman" w:hAnsi="Times New Roman"/>
          <w:sz w:val="14"/>
          <w:szCs w:val="14"/>
          <w:color w:val="auto"/>
        </w:rPr>
        <w:t>In addition, if the subscription price or warrant exercise price is less than our NAV per share of common stock at the time of an offering, then our stockholders would experience an immediate dilution of the aggregate NAV of their shares as a result of the offering. The amount of any such decrease in NAV is not predictable because it is not known at this time what the subscription price, warrant exercise price or NAV per share will be on the expiration date of such rights offering or what proportion of our common stock will be purchased as a result of any such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impact of recent financial reform legislation on us is uncertain.</w:t>
      </w:r>
    </w:p>
    <w:p>
      <w:pPr>
        <w:spacing w:after="0" w:line="127"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institutes a wide range of reforms that will have an impact on financial institutions. However, the current presidential administration has announced its intention to repeal, amend or replace certain portions of the Dodd-Frank Act and the regulations implemented thereunder, and has implemented certain appeals. Given the uncertainty associated with the manner in which and whether the provisions of the Dodd-Frank Act might be implemented, repealed, amended or replaced, the full impact such requirements will have on our business, results of operations or financial condition is unclear. While we cannot predict what effect any changes in the laws or regulations or their interpretations would have on us as a result of recent financial reform legislation, these changes could be materially adverse to us and our stockholders. Accordingly, we are continuing to evaluate the effect the Dodd-Frank Act or implementing its regulations or any repeal or revision thereto will have on our business, financial condition and results of operations.</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laws or regulations governing our operations or those of our portfolio companies may adversely affect our business.</w:t>
      </w:r>
    </w:p>
    <w:p>
      <w:pPr>
        <w:spacing w:after="0" w:line="127" w:lineRule="exact"/>
        <w:rPr>
          <w:sz w:val="20"/>
          <w:szCs w:val="20"/>
          <w:color w:val="auto"/>
        </w:rPr>
      </w:pPr>
    </w:p>
    <w:p>
      <w:pPr>
        <w:jc w:val="both"/>
        <w:ind w:right="180" w:firstLine="438"/>
        <w:spacing w:after="0" w:line="241" w:lineRule="auto"/>
        <w:rPr>
          <w:sz w:val="20"/>
          <w:szCs w:val="20"/>
          <w:color w:val="auto"/>
        </w:rPr>
      </w:pPr>
      <w:r>
        <w:rPr>
          <w:rFonts w:ascii="Times New Roman" w:cs="Times New Roman" w:eastAsia="Times New Roman" w:hAnsi="Times New Roman"/>
          <w:sz w:val="14"/>
          <w:szCs w:val="14"/>
          <w:color w:val="auto"/>
        </w:rPr>
        <w:t>We and our portfolio companies are subject to laws and regulation at the local, state and federal levels. These laws and regulations, as well as their interpretation, may be changed from time to time. Accordingly, any change in these laws or regulations that govern our operations or those of our portfolio companies could have a material adverse effect on our business, financial condition and results of operations. See “Business—Regulation” for more information.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Uncertainty about presidential administration initiatives could negatively impact our business, financial condition and results of operations.</w:t>
      </w:r>
    </w:p>
    <w:p>
      <w:pPr>
        <w:spacing w:after="0" w:line="140" w:lineRule="exact"/>
        <w:rPr>
          <w:sz w:val="20"/>
          <w:szCs w:val="20"/>
          <w:color w:val="auto"/>
        </w:rPr>
      </w:pPr>
    </w:p>
    <w:p>
      <w:pPr>
        <w:ind w:right="60" w:firstLine="438"/>
        <w:spacing w:after="0" w:line="228" w:lineRule="auto"/>
        <w:rPr>
          <w:sz w:val="20"/>
          <w:szCs w:val="20"/>
          <w:color w:val="auto"/>
        </w:rPr>
      </w:pPr>
      <w:r>
        <w:rPr>
          <w:rFonts w:ascii="Times New Roman" w:cs="Times New Roman" w:eastAsia="Times New Roman" w:hAnsi="Times New Roman"/>
          <w:sz w:val="14"/>
          <w:szCs w:val="14"/>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 Although we cannot predict the impact, if any, of these changes to our business, they could adversely affect our business, financial condition, operating results and cash flows. Until we know what policy changes are made and how those changes impact our business and the business of our competitors over the long term, we will not know if, overall, we will benefit from them or be negatively affected by them.</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board of directors may change our investment objectives, operating policies and strategies without prior notice or stockholder approval.</w:t>
      </w:r>
    </w:p>
    <w:p>
      <w:pPr>
        <w:spacing w:after="0" w:line="140"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common stock. Nevertheless, the effects may adversely affect our business and impact our ability to make distributions.</w:t>
      </w:r>
    </w:p>
    <w:p>
      <w:pPr>
        <w:spacing w:after="0" w:line="105" w:lineRule="exact"/>
        <w:rPr>
          <w:sz w:val="20"/>
          <w:szCs w:val="20"/>
          <w:color w:val="auto"/>
        </w:rPr>
      </w:pPr>
    </w:p>
    <w:p>
      <w:pPr>
        <w:ind w:right="48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operations could be negatively affected if we become subject to stockholder activism, which could cause us to incur significant expense, hinder the execution of our investment strategy or impact our stock price.</w:t>
      </w:r>
    </w:p>
    <w:p>
      <w:pPr>
        <w:spacing w:after="0" w:line="78"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Stockholder activism, which could take many forms, including making public demands that we consider certain strategic alternatives, engaging in public campaigns to attempt to influence our corporate governance and/or our management, and commencing proxy contests to attempt to elect the activists’ representatives or others to our board of directors, or arise in a variety of situations, has been increasing in the BDC space recently. While we are currently not subject to any stockholder activism, due to the potential volatility of our stock price and for a variety of other reasons, we may in the future become the target of stockholder activism. Stockholder activism could result in substantial costs and divert management’s and our board of directors’ attention and resources from our business. Additionally, such stockholder activism could give rise to perceived uncertainties as to our future and adversely affect our relationships with service providers and our portfolio companies. Also, we may be required to incur significant legal and other expenses related to any activist stockholder matters. Further, our stock price could be subject to significant fluctuation or otherwise be adversely affected by the events, risks and uncertainties of any stockholder activism.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THE ILLIQUID NATURE OF OUR PORTFOLIO ASSETS</w:t>
      </w:r>
    </w:p>
    <w:p>
      <w:pPr>
        <w:spacing w:after="0" w:line="134"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78" w:lineRule="exact"/>
        <w:rPr>
          <w:sz w:val="20"/>
          <w:szCs w:val="20"/>
          <w:color w:val="auto"/>
        </w:rPr>
      </w:pPr>
    </w:p>
    <w:p>
      <w:pPr>
        <w:ind w:right="100" w:firstLine="438"/>
        <w:spacing w:after="0" w:line="229" w:lineRule="auto"/>
        <w:rPr>
          <w:sz w:val="20"/>
          <w:szCs w:val="20"/>
          <w:color w:val="auto"/>
        </w:rPr>
      </w:pPr>
      <w:r>
        <w:rPr>
          <w:rFonts w:ascii="Times New Roman" w:cs="Times New Roman" w:eastAsia="Times New Roman" w:hAnsi="Times New Roman"/>
          <w:sz w:val="14"/>
          <w:szCs w:val="14"/>
          <w:color w:val="auto"/>
        </w:rPr>
        <w:t>All of our investments are recorded using broker or dealer quotes, if available, or at fair value as determined in good faith by our board of directors. We expect that most, if not all, of our investments (other than cash and cash equivalents) and the fair value of the Credit Facility will be classified as Level 3 under the Financial Accounting Standards Board, or FASB, Accounting Standards Codification, or ASC, Topic 820, Fair Value Measurements and Disclosures, or ASC 820. This means that the portfolio valuations will be based on unobservable inputs and our own assumptions about how market participants would price the asset or liability. We expect that inputs into the determination of fair values of our portfolio investments and borrowings under our Credit Facility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 As a result, there will be uncertainty as to the value of our portfolio investments.</w:t>
      </w:r>
    </w:p>
    <w:p>
      <w:pPr>
        <w:spacing w:after="0" w:line="113" w:lineRule="exact"/>
        <w:rPr>
          <w:sz w:val="20"/>
          <w:szCs w:val="20"/>
          <w:color w:val="auto"/>
        </w:rPr>
      </w:pPr>
    </w:p>
    <w:p>
      <w:pPr>
        <w:ind w:right="60" w:firstLine="438"/>
        <w:spacing w:after="0" w:line="231" w:lineRule="auto"/>
        <w:rPr>
          <w:sz w:val="20"/>
          <w:szCs w:val="20"/>
          <w:color w:val="auto"/>
        </w:rPr>
      </w:pPr>
      <w:r>
        <w:rPr>
          <w:rFonts w:ascii="Times New Roman" w:cs="Times New Roman" w:eastAsia="Times New Roman" w:hAnsi="Times New Roman"/>
          <w:sz w:val="14"/>
          <w:szCs w:val="14"/>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our investment has appreciated in value. Likewise, we record unrealized depreciation if we believe that our investment has depreciated in value. We adjust quarterly the valuation of our portfolio to reflect our board of directors’ determination of the fair value of each investment in our portfolio. Any changes in fair value are recorded on our Consolidated Statements of Operations as net change in unrealized appreciation or depreciation.</w:t>
      </w:r>
    </w:p>
    <w:p>
      <w:pPr>
        <w:spacing w:after="0" w:line="110" w:lineRule="exact"/>
        <w:rPr>
          <w:sz w:val="20"/>
          <w:szCs w:val="20"/>
          <w:color w:val="auto"/>
        </w:rPr>
      </w:pPr>
    </w:p>
    <w:p>
      <w:pPr>
        <w:ind w:right="60" w:firstLine="438"/>
        <w:spacing w:after="0" w:line="231" w:lineRule="auto"/>
        <w:rPr>
          <w:sz w:val="20"/>
          <w:szCs w:val="20"/>
          <w:color w:val="auto"/>
        </w:rPr>
      </w:pPr>
      <w:r>
        <w:rPr>
          <w:rFonts w:ascii="Times New Roman" w:cs="Times New Roman" w:eastAsia="Times New Roman" w:hAnsi="Times New Roman"/>
          <w:sz w:val="14"/>
          <w:szCs w:val="14"/>
          <w:color w:val="auto"/>
        </w:rPr>
        <w:t>All of our investments are recorded at fair value as determined in good faith by our board of directors. Our board of directors uses the services of nationally recognized independent valuation firms to aid it in determining the fair value of our investments.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lower than the values that we ultimately realize upon the disposal of such investments.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7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i w:val="1"/>
          <w:iCs w:val="1"/>
          <w:color w:val="auto"/>
        </w:rPr>
        <w:t>The lack of liquidity in our investments may adversely affect our business.</w:t>
      </w:r>
    </w:p>
    <w:p>
      <w:pPr>
        <w:spacing w:after="0" w:line="127" w:lineRule="exact"/>
        <w:rPr>
          <w:sz w:val="20"/>
          <w:szCs w:val="20"/>
          <w:color w:val="auto"/>
        </w:rPr>
      </w:pPr>
    </w:p>
    <w:p>
      <w:pPr>
        <w:jc w:val="both"/>
        <w:ind w:right="60" w:firstLine="438"/>
        <w:spacing w:after="0" w:line="241" w:lineRule="auto"/>
        <w:rPr>
          <w:sz w:val="20"/>
          <w:szCs w:val="20"/>
          <w:color w:val="auto"/>
        </w:rPr>
      </w:pPr>
      <w:r>
        <w:rPr>
          <w:rFonts w:ascii="Times New Roman" w:cs="Times New Roman" w:eastAsia="Times New Roman" w:hAnsi="Times New Roman"/>
          <w:sz w:val="14"/>
          <w:szCs w:val="14"/>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generally not required to do so.</w:t>
      </w:r>
    </w:p>
    <w:p>
      <w:pPr>
        <w:spacing w:after="0" w:line="109"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09" w:lineRule="exact"/>
        <w:rPr>
          <w:sz w:val="20"/>
          <w:szCs w:val="20"/>
          <w:color w:val="auto"/>
        </w:rPr>
      </w:pPr>
    </w:p>
    <w:p>
      <w:pPr>
        <w:ind w:right="180" w:firstLine="438"/>
        <w:spacing w:after="0" w:line="241" w:lineRule="auto"/>
        <w:rPr>
          <w:sz w:val="20"/>
          <w:szCs w:val="20"/>
          <w:color w:val="auto"/>
        </w:rPr>
      </w:pPr>
      <w:r>
        <w:rPr>
          <w:rFonts w:ascii="Times New Roman" w:cs="Times New Roman" w:eastAsia="Times New Roman" w:hAnsi="Times New Roman"/>
          <w:sz w:val="14"/>
          <w:szCs w:val="14"/>
          <w:color w:val="auto"/>
        </w:rPr>
        <w:t>Investments purchased by us that are liquid at the time of purchase may subsequently become illiquid due to events relating to the issuer of the investments,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general disruption in the credit markets could materially damage our business.</w:t>
      </w:r>
    </w:p>
    <w:p>
      <w:pPr>
        <w:spacing w:after="0" w:line="140"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We are susceptible to the risk of significant loss if we are forced to discount the value of our investments in order to provide liquidity to meet our debt maturities. Our borrowings under our Credit Facility are collateralized by the assets in our investment portfolio (excluding assets held by SBIC II). A general disruption in the credit markets could result in diminished demand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09"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If the fair value of our assets declines substantially, we may fail to maintain the asset coverage ratio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our counterparties or us, and could materially damage our business.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invest in over-the-counter securities, which have and may continue to face liquidity constraints, to provide us with liquidity.</w:t>
      </w:r>
    </w:p>
    <w:p>
      <w:pPr>
        <w:spacing w:after="0" w:line="140" w:lineRule="exact"/>
        <w:rPr>
          <w:sz w:val="20"/>
          <w:szCs w:val="20"/>
          <w:color w:val="auto"/>
        </w:rPr>
      </w:pPr>
    </w:p>
    <w:p>
      <w:pPr>
        <w:ind w:right="420" w:firstLine="438"/>
        <w:spacing w:after="0" w:line="261" w:lineRule="auto"/>
        <w:rPr>
          <w:sz w:val="20"/>
          <w:szCs w:val="20"/>
          <w:color w:val="auto"/>
        </w:rPr>
      </w:pPr>
      <w:r>
        <w:rPr>
          <w:rFonts w:ascii="Times New Roman" w:cs="Times New Roman" w:eastAsia="Times New Roman" w:hAnsi="Times New Roman"/>
          <w:sz w:val="14"/>
          <w:szCs w:val="14"/>
          <w:color w:val="auto"/>
        </w:rPr>
        <w:t>The market for over-the-counter traded securities has and may continue to experience limited liquidity and other weakness as the viability of any over-the-counter secondary market depends on the continued willingness of dealers and other participants to purchase the securities.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investments in prospective portfolio companies may be risky, and you could lose all or part of your investment.</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intend to invest primarily in first lien secured debt, second lien secured debt, subordinated debt and selected equity investments issued by U.S. and foreign middle-market companies.</w:t>
      </w:r>
    </w:p>
    <w:p>
      <w:pPr>
        <w:spacing w:after="0" w:line="132" w:lineRule="exact"/>
        <w:rPr>
          <w:sz w:val="20"/>
          <w:szCs w:val="20"/>
          <w:color w:val="auto"/>
        </w:rPr>
      </w:pPr>
    </w:p>
    <w:p>
      <w:pPr>
        <w:ind w:left="920" w:right="20" w:hanging="359"/>
        <w:spacing w:after="0"/>
        <w:tabs>
          <w:tab w:leader="none" w:pos="9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First Lien Secured Debt: </w:t>
      </w:r>
      <w:r>
        <w:rPr>
          <w:rFonts w:ascii="Times New Roman" w:cs="Times New Roman" w:eastAsia="Times New Roman" w:hAnsi="Times New Roman"/>
          <w:sz w:val="14"/>
          <w:szCs w:val="14"/>
          <w:color w:val="auto"/>
        </w:rPr>
        <w:t>When we extend first lien secured debt, we will generally take a security interest in the available assets of these portfolio companies, including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equity interests of their subsidiaries, although this may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first lien secured debt investment is secured does not guarantee that we will receive principal and interest payments according to the loan’s terms, or at all, or that we will be able to collect on the loan should we be forced to enforce our remedies.</w:t>
      </w:r>
    </w:p>
    <w:p>
      <w:pPr>
        <w:spacing w:after="0" w:line="209" w:lineRule="exact"/>
        <w:rPr>
          <w:rFonts w:ascii="Times New Roman" w:cs="Times New Roman" w:eastAsia="Times New Roman" w:hAnsi="Times New Roman"/>
          <w:sz w:val="14"/>
          <w:szCs w:val="14"/>
          <w:color w:val="auto"/>
        </w:rPr>
      </w:pPr>
    </w:p>
    <w:p>
      <w:pPr>
        <w:ind w:left="920" w:right="60" w:hanging="359"/>
        <w:spacing w:after="0" w:line="232" w:lineRule="auto"/>
        <w:tabs>
          <w:tab w:leader="none" w:pos="9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Second Lien Secured Debt: </w:t>
      </w:r>
      <w:r>
        <w:rPr>
          <w:rFonts w:ascii="Times New Roman" w:cs="Times New Roman" w:eastAsia="Times New Roman" w:hAnsi="Times New Roman"/>
          <w:sz w:val="14"/>
          <w:szCs w:val="14"/>
          <w:color w:val="auto"/>
        </w:rPr>
        <w:t>Our second lien secured debt usually ranks junior in priority of payment to first lien secured debt. Second lien secured debt holds a second priority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regard to right of payment in the event of insolvency. Second lien secured debt ranks senior to subordinated debt and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second lien secured debt investments, such investments may be of greater risk than cash paying loans.</w:t>
      </w:r>
    </w:p>
    <w:p>
      <w:pPr>
        <w:spacing w:after="0" w:line="105" w:lineRule="exact"/>
        <w:rPr>
          <w:rFonts w:ascii="Times New Roman" w:cs="Times New Roman" w:eastAsia="Times New Roman" w:hAnsi="Times New Roman"/>
          <w:sz w:val="14"/>
          <w:szCs w:val="14"/>
          <w:color w:val="auto"/>
        </w:rPr>
      </w:pPr>
    </w:p>
    <w:p>
      <w:pPr>
        <w:ind w:left="920" w:hanging="359"/>
        <w:spacing w:after="0" w:line="232" w:lineRule="auto"/>
        <w:tabs>
          <w:tab w:leader="none" w:pos="9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Subordinated Debt: </w:t>
      </w:r>
      <w:r>
        <w:rPr>
          <w:rFonts w:ascii="Times New Roman" w:cs="Times New Roman" w:eastAsia="Times New Roman" w:hAnsi="Times New Roman"/>
          <w:sz w:val="14"/>
          <w:szCs w:val="14"/>
          <w:color w:val="auto"/>
        </w:rPr>
        <w:t>Our subordinated debt usually ranks junior in priority of payment to first lien secured debt and second lien secured debt, and are often unsecured. As such,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creditors may rank senior to us in the event of insolvency. Subordinated debt ranks senior to common and preferred equity in borrowers’ capital structures.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subordinated debt investments, such investments may be of greater risk than cash paying loans.</w:t>
      </w:r>
    </w:p>
    <w:p>
      <w:pPr>
        <w:spacing w:after="0" w:line="105" w:lineRule="exact"/>
        <w:rPr>
          <w:rFonts w:ascii="Times New Roman" w:cs="Times New Roman" w:eastAsia="Times New Roman" w:hAnsi="Times New Roman"/>
          <w:sz w:val="14"/>
          <w:szCs w:val="14"/>
          <w:color w:val="auto"/>
        </w:rPr>
      </w:pPr>
    </w:p>
    <w:p>
      <w:pPr>
        <w:ind w:left="920" w:right="60" w:hanging="359"/>
        <w:spacing w:after="0" w:line="230" w:lineRule="auto"/>
        <w:tabs>
          <w:tab w:leader="none" w:pos="9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Equity Investments: </w:t>
      </w:r>
      <w:r>
        <w:rPr>
          <w:rFonts w:ascii="Times New Roman" w:cs="Times New Roman" w:eastAsia="Times New Roman" w:hAnsi="Times New Roman"/>
          <w:sz w:val="14"/>
          <w:szCs w:val="14"/>
          <w:color w:val="auto"/>
        </w:rPr>
        <w:t>We have made and expect to continue to make select equity investments, all of which are subordinated to debt investments. In addition, when we invest 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first lien secured debt, second lien secured debt or subordinated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 In addition, many of the equity securities in which we invest may not pay dividends on a regular basis, if at all. Furthermore, we may hold equity investments in partnerships through a taxable subsidiary for federal income tax purposes. Upon sale or exit of such investment, we may pay taxes at regular corporate tax rates, which will reduce the amount of gains or dividends available for distributions to our stockholders.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7" w:name="page28"/>
    <w:bookmarkEnd w:id="27"/>
    <w:p>
      <w:pPr>
        <w:ind w:left="440"/>
        <w:spacing w:after="0"/>
        <w:rPr>
          <w:sz w:val="20"/>
          <w:szCs w:val="20"/>
          <w:color w:val="auto"/>
        </w:rPr>
      </w:pPr>
      <w:r>
        <w:rPr>
          <w:rFonts w:ascii="Times New Roman" w:cs="Times New Roman" w:eastAsia="Times New Roman" w:hAnsi="Times New Roman"/>
          <w:sz w:val="14"/>
          <w:szCs w:val="14"/>
          <w:color w:val="auto"/>
        </w:rPr>
        <w:t>In addition, investing in middle-market companies involves a number of significant risks, including:</w:t>
      </w:r>
    </w:p>
    <w:p>
      <w:pPr>
        <w:spacing w:after="0" w:line="123" w:lineRule="exact"/>
        <w:rPr>
          <w:sz w:val="20"/>
          <w:szCs w:val="20"/>
          <w:color w:val="auto"/>
        </w:rPr>
      </w:pPr>
    </w:p>
    <w:p>
      <w:pPr>
        <w:ind w:left="920" w:right="520" w:hanging="359"/>
        <w:spacing w:after="0" w:line="241" w:lineRule="auto"/>
        <w:tabs>
          <w:tab w:leader="none" w:pos="9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companies may be highly leveraged,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09" w:lineRule="exact"/>
        <w:rPr>
          <w:rFonts w:ascii="Times New Roman" w:cs="Times New Roman" w:eastAsia="Times New Roman" w:hAnsi="Times New Roman"/>
          <w:sz w:val="14"/>
          <w:szCs w:val="14"/>
          <w:color w:val="auto"/>
        </w:rPr>
      </w:pPr>
    </w:p>
    <w:p>
      <w:pPr>
        <w:ind w:left="920" w:right="60" w:hanging="359"/>
        <w:spacing w:after="0" w:line="261" w:lineRule="auto"/>
        <w:tabs>
          <w:tab w:leader="none" w:pos="9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typically have shorter operating histories, more limited publicly available information, narrower product lines, more concentration of revenues from customers and smaller market shares than larger businesses, which tend to render them more vulnerable to competitors’ actions and changing market conditions, as well as general economic downturns;</w:t>
      </w:r>
    </w:p>
    <w:p>
      <w:pPr>
        <w:spacing w:after="0" w:line="95" w:lineRule="exact"/>
        <w:rPr>
          <w:rFonts w:ascii="Times New Roman" w:cs="Times New Roman" w:eastAsia="Times New Roman" w:hAnsi="Times New Roman"/>
          <w:sz w:val="14"/>
          <w:szCs w:val="14"/>
          <w:color w:val="auto"/>
        </w:rPr>
      </w:pPr>
    </w:p>
    <w:p>
      <w:pPr>
        <w:ind w:left="920" w:right="340" w:hanging="359"/>
        <w:spacing w:after="0" w:line="261" w:lineRule="auto"/>
        <w:tabs>
          <w:tab w:leader="none" w:pos="9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95" w:lineRule="exact"/>
        <w:rPr>
          <w:rFonts w:ascii="Times New Roman" w:cs="Times New Roman" w:eastAsia="Times New Roman" w:hAnsi="Times New Roman"/>
          <w:sz w:val="14"/>
          <w:szCs w:val="14"/>
          <w:color w:val="auto"/>
        </w:rPr>
      </w:pPr>
    </w:p>
    <w:p>
      <w:pPr>
        <w:ind w:left="920" w:right="200" w:hanging="359"/>
        <w:spacing w:after="0" w:line="241" w:lineRule="auto"/>
        <w:tabs>
          <w:tab w:leader="none" w:pos="9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be named as defendants in litigation arising from our investments in the portfolio companies; and</w:t>
      </w:r>
    </w:p>
    <w:p>
      <w:pPr>
        <w:spacing w:after="0" w:line="109" w:lineRule="exact"/>
        <w:rPr>
          <w:rFonts w:ascii="Times New Roman" w:cs="Times New Roman" w:eastAsia="Times New Roman" w:hAnsi="Times New Roman"/>
          <w:sz w:val="14"/>
          <w:szCs w:val="14"/>
          <w:color w:val="auto"/>
        </w:rPr>
      </w:pPr>
    </w:p>
    <w:p>
      <w:pPr>
        <w:ind w:left="920" w:right="380" w:hanging="359"/>
        <w:spacing w:after="0" w:line="261" w:lineRule="auto"/>
        <w:tabs>
          <w:tab w:leader="none" w:pos="9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may have difficulty accessing the capital markets to meet future capital needs, which may limit their ability to grow or to refinance their outstanding indebtedness upon maturity.</w:t>
      </w:r>
    </w:p>
    <w:p>
      <w:pPr>
        <w:spacing w:after="0" w:line="9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Under the 1940 Act, we may invest up to 30% of our assets in investments that are not qualifying assets for BDCs. If we do not invest a sufficient portion of our assets in qualifying assets, we could be precluded from investing in assets that we deem to be attractive.</w:t>
      </w:r>
    </w:p>
    <w:p>
      <w:pPr>
        <w:spacing w:after="0" w:line="91"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09"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have not invested a sufficient portion of our assets in qualifying assets at the time of a proposed investment,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92"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91"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and compliance with the RIC tax regulations.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the Diversification Requirements, we do not have fixed guidelines for portfolio diversification, and our investments could be concentrated in relatively few portfolio companies or industries. Although we are classified as a non-diversified investment company within the meaning of the 1940 Act, we maintain the flexibility to operate as a diversified investment company and have done so for an extended period of time. To the extent that we operate as a non-diversified investment company in the future, we may be subject to greater risk.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recessions or downturns could impair our portfolio companies and harm our operating results.</w:t>
      </w:r>
    </w:p>
    <w:p>
      <w:pPr>
        <w:spacing w:after="0" w:line="127" w:lineRule="exact"/>
        <w:rPr>
          <w:sz w:val="20"/>
          <w:szCs w:val="20"/>
          <w:color w:val="auto"/>
        </w:rPr>
      </w:pPr>
    </w:p>
    <w:p>
      <w:pPr>
        <w:ind w:right="200" w:firstLine="438"/>
        <w:spacing w:after="0" w:line="233" w:lineRule="auto"/>
        <w:rPr>
          <w:sz w:val="20"/>
          <w:szCs w:val="20"/>
          <w:color w:val="auto"/>
        </w:rPr>
      </w:pPr>
      <w:r>
        <w:rPr>
          <w:rFonts w:ascii="Times New Roman" w:cs="Times New Roman" w:eastAsia="Times New Roman" w:hAnsi="Times New Roman"/>
          <w:sz w:val="14"/>
          <w:szCs w:val="14"/>
          <w:color w:val="auto"/>
        </w:rPr>
        <w:t>Many of our portfolio companies are susceptible to economic or industry centric slowdowns or recessions and may be unable to repay debt from us during these periods. Therefore, our non-performing assets are likely to increase, and the value of our portfolio is likely to decrease during these periods. Adverse economic conditions also may decrease the value of collateral securing some of our debt investments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10" w:lineRule="exact"/>
        <w:rPr>
          <w:sz w:val="20"/>
          <w:szCs w:val="20"/>
          <w:color w:val="auto"/>
        </w:rPr>
      </w:pPr>
    </w:p>
    <w:p>
      <w:pPr>
        <w:ind w:right="120" w:firstLine="438"/>
        <w:spacing w:after="0" w:line="231" w:lineRule="auto"/>
        <w:rPr>
          <w:sz w:val="20"/>
          <w:szCs w:val="20"/>
          <w:color w:val="auto"/>
        </w:rPr>
      </w:pPr>
      <w:r>
        <w:rPr>
          <w:rFonts w:ascii="Times New Roman" w:cs="Times New Roman" w:eastAsia="Times New Roman" w:hAnsi="Times New Roman"/>
          <w:sz w:val="14"/>
          <w:szCs w:val="14"/>
          <w:color w:val="auto"/>
        </w:rPr>
        <w:t>A portfolio company’s failure to satisfy financial or operating covenants imposed by us or other lenders could lead to defaults and potential termination of its debt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and any restructuring could further cause adverse effects on our business.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 In addition, we cannot assure you that a bankruptcy court would not take actions contrary to our interests.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make follow-on investments in our portfolio companies, this could materially impair the value of our portfolio.</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Following an initial investment in a portfolio company, we may make additional investments in that portfolio company as “follow-on” investments, in order to:</w:t>
      </w:r>
    </w:p>
    <w:p>
      <w:pPr>
        <w:spacing w:after="0" w:line="136" w:lineRule="exact"/>
        <w:rPr>
          <w:sz w:val="20"/>
          <w:szCs w:val="20"/>
          <w:color w:val="auto"/>
        </w:rPr>
      </w:pPr>
    </w:p>
    <w:p>
      <w:pPr>
        <w:ind w:left="920" w:hanging="359"/>
        <w:spacing w:after="0"/>
        <w:tabs>
          <w:tab w:leader="none" w:pos="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or maintain in whole or in part our equity ownership percentage;</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exercise warrants, options or convertible securities that were acquired in the original or subsequent financing; or</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attempt to preserve or enhance the value of our investment.</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28" w:name="page29"/>
    <w:bookmarkEnd w:id="28"/>
    <w:p>
      <w:pPr>
        <w:ind w:right="100" w:firstLine="438"/>
        <w:spacing w:after="0" w:line="233" w:lineRule="auto"/>
        <w:rPr>
          <w:sz w:val="20"/>
          <w:szCs w:val="20"/>
          <w:color w:val="auto"/>
        </w:rPr>
      </w:pPr>
      <w:r>
        <w:rPr>
          <w:rFonts w:ascii="Times New Roman" w:cs="Times New Roman" w:eastAsia="Times New Roman" w:hAnsi="Times New Roman"/>
          <w:sz w:val="14"/>
          <w:szCs w:val="14"/>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transaction or business. Even if we have sufficient capital to make a desired follow-on investment, we may elect not to make a follow-on investment because we may not want to increase our concentration of risk, either because we prefer other opportunities, or because we are inhibited by compliance with BDC requirements or the desire to maintain our RIC tax status.</w:t>
      </w:r>
    </w:p>
    <w:p>
      <w:pPr>
        <w:spacing w:after="0" w:line="9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91"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market value of our investments.</w:t>
      </w:r>
    </w:p>
    <w:p>
      <w:pPr>
        <w:spacing w:after="0" w:line="105"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78"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portfolio companies may incur debt that ranks equally with, or senior to, our investments in such companies and our portfolio companies may be highly leveraged.</w:t>
      </w:r>
    </w:p>
    <w:p>
      <w:pPr>
        <w:spacing w:after="0" w:line="140" w:lineRule="exact"/>
        <w:rPr>
          <w:sz w:val="20"/>
          <w:szCs w:val="20"/>
          <w:color w:val="auto"/>
        </w:rPr>
      </w:pPr>
    </w:p>
    <w:p>
      <w:pPr>
        <w:ind w:right="60" w:firstLine="438"/>
        <w:spacing w:after="0" w:line="229" w:lineRule="auto"/>
        <w:rPr>
          <w:sz w:val="20"/>
          <w:szCs w:val="20"/>
          <w:color w:val="auto"/>
        </w:rPr>
      </w:pPr>
      <w:r>
        <w:rPr>
          <w:rFonts w:ascii="Times New Roman" w:cs="Times New Roman" w:eastAsia="Times New Roman" w:hAnsi="Times New Roman"/>
          <w:sz w:val="14"/>
          <w:szCs w:val="14"/>
          <w:color w:val="auto"/>
        </w:rPr>
        <w:t>We invest primarily in first lien secured debt, second lien secured debt, subordinated debt and equity investments issued by our portfolio companies. The portfolio companies usually will have, or may be permitted to incur, other debt that ranks equally with, or senior to, our investments, and they may be highly leveraged. By their terms, such debt instruments may provide that the holders are entitled to receive payment of interest or principal on or before the dates on which we are entitled to receive payments with respect to our debt investments.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incentive fee may induce the Investment Adviser to make speculative investments.</w:t>
      </w:r>
    </w:p>
    <w:p>
      <w:pPr>
        <w:spacing w:after="0" w:line="140" w:lineRule="exact"/>
        <w:rPr>
          <w:sz w:val="20"/>
          <w:szCs w:val="20"/>
          <w:color w:val="auto"/>
        </w:rPr>
      </w:pPr>
    </w:p>
    <w:p>
      <w:pPr>
        <w:ind w:right="20" w:firstLine="438"/>
        <w:spacing w:after="0" w:line="229" w:lineRule="auto"/>
        <w:rPr>
          <w:sz w:val="20"/>
          <w:szCs w:val="20"/>
          <w:color w:val="auto"/>
        </w:rPr>
      </w:pPr>
      <w:r>
        <w:rPr>
          <w:rFonts w:ascii="Times New Roman" w:cs="Times New Roman" w:eastAsia="Times New Roman" w:hAnsi="Times New Roman"/>
          <w:sz w:val="14"/>
          <w:szCs w:val="14"/>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NAV.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13"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investments in distressed debt may not produce income and may require us to bear large expenses in order to protect and recover our investment.</w:t>
      </w:r>
    </w:p>
    <w:p>
      <w:pPr>
        <w:spacing w:after="0" w:line="140" w:lineRule="exact"/>
        <w:rPr>
          <w:sz w:val="20"/>
          <w:szCs w:val="20"/>
          <w:color w:val="auto"/>
        </w:rPr>
      </w:pPr>
    </w:p>
    <w:p>
      <w:pPr>
        <w:ind w:right="60" w:firstLine="438"/>
        <w:spacing w:after="0"/>
        <w:rPr>
          <w:sz w:val="20"/>
          <w:szCs w:val="20"/>
          <w:color w:val="auto"/>
        </w:rPr>
      </w:pPr>
      <w:r>
        <w:rPr>
          <w:rFonts w:ascii="Times New Roman" w:cs="Times New Roman" w:eastAsia="Times New Roman" w:hAnsi="Times New Roman"/>
          <w:sz w:val="14"/>
          <w:szCs w:val="14"/>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in what manner and for what value the distressed debt in which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investments in foreign securities may involve significant risks in addition to the risks inherent in U.S. investments.</w:t>
      </w:r>
    </w:p>
    <w:p>
      <w:pPr>
        <w:spacing w:after="0" w:line="127"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Our investment strategy contemplates potential investments in securities of companies located outside of the United States. Investments in securities of companies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economic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10" w:lineRule="exact"/>
        <w:rPr>
          <w:sz w:val="20"/>
          <w:szCs w:val="20"/>
          <w:color w:val="auto"/>
        </w:rPr>
      </w:pPr>
    </w:p>
    <w:p>
      <w:pPr>
        <w:jc w:val="both"/>
        <w:ind w:right="200" w:firstLine="438"/>
        <w:spacing w:after="0" w:line="236" w:lineRule="auto"/>
        <w:rPr>
          <w:sz w:val="20"/>
          <w:szCs w:val="20"/>
          <w:color w:val="auto"/>
        </w:rPr>
      </w:pPr>
      <w:r>
        <w:rPr>
          <w:rFonts w:ascii="Times New Roman" w:cs="Times New Roman" w:eastAsia="Times New Roman" w:hAnsi="Times New Roman"/>
          <w:sz w:val="14"/>
          <w:szCs w:val="14"/>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interest rates, differences in relative values of similar assets in different currencies, long-term opportunities for investment and capital appreciation, and economic and political developments. We may employ hedging techniques such as using our Credit Facility’s multicurrency capability to minimize these risks, but we can offer no assurance that we will, in fact, hedge currency risk or, that if we do, such strategies will be effective.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7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i w:val="1"/>
          <w:iCs w:val="1"/>
          <w:color w:val="auto"/>
        </w:rPr>
        <w:t>We may make investments that cause our stockholders to bear investment advisory fees and other expenses on such investments in addition to our management fees and expenses.</w:t>
      </w:r>
    </w:p>
    <w:p>
      <w:pPr>
        <w:spacing w:after="0" w:line="127" w:lineRule="exact"/>
        <w:rPr>
          <w:sz w:val="20"/>
          <w:szCs w:val="20"/>
          <w:color w:val="auto"/>
        </w:rPr>
      </w:pPr>
    </w:p>
    <w:p>
      <w:pPr>
        <w:ind w:right="60" w:firstLine="438"/>
        <w:spacing w:after="0" w:line="231" w:lineRule="auto"/>
        <w:rPr>
          <w:sz w:val="20"/>
          <w:szCs w:val="20"/>
          <w:color w:val="auto"/>
        </w:rPr>
      </w:pPr>
      <w:r>
        <w:rPr>
          <w:rFonts w:ascii="Times New Roman" w:cs="Times New Roman" w:eastAsia="Times New Roman" w:hAnsi="Times New Roman"/>
          <w:sz w:val="14"/>
          <w:szCs w:val="14"/>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an incentive fee,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obligated to pay our Investment Adviser incentive compensation even if we incur a loss.</w:t>
      </w:r>
    </w:p>
    <w:p>
      <w:pPr>
        <w:spacing w:after="0" w:line="140"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Statements of Operations for that quarter. Thus, we may be required to pay the Investment Adviser incentive compensation for a fiscal quarter even if there is a decline in the value of our portfolio, NAV or we incur a net loss for that quarter. In addition, increases in interest rates may increase the amount of incentive fees we pay to the Investment Adviser even though our performance relative to the market has not increased.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expose ourselves to risks if we engage in hedging transactions.</w:t>
      </w:r>
    </w:p>
    <w:p>
      <w:pPr>
        <w:spacing w:after="0" w:line="140" w:lineRule="exact"/>
        <w:rPr>
          <w:sz w:val="20"/>
          <w:szCs w:val="20"/>
          <w:color w:val="auto"/>
        </w:rPr>
      </w:pPr>
    </w:p>
    <w:p>
      <w:pPr>
        <w:ind w:right="20" w:firstLine="438"/>
        <w:spacing w:after="0" w:line="229" w:lineRule="auto"/>
        <w:rPr>
          <w:sz w:val="20"/>
          <w:szCs w:val="20"/>
          <w:color w:val="auto"/>
        </w:rPr>
      </w:pPr>
      <w:r>
        <w:rPr>
          <w:rFonts w:ascii="Times New Roman" w:cs="Times New Roman" w:eastAsia="Times New Roman" w:hAnsi="Times New Roman"/>
          <w:sz w:val="14"/>
          <w:szCs w:val="14"/>
          <w:color w:val="auto"/>
        </w:rPr>
        <w:t>If we engage in hedging transactions, we may expose ourselves to risks associated with such transactions. We may borrow under a multi-currency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interest rate or currency positions does not eliminate the possibility of fluctuations in the values of such positions or prevent losses if the values of such positions decline. However, such hedging designed to gain from those changes in interest rates or foreign currency exposures, for instance, may also limit the opportunity for gain if the changes in the underlying positions should move against such hedges. Moreover, it may not be possible to hedge against an exchange rate or interest rate fluctuation that is so generally anticipated that we are not able to enter into a hedging transaction at an acceptable price.</w:t>
      </w:r>
    </w:p>
    <w:p>
      <w:pPr>
        <w:spacing w:after="0" w:line="113" w:lineRule="exact"/>
        <w:rPr>
          <w:sz w:val="20"/>
          <w:szCs w:val="20"/>
          <w:color w:val="auto"/>
        </w:rPr>
      </w:pPr>
    </w:p>
    <w:p>
      <w:pPr>
        <w:ind w:right="80" w:firstLine="438"/>
        <w:spacing w:after="0"/>
        <w:rPr>
          <w:sz w:val="20"/>
          <w:szCs w:val="20"/>
          <w:color w:val="auto"/>
        </w:rPr>
      </w:pPr>
      <w:r>
        <w:rPr>
          <w:rFonts w:ascii="Times New Roman" w:cs="Times New Roman" w:eastAsia="Times New Roman" w:hAnsi="Times New Roman"/>
          <w:sz w:val="14"/>
          <w:szCs w:val="14"/>
          <w:color w:val="auto"/>
        </w:rPr>
        <w:t>While we may enter into such transactions to seek to reduce currency exchange rate and interest rate risks, unanticipated changes in currency exchange rates or interest rates may result in worse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the rules of the Commodity Futures Trading Commission.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AN INVESTMENT IN OUR COMMON STOCK</w:t>
      </w:r>
    </w:p>
    <w:p>
      <w:pPr>
        <w:spacing w:after="0" w:line="134"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We may obtain the approval of our stockholders to issue shares of our common stock at prices below the then current NAV per share of our common stock. If we receive such approval from stockholders in the future, we may issue shares of our common stock at a price below the then current NAV per share of common stock. Any such issuance could materially dilute your interest in our common stock and reduce our NAV per share.</w:t>
      </w:r>
    </w:p>
    <w:p>
      <w:pPr>
        <w:spacing w:after="0" w:line="107" w:lineRule="exact"/>
        <w:rPr>
          <w:sz w:val="20"/>
          <w:szCs w:val="20"/>
          <w:color w:val="auto"/>
        </w:rPr>
      </w:pPr>
    </w:p>
    <w:p>
      <w:pPr>
        <w:ind w:right="180" w:firstLine="438"/>
        <w:spacing w:after="0" w:line="241" w:lineRule="auto"/>
        <w:rPr>
          <w:sz w:val="20"/>
          <w:szCs w:val="20"/>
          <w:color w:val="auto"/>
        </w:rPr>
      </w:pPr>
      <w:r>
        <w:rPr>
          <w:rFonts w:ascii="Times New Roman" w:cs="Times New Roman" w:eastAsia="Times New Roman" w:hAnsi="Times New Roman"/>
          <w:sz w:val="14"/>
          <w:szCs w:val="14"/>
          <w:color w:val="auto"/>
        </w:rPr>
        <w:t>We may seek to obtain from our stockholders and they may approve a proposal that authorizes us to issue shares of our common stock at prices below the then current NAV per share of our common stock in one or more offerings for a 12-month period. Such approval would allow us to access the capital markets in a way that we were previously unable to do as a result of restrictions that, absent stockholder approval, apply to BDCs under the 1940 Act.</w:t>
      </w:r>
    </w:p>
    <w:p>
      <w:pPr>
        <w:spacing w:after="0" w:line="96" w:lineRule="exact"/>
        <w:rPr>
          <w:sz w:val="20"/>
          <w:szCs w:val="20"/>
          <w:color w:val="auto"/>
        </w:rPr>
      </w:pPr>
    </w:p>
    <w:p>
      <w:pPr>
        <w:ind w:right="60" w:firstLine="438"/>
        <w:spacing w:after="0" w:line="231" w:lineRule="auto"/>
        <w:rPr>
          <w:sz w:val="20"/>
          <w:szCs w:val="20"/>
          <w:color w:val="auto"/>
        </w:rPr>
      </w:pPr>
      <w:r>
        <w:rPr>
          <w:rFonts w:ascii="Times New Roman" w:cs="Times New Roman" w:eastAsia="Times New Roman" w:hAnsi="Times New Roman"/>
          <w:sz w:val="14"/>
          <w:szCs w:val="14"/>
          <w:color w:val="auto"/>
        </w:rPr>
        <w:t>Any sale or other issuance of shares of our common stock at a price below NAV per share will result in an immediate dilution to your interest in our common stock and a reduction of our NAV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offerings we make at a price below our then current NAV in the future in a prospectus supplement issued in connection with any such offering.</w:t>
      </w:r>
    </w:p>
    <w:p>
      <w:pPr>
        <w:spacing w:after="0" w:line="110" w:lineRule="exact"/>
        <w:rPr>
          <w:sz w:val="20"/>
          <w:szCs w:val="20"/>
          <w:color w:val="auto"/>
        </w:rPr>
      </w:pPr>
    </w:p>
    <w:p>
      <w:pPr>
        <w:ind w:firstLine="438"/>
        <w:spacing w:after="0" w:line="231" w:lineRule="auto"/>
        <w:rPr>
          <w:sz w:val="20"/>
          <w:szCs w:val="20"/>
          <w:color w:val="auto"/>
        </w:rPr>
      </w:pPr>
      <w:r>
        <w:rPr>
          <w:rFonts w:ascii="Times New Roman" w:cs="Times New Roman" w:eastAsia="Times New Roman" w:hAnsi="Times New Roman"/>
          <w:sz w:val="14"/>
          <w:szCs w:val="14"/>
          <w:color w:val="auto"/>
        </w:rPr>
        <w:t>The determination of NAV in connection with an offering of shares of common stock will involve the determination by our board of directors or a committee thereof that we are not selling shares of our common stock at a price below the then current NAV of our common stock at the time at which the sale is made or otherwise in violation of the 1940 Act, unless we have previously received the consent of the majority of our common stockholders to do so and the board of directors decides such an offering is in the best interests of our common stockholders. Whenever we do not have current stockholder approval to issue shares of our common stock at a price per share below our then current NAV per share, the offering price per share (after any distributing commission or discount) will equal or exceed our then current NAV per share, based on the value of our portfolio securities and other assets determined in good faith by our board of directors as of a time within 48 hours (excluding Sundays and holidays) of the sale.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a risk that our stockholders may not receive distributions or that our distributions may not grow over time.</w:t>
      </w:r>
    </w:p>
    <w:p>
      <w:pPr>
        <w:spacing w:after="0" w:line="127" w:lineRule="exact"/>
        <w:rPr>
          <w:sz w:val="20"/>
          <w:szCs w:val="20"/>
          <w:color w:val="auto"/>
        </w:rPr>
      </w:pPr>
    </w:p>
    <w:p>
      <w:pPr>
        <w:ind w:right="100" w:firstLine="438"/>
        <w:spacing w:after="0" w:line="231" w:lineRule="auto"/>
        <w:rPr>
          <w:sz w:val="20"/>
          <w:szCs w:val="20"/>
          <w:color w:val="auto"/>
        </w:rPr>
      </w:pPr>
      <w:r>
        <w:rPr>
          <w:rFonts w:ascii="Times New Roman" w:cs="Times New Roman" w:eastAsia="Times New Roman" w:hAnsi="Times New Roman"/>
          <w:sz w:val="14"/>
          <w:szCs w:val="14"/>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requirements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in our shares may involve an above average degree of risk.</w:t>
      </w:r>
    </w:p>
    <w:p>
      <w:pPr>
        <w:spacing w:after="0" w:line="127" w:lineRule="exact"/>
        <w:rPr>
          <w:sz w:val="20"/>
          <w:szCs w:val="20"/>
          <w:color w:val="auto"/>
        </w:rPr>
      </w:pPr>
    </w:p>
    <w:p>
      <w:pPr>
        <w:ind w:right="160" w:firstLine="438"/>
        <w:spacing w:after="0" w:line="261" w:lineRule="auto"/>
        <w:rPr>
          <w:sz w:val="20"/>
          <w:szCs w:val="20"/>
          <w:color w:val="auto"/>
        </w:rPr>
      </w:pPr>
      <w:r>
        <w:rPr>
          <w:rFonts w:ascii="Times New Roman" w:cs="Times New Roman" w:eastAsia="Times New Roman" w:hAnsi="Times New Roman"/>
          <w:sz w:val="14"/>
          <w:szCs w:val="14"/>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securities may have an adverse effect on the market price of our securities.</w:t>
      </w:r>
    </w:p>
    <w:p>
      <w:pPr>
        <w:spacing w:after="0" w:line="140" w:lineRule="exact"/>
        <w:rPr>
          <w:sz w:val="20"/>
          <w:szCs w:val="20"/>
          <w:color w:val="auto"/>
        </w:rPr>
      </w:pPr>
    </w:p>
    <w:p>
      <w:pPr>
        <w:ind w:right="480" w:firstLine="438"/>
        <w:spacing w:after="0" w:line="261" w:lineRule="auto"/>
        <w:rPr>
          <w:sz w:val="20"/>
          <w:szCs w:val="20"/>
          <w:color w:val="auto"/>
        </w:rPr>
      </w:pPr>
      <w:r>
        <w:rPr>
          <w:rFonts w:ascii="Times New Roman" w:cs="Times New Roman" w:eastAsia="Times New Roman" w:hAnsi="Times New Roman"/>
          <w:sz w:val="14"/>
          <w:szCs w:val="14"/>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allocate the net proceeds from any offering of our securities in ways with which you may not agree.</w:t>
      </w:r>
    </w:p>
    <w:p>
      <w:pPr>
        <w:spacing w:after="0" w:line="140"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shares may trade at discounts from NAV or at premiums that are unsustainable over the long term.</w:t>
      </w:r>
    </w:p>
    <w:p>
      <w:pPr>
        <w:spacing w:after="0" w:line="127"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Shares of BDCs may trade at a market price that is less than the NAV that is attributable to those shares. Our shares have traded above and below our NAV. Our shares closed on The Nasdaq Global Select Market at $3.19 and $6.27 on September 30, 2020 and 2019, respectively. Our NAV per share was $7.84 and $8.68, respectively,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 price of our common stock may fluctuate significantly.</w:t>
      </w:r>
    </w:p>
    <w:p>
      <w:pPr>
        <w:spacing w:after="0" w:line="140" w:lineRule="exact"/>
        <w:rPr>
          <w:sz w:val="20"/>
          <w:szCs w:val="20"/>
          <w:color w:val="auto"/>
        </w:rPr>
      </w:pPr>
    </w:p>
    <w:p>
      <w:pPr>
        <w:ind w:right="220" w:firstLine="438"/>
        <w:spacing w:after="0" w:line="261" w:lineRule="auto"/>
        <w:rPr>
          <w:sz w:val="20"/>
          <w:szCs w:val="20"/>
          <w:color w:val="auto"/>
        </w:rPr>
      </w:pPr>
      <w:r>
        <w:rPr>
          <w:rFonts w:ascii="Times New Roman" w:cs="Times New Roman" w:eastAsia="Times New Roman" w:hAnsi="Times New Roman"/>
          <w:sz w:val="14"/>
          <w:szCs w:val="14"/>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82" w:lineRule="exact"/>
        <w:rPr>
          <w:sz w:val="20"/>
          <w:szCs w:val="20"/>
          <w:color w:val="auto"/>
        </w:rPr>
      </w:pPr>
    </w:p>
    <w:p>
      <w:pPr>
        <w:ind w:left="920" w:hanging="359"/>
        <w:spacing w:after="0" w:line="261" w:lineRule="auto"/>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volatility in the market price and trading volume of securities of BDCs or other companies in our sector, which are not necessarily related to the operating performance of these companies;</w:t>
      </w:r>
    </w:p>
    <w:p>
      <w:pPr>
        <w:spacing w:after="0" w:line="95"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policies or tax guidelines, particularly with respect to RICs, BDCs or SBICs;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loss of our BDC or RIC status or any loss of our subsidiaries’ SBIC licenses;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earnings or variations in operating results;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prevailing interest rates;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value of our portfolio of investments;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shortfall in revenue or net income or any increase in losses from levels expected by investors or securities analysts;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of our Investment Adviser to employ additional experienced investment professionals or the departure of any of the Investment Adviser’s key personnel;</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performance of companies comparable to us;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national and international economic trends and other external factors;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price and volume fluctuations in the stock markets, including as a result of short sales;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features of subscription rights, warrants or convertible debt;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a major funding source.</w:t>
      </w:r>
    </w:p>
    <w:p>
      <w:pPr>
        <w:spacing w:after="0" w:line="136" w:lineRule="exact"/>
        <w:rPr>
          <w:sz w:val="20"/>
          <w:szCs w:val="20"/>
          <w:color w:val="auto"/>
        </w:rPr>
      </w:pPr>
    </w:p>
    <w:p>
      <w:pPr>
        <w:ind w:right="240" w:firstLine="438"/>
        <w:spacing w:after="0" w:line="261" w:lineRule="auto"/>
        <w:rPr>
          <w:sz w:val="20"/>
          <w:szCs w:val="20"/>
          <w:color w:val="auto"/>
        </w:rPr>
      </w:pPr>
      <w:r>
        <w:rPr>
          <w:rFonts w:ascii="Times New Roman" w:cs="Times New Roman" w:eastAsia="Times New Roman" w:hAnsi="Times New Roman"/>
          <w:sz w:val="14"/>
          <w:szCs w:val="14"/>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unable to invest the net proceeds raised from offerings on acceptable terms, which would harm our financial condition and operating results.</w:t>
      </w:r>
    </w:p>
    <w:p>
      <w:pPr>
        <w:spacing w:after="0" w:line="140"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or any future credit facility. We cannot assure you that we will be able to find enough appropriate investments that meet our investment selection criteria or that any investment we complete using the proceeds from an offering will produce a sufficient return.</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SBA also limits an SBIC’s choices to invest idle funds to the following types of securities:</w:t>
      </w:r>
    </w:p>
    <w:p>
      <w:pPr>
        <w:spacing w:after="0" w:line="136" w:lineRule="exact"/>
        <w:rPr>
          <w:sz w:val="20"/>
          <w:szCs w:val="20"/>
          <w:color w:val="auto"/>
        </w:rPr>
      </w:pPr>
    </w:p>
    <w:p>
      <w:pPr>
        <w:ind w:left="920" w:hanging="359"/>
        <w:spacing w:after="0"/>
        <w:tabs>
          <w:tab w:leader="none" w:pos="9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or obligations guaranteed as to principal and interest by, the U.S. government, which mature within 15 months from the date of the investment;</w:t>
      </w:r>
    </w:p>
    <w:p>
      <w:pPr>
        <w:spacing w:after="0" w:line="136" w:lineRule="exact"/>
        <w:rPr>
          <w:rFonts w:ascii="Times New Roman" w:cs="Times New Roman" w:eastAsia="Times New Roman" w:hAnsi="Times New Roman"/>
          <w:sz w:val="14"/>
          <w:szCs w:val="14"/>
          <w:color w:val="auto"/>
        </w:rPr>
      </w:pPr>
    </w:p>
    <w:p>
      <w:pPr>
        <w:ind w:left="920" w:right="20" w:hanging="359"/>
        <w:spacing w:after="0" w:line="261" w:lineRule="auto"/>
        <w:tabs>
          <w:tab w:leader="none" w:pos="9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95"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certificates of deposit with a maturity of one year or less, issued by a federally insured institution; or</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deposit account in a federally insured institution that is subject to a withdrawal restriction of one year or less.</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75"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i w:val="1"/>
          <w:iCs w:val="1"/>
          <w:color w:val="auto"/>
        </w:rPr>
        <w:t>You may have current tax liabilities on distributions you reinvest in our common stock.</w:t>
      </w:r>
    </w:p>
    <w:p>
      <w:pPr>
        <w:spacing w:after="0" w:line="127"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income tax liabilities on the value of the common stock received. See “Management’s Discussion and Analysis of Financial Condition and Results of Operations—Liquidity and Capital Resources—Distributions” for more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There is a risk that our common stockholders may receive our stock as distributions in which case they may be required to pay taxes in excess of the cash they receive.</w:t>
      </w:r>
    </w:p>
    <w:p>
      <w:pPr>
        <w:spacing w:after="0" w:line="140" w:lineRule="exact"/>
        <w:rPr>
          <w:sz w:val="20"/>
          <w:szCs w:val="20"/>
          <w:color w:val="auto"/>
        </w:rPr>
      </w:pPr>
    </w:p>
    <w:p>
      <w:pPr>
        <w:ind w:right="60" w:firstLine="438"/>
        <w:spacing w:after="0" w:line="229" w:lineRule="auto"/>
        <w:rPr>
          <w:sz w:val="20"/>
          <w:szCs w:val="20"/>
          <w:color w:val="auto"/>
        </w:rPr>
      </w:pPr>
      <w:r>
        <w:rPr>
          <w:rFonts w:ascii="Times New Roman" w:cs="Times New Roman" w:eastAsia="Times New Roman" w:hAnsi="Times New Roman"/>
          <w:sz w:val="14"/>
          <w:szCs w:val="14"/>
          <w:color w:val="auto"/>
        </w:rPr>
        <w:t>We may distribute our common stock as a dividend of our taxable income and a stockholder could receive a portion of the dividends declared and distributed by us in shares of our common stock with the remaining amount in cash. Revenue Procedures issued by the IRS allow a publicly offered regulated investment company (including a BDC) to distribute its own stock as a dividend for the purpose of fulfilling its distribution requirements, if certain conditions are satisfied. As long as a portion of such dividend is paid in cash (which portion may be as low as 10% of such dividend, for dividends declared on or before December 31, 2020, and 20% of such dividend, for dividends declared on or after January 1, 2021) and certain requirements are met, the entire distribution will be treated as a dividend for U.S. federal income tax purposes. As a result, a stockholder will be considered to have recognized dividend income generally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Provisions of the Maryland General Corporation Law and of our charter and bylaws could deter takeover attempts and have an adverse impact on the price of our common stock.</w:t>
      </w:r>
    </w:p>
    <w:p>
      <w:pPr>
        <w:spacing w:after="0" w:line="140"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The Maryland General Corporation Law, our charter and our bylaws contain provisions that may discourage, delay or make more difficult a change in control of us or the removal of our directors. We are subject to the Maryland Business Combination Act, or the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10"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96" w:lineRule="exact"/>
        <w:rPr>
          <w:sz w:val="20"/>
          <w:szCs w:val="20"/>
          <w:color w:val="auto"/>
        </w:rPr>
      </w:pPr>
    </w:p>
    <w:p>
      <w:pPr>
        <w:ind w:right="460" w:firstLine="438"/>
        <w:spacing w:after="0" w:line="261" w:lineRule="auto"/>
        <w:rPr>
          <w:sz w:val="20"/>
          <w:szCs w:val="20"/>
          <w:color w:val="auto"/>
        </w:rPr>
      </w:pPr>
      <w:r>
        <w:rPr>
          <w:rFonts w:ascii="Times New Roman" w:cs="Times New Roman" w:eastAsia="Times New Roman" w:hAnsi="Times New Roman"/>
          <w:sz w:val="14"/>
          <w:szCs w:val="14"/>
          <w:color w:val="auto"/>
        </w:rPr>
        <w:t>These anti-takeover provisions may inhibit a change of control in circumstances that could give our stockholders the opportunity to realize a premium over the market price for our common stock.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AN INVESTMENT IN OUR DEBT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2024 Notes are unsecured and therefore are effectively subordinated to any secured indebtedness we have currently incurred or may incur in the future.</w:t>
      </w:r>
    </w:p>
    <w:p>
      <w:pPr>
        <w:spacing w:after="0" w:line="127" w:lineRule="exact"/>
        <w:rPr>
          <w:sz w:val="20"/>
          <w:szCs w:val="20"/>
          <w:color w:val="auto"/>
        </w:rPr>
      </w:pPr>
    </w:p>
    <w:p>
      <w:pPr>
        <w:ind w:right="60" w:firstLine="438"/>
        <w:spacing w:after="0" w:line="229" w:lineRule="auto"/>
        <w:rPr>
          <w:sz w:val="20"/>
          <w:szCs w:val="20"/>
          <w:color w:val="auto"/>
        </w:rPr>
      </w:pPr>
      <w:r>
        <w:rPr>
          <w:rFonts w:ascii="Times New Roman" w:cs="Times New Roman" w:eastAsia="Times New Roman" w:hAnsi="Times New Roman"/>
          <w:sz w:val="14"/>
          <w:szCs w:val="14"/>
          <w:color w:val="auto"/>
        </w:rPr>
        <w:t>The 2024 Notes are not secured by any of our assets or any of the assets of our subsidiaries. As a result, the 2024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2024 Notes. As of September 30, 2020, we had $388.3 million (including a $8.0 million temporary draw) in outstanding borrowings under the Truist Credit Facility. The Truist Credit Facility is secured by substantially all of our assets excluding assets held by SBIC II. The indebtedness under the Credit Facility is therefore effectively senior in right of payment to our 2024 Notes to the extent of the value of such assets.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2024 Notes are structurally subordinated to the indebtedness and other liabilities of our subsidiaries.</w:t>
      </w:r>
    </w:p>
    <w:p>
      <w:pPr>
        <w:spacing w:after="0" w:line="140"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The 2024 Notes are obligations exclusively of PennantPark Investment Corporation and not of any of our subsidiaries. None of our subsidiaries is or acts as a guarantor of the 2024 Notes and the 2024 Notes are not required to be guaranteed by any subsidiaries we may acquire or create in the future. Our secured indebtedness with respect to the SBA debentures is held through SBIC II. The assets of any such subsidiaries are not directly available to satisfy the claims of our creditors, including holders of our 2024 Notes.</w:t>
      </w:r>
    </w:p>
    <w:p>
      <w:pPr>
        <w:spacing w:after="0" w:line="96" w:lineRule="exact"/>
        <w:rPr>
          <w:sz w:val="20"/>
          <w:szCs w:val="20"/>
          <w:color w:val="auto"/>
        </w:rPr>
      </w:pPr>
    </w:p>
    <w:p>
      <w:pPr>
        <w:ind w:right="60" w:firstLine="438"/>
        <w:spacing w:after="0" w:line="229" w:lineRule="auto"/>
        <w:rPr>
          <w:sz w:val="20"/>
          <w:szCs w:val="20"/>
          <w:color w:val="auto"/>
        </w:rPr>
      </w:pPr>
      <w:r>
        <w:rPr>
          <w:rFonts w:ascii="Times New Roman" w:cs="Times New Roman" w:eastAsia="Times New Roman" w:hAnsi="Times New Roman"/>
          <w:sz w:val="14"/>
          <w:szCs w:val="14"/>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2024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2024 Notes are structurally subordinated to all indebtedness and other liabilities (including trade payables) of our subsidiaries and any subsidiaries that we may in the future acquire or establish as financing vehicles or otherwise. As of September 30, 2020 and 2019, our SBIC Funds had $118.5 million and $150.0 million in debt commitments, respectively, all of which was drawn. All of such indebtedness is structurally senior to the 2024 Notes. In addition, our subsidiaries may incur substantial additional indebtedness in the future, all of which would be structurally senior to the 2024 Notes.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i w:val="1"/>
          <w:iCs w:val="1"/>
          <w:color w:val="auto"/>
        </w:rPr>
        <w:t>The indenture under which the 2024 Notes were issued contains limited protection for their respective holders.</w:t>
      </w:r>
    </w:p>
    <w:p>
      <w:pPr>
        <w:spacing w:after="0" w:line="127" w:lineRule="exact"/>
        <w:rPr>
          <w:sz w:val="20"/>
          <w:szCs w:val="20"/>
          <w:color w:val="auto"/>
        </w:rPr>
      </w:pPr>
    </w:p>
    <w:p>
      <w:pPr>
        <w:jc w:val="both"/>
        <w:ind w:right="220" w:firstLine="438"/>
        <w:spacing w:after="0" w:line="241" w:lineRule="auto"/>
        <w:rPr>
          <w:sz w:val="20"/>
          <w:szCs w:val="20"/>
          <w:color w:val="auto"/>
        </w:rPr>
      </w:pPr>
      <w:r>
        <w:rPr>
          <w:rFonts w:ascii="Times New Roman" w:cs="Times New Roman" w:eastAsia="Times New Roman" w:hAnsi="Times New Roman"/>
          <w:sz w:val="14"/>
          <w:szCs w:val="14"/>
          <w:color w:val="auto"/>
        </w:rPr>
        <w:t>The indenture under which the 2024 Notes were issued offers limited protection to holders. The terms of the indenture and the 2024 Notes do not restrict our or any of our subsidiaries’ ability to engage in, or otherwise be a party to, a variety of corporate transactions, circumstances or events that could have an adverse impact on each holder’s investment in the 2024 Notes. In particular, the terms of the indenture and the 2024 Notes will not place any restrictions on our or our subsidiaries’ ability to:</w:t>
      </w:r>
    </w:p>
    <w:p>
      <w:pPr>
        <w:spacing w:after="0" w:line="109" w:lineRule="exact"/>
        <w:rPr>
          <w:sz w:val="20"/>
          <w:szCs w:val="20"/>
          <w:color w:val="auto"/>
        </w:rPr>
      </w:pPr>
    </w:p>
    <w:p>
      <w:pPr>
        <w:ind w:left="920" w:right="60" w:hanging="359"/>
        <w:spacing w:after="0" w:line="229" w:lineRule="auto"/>
        <w:tabs>
          <w:tab w:leader="none" w:pos="9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securities or otherwise incur additional indebtedness or other obligations, including (1) any indebtedness or other obligations that would be equal in right of payment to the 2024 Notes, (2) any indebtedness or other obligations that would be secured and therefore rank effectively senior in right of payment to the 2024 Notes to the extent of the values of the assets securing such debt, (3) indebtedness of ours that is guaranteed by one or more of our subsidiaries and which therefore would rank structurally senior to the 2024 Notes and (4) securities, indebtedness or other obligations issued or incurred by our subsidiaries that would be senior in right of payment to our equity interests in our subsidiaries and therefore would rank structurally senior in right of payment to the 2024 Notes with respect to the assets of our subsidiaries, in each case other than an incurrence of indebtedness or other obligation that would cause a violation of Section 18(a)(1)(A) of the 1940 Act as modified by Section 61(a)(1) and (2) of the 1940 Act or any successor provisions, as such obligations may be amended or superseded, giving effect to any exemptive relief granted to us by the SEC;</w:t>
      </w:r>
    </w:p>
    <w:p>
      <w:pPr>
        <w:spacing w:after="0" w:line="112"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on, or purchase or redeem or make any payments in respect of, capital stock or other securities ranking junior in right of payment to the 2024 Notes;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assets (other than certain limited restrictions on our ability to consolidate, merge or sell all or substantially all of our assets);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transactions with affiliates;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 (including liens on the shares of our subsidiaries) or enter into sale and leaseback transactions;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restrictions on the payment of dividends or other amounts to us from our subsidiaries.</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 addition, the indenture will not require us to offer to purchase the Notes in connection with a change of control or any other event.</w:t>
      </w:r>
    </w:p>
    <w:p>
      <w:pPr>
        <w:spacing w:after="0" w:line="136"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Furthermore, the terms of the indenture and the 2024 Notes do not protect their respective holders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96" w:lineRule="exact"/>
        <w:rPr>
          <w:sz w:val="20"/>
          <w:szCs w:val="20"/>
          <w:color w:val="auto"/>
        </w:rPr>
      </w:pPr>
    </w:p>
    <w:p>
      <w:pPr>
        <w:ind w:right="80" w:firstLine="438"/>
        <w:spacing w:after="0" w:line="261" w:lineRule="auto"/>
        <w:rPr>
          <w:sz w:val="20"/>
          <w:szCs w:val="20"/>
          <w:color w:val="auto"/>
        </w:rPr>
      </w:pPr>
      <w:r>
        <w:rPr>
          <w:rFonts w:ascii="Times New Roman" w:cs="Times New Roman" w:eastAsia="Times New Roman" w:hAnsi="Times New Roman"/>
          <w:sz w:val="14"/>
          <w:szCs w:val="14"/>
          <w:color w:val="auto"/>
        </w:rPr>
        <w:t>Our ability to recapitalize, incur additional debt and take a number of other actions that are not limited by the terms of the 2024 Notes may have important consequences for their holders, including making it more difficult for us to satisfy our obligations with respect to the 2024 Notes or negatively affecting their trading value.</w:t>
      </w:r>
    </w:p>
    <w:p>
      <w:pPr>
        <w:spacing w:after="0" w:line="95" w:lineRule="exact"/>
        <w:rPr>
          <w:sz w:val="20"/>
          <w:szCs w:val="20"/>
          <w:color w:val="auto"/>
        </w:rPr>
      </w:pPr>
    </w:p>
    <w:p>
      <w:pPr>
        <w:ind w:right="180" w:firstLine="438"/>
        <w:spacing w:after="0" w:line="241" w:lineRule="auto"/>
        <w:rPr>
          <w:sz w:val="20"/>
          <w:szCs w:val="20"/>
          <w:color w:val="auto"/>
        </w:rPr>
      </w:pPr>
      <w:r>
        <w:rPr>
          <w:rFonts w:ascii="Times New Roman" w:cs="Times New Roman" w:eastAsia="Times New Roman" w:hAnsi="Times New Roman"/>
          <w:sz w:val="14"/>
          <w:szCs w:val="14"/>
          <w:color w:val="auto"/>
        </w:rPr>
        <w:t>Certain of our current debt instruments include more protections for their respective holders than the indenture and the 2024 Notes. In addition, other debt we issue or incur in the future could contain more protections for its holders than the indenture and the 2024 Notes, including additional covenants and events of default. The issuance or incurrence of any such debt with incremental protections could affect the market for and trading levels and prices of the 2024 Notes.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optional redemption provision may materially adversely affect your return on the 2024 Notes.</w:t>
      </w:r>
    </w:p>
    <w:p>
      <w:pPr>
        <w:spacing w:after="0" w:line="127" w:lineRule="exact"/>
        <w:rPr>
          <w:sz w:val="20"/>
          <w:szCs w:val="20"/>
          <w:color w:val="auto"/>
        </w:rPr>
      </w:pPr>
    </w:p>
    <w:p>
      <w:pPr>
        <w:jc w:val="both"/>
        <w:ind w:right="20" w:firstLine="438"/>
        <w:spacing w:after="0" w:line="241" w:lineRule="auto"/>
        <w:rPr>
          <w:sz w:val="20"/>
          <w:szCs w:val="20"/>
          <w:color w:val="auto"/>
        </w:rPr>
      </w:pPr>
      <w:r>
        <w:rPr>
          <w:rFonts w:ascii="Times New Roman" w:cs="Times New Roman" w:eastAsia="Times New Roman" w:hAnsi="Times New Roman"/>
          <w:sz w:val="14"/>
          <w:szCs w:val="14"/>
          <w:color w:val="auto"/>
        </w:rPr>
        <w:t>The 2024 Notes will be redeemable in whole or in part upon certain conditions at any time, or from time to time, at our option on or after October 15, 2021. We may choose to redeem the 2024 Notes at times when prevailing interest rates are lower than the interest rate paid on the Notes. In this circumstance, you may not be able to reinvest the redemption proceeds in a comparable security at an effective interest rate as high as the 2024 Notes being redeemed.</w:t>
      </w:r>
    </w:p>
    <w:p>
      <w:pPr>
        <w:spacing w:after="0" w:line="10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An active trading market for the 2024 Notes may not develop or be maintained, which could limit their market price or the ability of their respective holders to sell them. If a rating agency assigns the 2024 Notes a non-investment grade rating, they may be subject to greater price volatility than similar securities without such a rating.</w:t>
      </w:r>
    </w:p>
    <w:p>
      <w:pPr>
        <w:spacing w:after="0" w:line="91" w:lineRule="exact"/>
        <w:rPr>
          <w:sz w:val="20"/>
          <w:szCs w:val="20"/>
          <w:color w:val="auto"/>
        </w:rPr>
      </w:pPr>
    </w:p>
    <w:p>
      <w:pPr>
        <w:ind w:right="40" w:firstLine="438"/>
        <w:spacing w:after="0" w:line="229" w:lineRule="auto"/>
        <w:rPr>
          <w:sz w:val="20"/>
          <w:szCs w:val="20"/>
          <w:color w:val="auto"/>
        </w:rPr>
      </w:pPr>
      <w:r>
        <w:rPr>
          <w:rFonts w:ascii="Times New Roman" w:cs="Times New Roman" w:eastAsia="Times New Roman" w:hAnsi="Times New Roman"/>
          <w:sz w:val="14"/>
          <w:szCs w:val="14"/>
          <w:color w:val="auto"/>
        </w:rPr>
        <w:t>Although the 2024 Notes are listed on The Nasdaq Global Select Market under the symbol “PNNTG,” we cannot provide any assurances that an active trading market will develop for the 2024 Notes or that their holders will be able to sell them. The 2024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2024 Notes a non-investment grade rating, they may be subject to greater price volatility than securities of similar maturity without such a non-investment grade rating. We cannot assure holders of the 2024 Notes that a liquid trading market will develop for them, that holders will be able to sell their 2024 Notes at a particular time or that the price holders receive upon such sale will be favorable. To the extent an active trading market does not develop, the liquidity and trading price for our 2024 Notes may be harmed. Accordingly, holders of the 2024 Notes may be required to bear the financial risk for an indefinite period of time.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default on our obligations to pay our other indebtedness, we may not be able to make payments on the 2024 Notes.</w:t>
      </w:r>
    </w:p>
    <w:p>
      <w:pPr>
        <w:spacing w:after="0" w:line="140" w:lineRule="exact"/>
        <w:rPr>
          <w:sz w:val="20"/>
          <w:szCs w:val="20"/>
          <w:color w:val="auto"/>
        </w:rPr>
      </w:pPr>
    </w:p>
    <w:p>
      <w:pPr>
        <w:ind w:right="60" w:firstLine="438"/>
        <w:spacing w:after="0"/>
        <w:rPr>
          <w:sz w:val="20"/>
          <w:szCs w:val="20"/>
          <w:color w:val="auto"/>
        </w:rPr>
      </w:pPr>
      <w:r>
        <w:rPr>
          <w:rFonts w:ascii="Times New Roman" w:cs="Times New Roman" w:eastAsia="Times New Roman" w:hAnsi="Times New Roman"/>
          <w:sz w:val="14"/>
          <w:szCs w:val="14"/>
          <w:color w:val="auto"/>
        </w:rPr>
        <w:t>Any default under the agreements governing our indebtedness, including a default under our Credit Facility or under other indebtedness to which we may be a party that is not waived by the required lenders or holders, and the remedies sought by the holders of such indebtedness could make us unable to pay principal, premium, if any, and interest on the 2024 Notes and substantially decrease the market value of the 2024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our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the agreements relating to our Credit Facility or other debt that we may incur in the future to avoid being in default. If we breach our covenants under our Credit Facility or other debt and seek a waiver, we may not be able to obtain a waiver from the required lenders or holders. If this occurs, we would be in default and our lenders or debt holders could exercise their rights as described above, and we could be forced into bankruptcy or liquidation. If we are unable to repay debt, lenders having secured obligations, including the lenders under our Credit Facility, could proceed against the collateral securing the debt. Because our Credit Facility have, and any future debt will likely have, customary cross-default provisions, if the indebtedness thereunder or under any future credit facility is accelerated, we may be unable to repay or finance the amounts due.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i w:val="1"/>
          <w:iCs w:val="1"/>
          <w:color w:val="auto"/>
        </w:rPr>
        <w:t>FATCA withholding may apply to payments to certain foreign entities.</w:t>
      </w:r>
    </w:p>
    <w:p>
      <w:pPr>
        <w:spacing w:after="0" w:line="127" w:lineRule="exact"/>
        <w:rPr>
          <w:sz w:val="20"/>
          <w:szCs w:val="20"/>
          <w:color w:val="auto"/>
        </w:rPr>
      </w:pPr>
    </w:p>
    <w:p>
      <w:pPr>
        <w:ind w:right="60" w:firstLine="438"/>
        <w:spacing w:after="0" w:line="231" w:lineRule="auto"/>
        <w:rPr>
          <w:sz w:val="20"/>
          <w:szCs w:val="20"/>
          <w:color w:val="auto"/>
        </w:rPr>
      </w:pPr>
      <w:r>
        <w:rPr>
          <w:rFonts w:ascii="Times New Roman" w:cs="Times New Roman" w:eastAsia="Times New Roman" w:hAnsi="Times New Roman"/>
          <w:sz w:val="14"/>
          <w:szCs w:val="14"/>
          <w:color w:val="auto"/>
        </w:rPr>
        <w:t>Payments made under the 2024 Notes to a foreign financial institution or non-financial foreign entity (including such an institution or entity acting as an intermediary) may be subject to a U.S. withholding tax of 30% under the Foreign Account Tax Compliance Act (commonly known as “FATCA”) provisions of the Code. This U.S. withholding tax may apply to certain payments of interest on the 2024 Notes as well as scheduled payments of principal, early redemption, or sale of the 2024 Notes, unless the foreign financial institution or non-financial foreign entity complies with certain information reporting, withholding, identification, certification and related requirements imposed by FATCA. Depending upon the status of a holder and the status of an intermediary through which any notes are held, the holder could be subject to this 30% U.S. withholding tax in respect of any interest paid on the notes as well as any proceeds from the sale or other disposition of the notes. Holders of the 2024 Notes should consult their own tax advisors regarding FATCA and how it may affect their investment in the notes.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3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Global capital markets could enter a period of severe disruption and instability due to future recessions, disease pandemics and other serious health events, political instability, geopolitical turmoil and foreign hostilities.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107" w:lineRule="exact"/>
        <w:rPr>
          <w:sz w:val="20"/>
          <w:szCs w:val="20"/>
          <w:color w:val="auto"/>
        </w:rPr>
      </w:pPr>
    </w:p>
    <w:p>
      <w:pPr>
        <w:ind w:right="20" w:firstLine="456"/>
        <w:spacing w:after="0" w:line="227" w:lineRule="auto"/>
        <w:rPr>
          <w:sz w:val="20"/>
          <w:szCs w:val="20"/>
          <w:color w:val="auto"/>
        </w:rPr>
      </w:pPr>
      <w:r>
        <w:rPr>
          <w:rFonts w:ascii="Times New Roman" w:cs="Times New Roman" w:eastAsia="Times New Roman" w:hAnsi="Times New Roman"/>
          <w:sz w:val="14"/>
          <w:szCs w:val="14"/>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15" w:lineRule="exact"/>
        <w:rPr>
          <w:sz w:val="20"/>
          <w:szCs w:val="20"/>
          <w:color w:val="auto"/>
        </w:rPr>
      </w:pPr>
    </w:p>
    <w:p>
      <w:pPr>
        <w:ind w:firstLine="456"/>
        <w:spacing w:after="0" w:line="227" w:lineRule="auto"/>
        <w:rPr>
          <w:sz w:val="20"/>
          <w:szCs w:val="20"/>
          <w:color w:val="auto"/>
        </w:rPr>
      </w:pPr>
      <w:r>
        <w:rPr>
          <w:rFonts w:ascii="Times New Roman" w:cs="Times New Roman" w:eastAsia="Times New Roman" w:hAnsi="Times New Roman"/>
          <w:sz w:val="14"/>
          <w:szCs w:val="14"/>
          <w:color w:val="auto"/>
        </w:rPr>
        <w:t>In December 2019, COVID-19 was first detected in the city of Wuhan in the Hubei province of China. The spread of COVID-19 has resulted in governmental orders imposing travel restrictions and prolonged closures of many corporate offices, retail stores, manufacturing facilities, factories and other common places of public congregation around the world, which has materially disrupted the demand for our portfolio companies’ products and services and is making it more difficult for our portfolio companies to conduct their businesses. In addition, supply chains worldwide have been interrupted, slowed, or rendered inoperable as a result of the COVID-19 pandemic, and an increasing number of individuals are becoming ill, quarantined, or otherwise unable to work and/or travel due to health reasons or governmental restrictions. Governmental mandates to control the outbreak have resulted in forced shutdowns of our portfolio companies’ facilities for extended periods. While many states have begun to ease such governmental restrictions, these prolonged disruptions in the business of our portfolio companies, including disruptions in their supply chains, have adversely affected their ability to obtain the necessary raw materials or components to make their products and caused a decline in the demand for their products or services. This may require, or in some cases already has required, our portfolio companies to furlough or lay off employees, terminate relationships with service providers or otherwise significantly curtail their standard business operations, which would likely cause, or already has caused, a negative impact on their operating results.</w:t>
      </w:r>
    </w:p>
    <w:p>
      <w:pPr>
        <w:spacing w:after="0" w:line="115" w:lineRule="exact"/>
        <w:rPr>
          <w:sz w:val="20"/>
          <w:szCs w:val="20"/>
          <w:color w:val="auto"/>
        </w:rPr>
      </w:pPr>
    </w:p>
    <w:p>
      <w:pPr>
        <w:ind w:right="60" w:firstLine="456"/>
        <w:spacing w:after="0"/>
        <w:rPr>
          <w:sz w:val="20"/>
          <w:szCs w:val="20"/>
          <w:color w:val="auto"/>
        </w:rPr>
      </w:pPr>
      <w:r>
        <w:rPr>
          <w:rFonts w:ascii="Times New Roman" w:cs="Times New Roman" w:eastAsia="Times New Roman" w:hAnsi="Times New Roman"/>
          <w:sz w:val="14"/>
          <w:szCs w:val="14"/>
          <w:color w:val="auto"/>
        </w:rPr>
        <w:t>The global impact of the COVID-19 outbreak continues to evolve and is adversely affecting our operations and the operations of our portfolio companies. The COVID-19 pandemic has resulted in, and will continue to result in, among other things, the following: (i) increased draws by borrowers on revolving lines of credit; (ii) increased requests by borrowers for amendments and waivers of their credit agreements to avoid default, increased defaults by such borrowers and/or increased difficulty in obtaining refinancing at the maturity dates of their loans; (iii) volatility and disruption of markets including greater volatility in pricing and spreads, difficulty in valuing loans during periods of increased volatility, and liquidity issues; (iv) reduction in certain interest rates by the U.S. Federal Reserve and other central banks and decreased LIBOR; and (v) unfavorable economic conditions that would be expected to increase borrowers’ funding costs, limit borrowers’ access to the capital markets or result in a decision by lenders not to extend credit to borrowers. These factors are limiting our portfolio companies’ access to capital in a time of great economic distress. While government authorities have introduced creative proposals to address the needs of businesses, such actions may not be sufficient to address the problems facing our portfolio companies.</w:t>
      </w:r>
    </w:p>
    <w:p>
      <w:pPr>
        <w:spacing w:after="0" w:line="210" w:lineRule="exact"/>
        <w:rPr>
          <w:sz w:val="20"/>
          <w:szCs w:val="20"/>
          <w:color w:val="auto"/>
        </w:rPr>
      </w:pPr>
    </w:p>
    <w:p>
      <w:pPr>
        <w:ind w:right="220" w:firstLine="456"/>
        <w:spacing w:after="0" w:line="233" w:lineRule="auto"/>
        <w:rPr>
          <w:sz w:val="20"/>
          <w:szCs w:val="20"/>
          <w:color w:val="auto"/>
        </w:rPr>
      </w:pPr>
      <w:r>
        <w:rPr>
          <w:rFonts w:ascii="Times New Roman" w:cs="Times New Roman" w:eastAsia="Times New Roman" w:hAnsi="Times New Roman"/>
          <w:sz w:val="14"/>
          <w:szCs w:val="14"/>
          <w:color w:val="auto"/>
        </w:rPr>
        <w:t>The outbreak has led to a continued adverse impact on economic and market conditions and may trigger a prolonged period of global economic slowdown. The full impact on global markets from COVID-19 is difficult to predict, and the degree to which COVID-19 will continue to negatively affect our operating results or the duration of any potential business disruption remains uncertain. The full negative impact of COVID-19 on our business and results of operations will depend to a large extent on future developments and new information that may emerge regarding the duration and severity of COVID-19, the possibility of a resurgence and the actions taken by authorities and other entities to lift restrictions on business operations and open the economy, all of which are beyond our control. These future events, while unpredictable, will likely adversely affect our operating results and the operating results of our portfolio companies.</w:t>
      </w:r>
    </w:p>
    <w:p>
      <w:pPr>
        <w:spacing w:after="0" w:line="110" w:lineRule="exact"/>
        <w:rPr>
          <w:sz w:val="20"/>
          <w:szCs w:val="20"/>
          <w:color w:val="auto"/>
        </w:rPr>
      </w:pPr>
    </w:p>
    <w:p>
      <w:pPr>
        <w:ind w:right="80" w:firstLine="456"/>
        <w:spacing w:after="0" w:line="225" w:lineRule="auto"/>
        <w:rPr>
          <w:sz w:val="20"/>
          <w:szCs w:val="20"/>
          <w:color w:val="auto"/>
        </w:rPr>
      </w:pPr>
      <w:r>
        <w:rPr>
          <w:rFonts w:ascii="Times New Roman" w:cs="Times New Roman" w:eastAsia="Times New Roman" w:hAnsi="Times New Roman"/>
          <w:sz w:val="14"/>
          <w:szCs w:val="14"/>
          <w:color w:val="auto"/>
        </w:rPr>
        <w:t>In addition, on January 31, 2020, the United Kingdom withdrew from the European Union (“Brexit”), entering into a negotiated transition period during which the United Kingdom remains in the European Union single market and customs union and remains subject to European Union laws and regulations. The transition period is scheduled to end at midnight (CET) on December 31, 2020. During the transition period, the parties are to negotiate agreements addressing a range of aspects of the future relationship, foremost among them a free trade agreement. It remains unclear which aspects of the future relationship between the United Kingdom and the European Union will, in fact, be agreed by the deadline, or whether certain aspects (for example, trade in goods, but not services) will be addressed and others deferred, or alternatively whether the parties will fail to reach agreement in time on fundamental trade matters, causing the United Kingdom to default to World Trade Organization rules. The United Kingdom and the European Union are therefore in a period of legal, regulatory and political uncertainty. As a consequence of continued uncertainty surrounding Brexit, the financial markets have experienced high levels of volatility. While such uncertainty most directly affects the United Kingdom and the European Union, global markets have suffered immediate and significant disruption. It is likely that, in the near term, uncertainty over Brexit will continue to bring about higher levels of uncertainty and volatility. During this period of uncertainty, the negative impact on not only the United Kingdom and European economies, but also the broader global economy, could be significant. This would potentially result in increased market and currency volatility (including volatility of the value of the British pound sterling relative to the U.S. dollar and other currencies and volatility in global currency markets generally), and illiquidity and lower economic growth for companies that rely significantly on Europe for their business activities and revenues. Once there is clarity, however, the outcomes following the transition period are likely to affect, among others, trade in goods and services (including the regime that will replace the existing passporting regimes for financial and other services); immigration rules and the ability to move employees across borders; legal and regulatory regimes; and market access rules.</w:t>
      </w:r>
    </w:p>
    <w:p>
      <w:pPr>
        <w:spacing w:after="0" w:line="117" w:lineRule="exact"/>
        <w:rPr>
          <w:sz w:val="20"/>
          <w:szCs w:val="20"/>
          <w:color w:val="auto"/>
        </w:rPr>
      </w:pPr>
    </w:p>
    <w:p>
      <w:pPr>
        <w:ind w:right="20" w:firstLine="456"/>
        <w:spacing w:after="0" w:line="231" w:lineRule="auto"/>
        <w:rPr>
          <w:sz w:val="20"/>
          <w:szCs w:val="20"/>
          <w:color w:val="auto"/>
        </w:rPr>
      </w:pPr>
      <w:r>
        <w:rPr>
          <w:rFonts w:ascii="Times New Roman" w:cs="Times New Roman" w:eastAsia="Times New Roman" w:hAnsi="Times New Roman"/>
          <w:sz w:val="14"/>
          <w:szCs w:val="14"/>
          <w:color w:val="auto"/>
        </w:rPr>
        <w:t>Additional risks associated with the outcome of Brexit include macroeconomic risk to the United Kingdom and European economies, impetus for further disintegration of the European Union and related political stresses (including those related to sentiment against cross border capital movements and activities of investors like us), prejudice to financial services business that are conducting business in the European Union and which are based in the United Kingdom, legal uncertainty regarding achievement of compliance with applicable financial and commercial laws and regulations in view of the expected steps to be taken pursuant to the United Kingdom’s exit from the European Union or in contemplation of negotiations undertaken under Article 218 of the Treaty on the Functioning of the European Union, and the unavailability of timely information as to expected legal, tax and other regimes. We will continue to monitor the potential impact of Brexit on our results of operations and financial condition.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We are currently operating in a period of capital markets disruption and economic uncertainty.</w:t>
      </w:r>
    </w:p>
    <w:p>
      <w:pPr>
        <w:spacing w:after="0" w:line="140" w:lineRule="exact"/>
        <w:rPr>
          <w:sz w:val="20"/>
          <w:szCs w:val="20"/>
          <w:color w:val="auto"/>
        </w:rPr>
      </w:pPr>
    </w:p>
    <w:p>
      <w:pPr>
        <w:ind w:right="40" w:firstLine="456"/>
        <w:spacing w:after="0" w:line="229" w:lineRule="auto"/>
        <w:rPr>
          <w:sz w:val="20"/>
          <w:szCs w:val="20"/>
          <w:color w:val="auto"/>
        </w:rPr>
      </w:pPr>
      <w:r>
        <w:rPr>
          <w:rFonts w:ascii="Times New Roman" w:cs="Times New Roman" w:eastAsia="Times New Roman" w:hAnsi="Times New Roman"/>
          <w:sz w:val="14"/>
          <w:szCs w:val="14"/>
          <w:color w:val="auto"/>
        </w:rPr>
        <w:t>The U.S. capital markets have experienced extreme volatility and disruption following the global outbreak of COVID-19. Some economists and major investment banks have expressed concern that the continued spread of the virus globally could lead to a prolonged period of world-wide economic downturn. Disruptions in the capital markets have increased the spread between the yields realized on risk-free and higher risk securities, resulting in illiquidity in parts of the capital markets. Such disruptions are adversely affecting our business, financial condition, results of operations and cash flows, and future market disruptions and/or illiquidity will continue to negatively impact us. These unfavorable economic conditions are also increasing our funding costs and limiting our access to the capital markets, and may result in a decision by lenders not to extend credit to us in the future. These events have limited and will continue to limit our investment originations, limit our ability to grow and negatively impact our operating results and the fair values of our debt and equity investments. We also face an increased risk of investor, creditor or portfolio company disputes, litigation and governmental and regulatory scrutiny as a result of the effects of COVID-19 on economic and market conditions.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Volatility or a prolonged disruption in the credit markets could materially damage our business.</w:t>
      </w:r>
    </w:p>
    <w:p>
      <w:pPr>
        <w:spacing w:after="0" w:line="127"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equity and debt capital. As a BDC, we are generally not able to issue additional shares of our common stock at a price less than our NAV without first obtaining approval for such issuance from our stockholders and our independent directors. Additionally, our ability to incur indebtedness is limited by the asset coverage ratio requirements for a BDC, as defined under the 1940 Act, exclusive of the SBA debentures pursuant to our SEC exemptive relief. Declining portfolio values negatively impact our ability to borrow additional funds under our Credit Facility because our NAV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lengthy disruption in the credit markets could also materially decrease demand for our investments and could materially damage our business, financial condition and results of operations.</w:t>
      </w:r>
    </w:p>
    <w:p>
      <w:pPr>
        <w:spacing w:after="0" w:line="113" w:lineRule="exact"/>
        <w:rPr>
          <w:sz w:val="20"/>
          <w:szCs w:val="20"/>
          <w:color w:val="auto"/>
        </w:rPr>
      </w:pPr>
    </w:p>
    <w:p>
      <w:pPr>
        <w:ind w:right="20" w:firstLine="438"/>
        <w:spacing w:after="0"/>
        <w:rPr>
          <w:sz w:val="20"/>
          <w:szCs w:val="20"/>
          <w:color w:val="auto"/>
        </w:rPr>
      </w:pPr>
      <w:r>
        <w:rPr>
          <w:rFonts w:ascii="Times New Roman" w:cs="Times New Roman" w:eastAsia="Times New Roman" w:hAnsi="Times New Roman"/>
          <w:sz w:val="14"/>
          <w:szCs w:val="14"/>
          <w:color w:val="auto"/>
        </w:rPr>
        <w:t>The significant disruptions in the capital markets experienced in the past has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investments we originate and could have a material adverse impact on our business, financial condition and results of operations. This may also increase the probability that other structural risks negatively impact us. These situations may arise due to circumstances that we may be unable to control, such as a lengthy disruption in the credit markets, a severe decline in the value of the U.S. dollar, a sharp economic downturn or recession or an operational problem that affects third parties or us, and could materially damage our business,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Economic sanction laws in the United States and other jurisdictions may prohibit us and our affiliates from transacting with certain countries, individuals and companies.</w:t>
      </w:r>
    </w:p>
    <w:p>
      <w:pPr>
        <w:spacing w:after="0" w:line="127" w:lineRule="exact"/>
        <w:rPr>
          <w:sz w:val="20"/>
          <w:szCs w:val="20"/>
          <w:color w:val="auto"/>
        </w:rPr>
      </w:pPr>
    </w:p>
    <w:p>
      <w:pPr>
        <w:ind w:right="60" w:firstLine="438"/>
        <w:spacing w:after="0" w:line="233" w:lineRule="auto"/>
        <w:rPr>
          <w:sz w:val="20"/>
          <w:szCs w:val="20"/>
          <w:color w:val="auto"/>
        </w:rPr>
      </w:pPr>
      <w:r>
        <w:rPr>
          <w:rFonts w:ascii="Times New Roman" w:cs="Times New Roman" w:eastAsia="Times New Roman" w:hAnsi="Times New Roman"/>
          <w:sz w:val="14"/>
          <w:szCs w:val="14"/>
          <w:color w:val="auto"/>
        </w:rPr>
        <w:t>Economic sanction laws in the United States and other jurisdictions may prohibit us or our affiliates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w:t>
      </w:r>
    </w:p>
    <w:p>
      <w:pPr>
        <w:spacing w:after="0" w:line="110" w:lineRule="exact"/>
        <w:rPr>
          <w:sz w:val="20"/>
          <w:szCs w:val="20"/>
          <w:color w:val="auto"/>
        </w:rPr>
      </w:pPr>
    </w:p>
    <w:p>
      <w:pPr>
        <w:ind w:right="60" w:firstLine="438"/>
        <w:spacing w:after="0" w:line="229" w:lineRule="auto"/>
        <w:rPr>
          <w:sz w:val="20"/>
          <w:szCs w:val="20"/>
          <w:color w:val="auto"/>
        </w:rPr>
      </w:pPr>
      <w:r>
        <w:rPr>
          <w:rFonts w:ascii="Times New Roman" w:cs="Times New Roman" w:eastAsia="Times New Roman" w:hAnsi="Times New Roman"/>
          <w:sz w:val="14"/>
          <w:szCs w:val="14"/>
          <w:color w:val="auto"/>
        </w:rPr>
        <w:t>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 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 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be the target of litigation.</w:t>
      </w:r>
    </w:p>
    <w:p>
      <w:pPr>
        <w:spacing w:after="0" w:line="127"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We may be the target of securities litigation in the future, particularly if the trading price of our common stock and our 2024 Notes fluctuates significantly. We could also generally be subject to litigation, including derivative actions by our stockholders. Any litigation could result in substantial costs and divert management’s attention and resources from our business and cause a material adverse effect on our business, financial condition and results of operations.</w:t>
      </w:r>
    </w:p>
    <w:p>
      <w:pPr>
        <w:spacing w:after="0" w:line="1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i w:val="1"/>
          <w:iCs w:val="1"/>
          <w:color w:val="auto"/>
        </w:rPr>
        <w:t>The effect of global climate change may impact the operations of our portfolio companies.</w:t>
      </w:r>
    </w:p>
    <w:p>
      <w:pPr>
        <w:spacing w:after="0" w:line="140" w:lineRule="exact"/>
        <w:rPr>
          <w:sz w:val="20"/>
          <w:szCs w:val="20"/>
          <w:color w:val="auto"/>
        </w:rPr>
      </w:pPr>
    </w:p>
    <w:p>
      <w:pPr>
        <w:ind w:right="60" w:firstLine="438"/>
        <w:spacing w:after="0"/>
        <w:rPr>
          <w:sz w:val="20"/>
          <w:szCs w:val="20"/>
          <w:color w:val="auto"/>
        </w:rPr>
      </w:pPr>
      <w:r>
        <w:rPr>
          <w:rFonts w:ascii="Times New Roman" w:cs="Times New Roman" w:eastAsia="Times New Roman" w:hAnsi="Times New Roman"/>
          <w:sz w:val="14"/>
          <w:szCs w:val="14"/>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for example, decreased revenues. Extreme weather conditions in general require more system backup, adding to costs, and can contribute to increased system stresses, including service interruptions.</w:t>
      </w:r>
    </w:p>
    <w:p>
      <w:pPr>
        <w:spacing w:after="0" w:line="21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4"/>
          <w:szCs w:val="14"/>
          <w:b w:val="1"/>
          <w:bCs w:val="1"/>
          <w:color w:val="auto"/>
        </w:rPr>
        <w:t>Item 1B.</w:t>
      </w:r>
      <w:r>
        <w:rPr>
          <w:sz w:val="20"/>
          <w:szCs w:val="20"/>
          <w:color w:val="auto"/>
        </w:rPr>
        <w:tab/>
      </w:r>
      <w:r>
        <w:rPr>
          <w:rFonts w:ascii="Times New Roman" w:cs="Times New Roman" w:eastAsia="Times New Roman" w:hAnsi="Times New Roman"/>
          <w:sz w:val="14"/>
          <w:szCs w:val="14"/>
          <w:b w:val="1"/>
          <w:bCs w:val="1"/>
          <w:color w:val="auto"/>
        </w:rPr>
        <w:t>Unresolved Staff Comments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25" w:lineRule="exact"/>
        <w:rPr>
          <w:sz w:val="20"/>
          <w:szCs w:val="20"/>
          <w:color w:val="auto"/>
        </w:rPr>
      </w:pPr>
    </w:p>
    <w:p>
      <w:pPr>
        <w:ind w:right="80" w:firstLine="438"/>
        <w:spacing w:after="0" w:line="261" w:lineRule="auto"/>
        <w:rPr>
          <w:sz w:val="20"/>
          <w:szCs w:val="20"/>
          <w:color w:val="auto"/>
        </w:rPr>
      </w:pPr>
      <w:r>
        <w:rPr>
          <w:rFonts w:ascii="Times New Roman" w:cs="Times New Roman" w:eastAsia="Times New Roman" w:hAnsi="Times New Roman"/>
          <w:sz w:val="14"/>
          <w:szCs w:val="14"/>
          <w:color w:val="auto"/>
        </w:rPr>
        <w:t>As of September 30, 2020, we did not own any real estate or other physical properties materially important to our operation. We believe that the office facilities of the Investment Adviser and Administrator are suitable and adequate for our business as it is contemplated to be conducted.</w:t>
      </w:r>
    </w:p>
    <w:p>
      <w:pPr>
        <w:spacing w:after="0" w:line="9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38"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tabs>
          <w:tab w:leader="none" w:pos="1060" w:val="left"/>
        </w:tabs>
        <w:rPr>
          <w:sz w:val="20"/>
          <w:szCs w:val="20"/>
          <w:color w:val="auto"/>
        </w:rPr>
      </w:pPr>
      <w:r>
        <w:rPr>
          <w:rFonts w:ascii="Times New Roman" w:cs="Times New Roman" w:eastAsia="Times New Roman" w:hAnsi="Times New Roman"/>
          <w:sz w:val="14"/>
          <w:szCs w:val="14"/>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4"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277"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Market for Registrant’s Common Equity, Related Stockholder Matters and Issuer Purchases of Equity Securities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PRICE RANGE OF COMMON STOCK</w:t>
      </w:r>
    </w:p>
    <w:p>
      <w:pPr>
        <w:spacing w:after="0" w:line="273" w:lineRule="exact"/>
        <w:rPr>
          <w:sz w:val="20"/>
          <w:szCs w:val="20"/>
          <w:color w:val="auto"/>
        </w:rPr>
      </w:pPr>
    </w:p>
    <w:p>
      <w:pPr>
        <w:ind w:right="220" w:firstLine="438"/>
        <w:spacing w:after="0" w:line="241" w:lineRule="auto"/>
        <w:rPr>
          <w:sz w:val="20"/>
          <w:szCs w:val="20"/>
          <w:color w:val="auto"/>
        </w:rPr>
      </w:pPr>
      <w:r>
        <w:rPr>
          <w:rFonts w:ascii="Times New Roman" w:cs="Times New Roman" w:eastAsia="Times New Roman" w:hAnsi="Times New Roman"/>
          <w:sz w:val="14"/>
          <w:szCs w:val="14"/>
          <w:color w:val="auto"/>
        </w:rPr>
        <w:t>Our common stock is traded on The Nasdaq Global Select Market under the symbol “PNNT.” The following table lists the high and low closing sale prices for our common stock, the closing sale prices as a premium or (discount) to our NAV per share and distributions per share on The Nasdaq Global Select Market for each full quarterly period within the fiscal years ended September 30, 2020 and 2019.</w:t>
      </w: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5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Premium /</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4"/>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Closing Sale Prices</w:t>
            </w:r>
          </w:p>
        </w:tc>
        <w:tc>
          <w:tcPr>
            <w:tcW w:w="240" w:type="dxa"/>
            <w:vAlign w:val="bottom"/>
            <w:vMerge w:val="restart"/>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50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High Sale</w:t>
            </w:r>
          </w:p>
        </w:tc>
        <w:tc>
          <w:tcPr>
            <w:tcW w:w="150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Low Sale</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xml:space="preserve">NAV </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Low</w:t>
            </w: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Price to NAV </w:t>
            </w:r>
            <w:r>
              <w:rPr>
                <w:rFonts w:ascii="Times New Roman" w:cs="Times New Roman" w:eastAsia="Times New Roman" w:hAnsi="Times New Roman"/>
                <w:sz w:val="12"/>
                <w:szCs w:val="12"/>
                <w:b w:val="1"/>
                <w:bCs w:val="1"/>
                <w:color w:val="auto"/>
              </w:rPr>
              <w:t>(2)</w:t>
            </w:r>
          </w:p>
        </w:tc>
        <w:tc>
          <w:tcPr>
            <w:tcW w:w="150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 xml:space="preserve">Price to NAV </w:t>
            </w:r>
            <w:r>
              <w:rPr>
                <w:rFonts w:ascii="Times New Roman" w:cs="Times New Roman" w:eastAsia="Times New Roman" w:hAnsi="Times New Roman"/>
                <w:sz w:val="12"/>
                <w:szCs w:val="12"/>
                <w:b w:val="1"/>
                <w:bCs w:val="1"/>
                <w:color w:val="auto"/>
              </w:rPr>
              <w:t>(2)</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56"/>
        </w:trPr>
        <w:tc>
          <w:tcPr>
            <w:tcW w:w="314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Year Ended September 30, 2020</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86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3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240" w:type="dxa"/>
            <w:vAlign w:val="bottom"/>
          </w:tcPr>
          <w:p>
            <w:pPr>
              <w:spacing w:after="0"/>
              <w:rPr>
                <w:sz w:val="14"/>
                <w:szCs w:val="14"/>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(52)%</w:t>
            </w:r>
          </w:p>
        </w:tc>
        <w:tc>
          <w:tcPr>
            <w:tcW w:w="1500" w:type="dxa"/>
            <w:vAlign w:val="bottom"/>
            <w:gridSpan w:val="3"/>
          </w:tcPr>
          <w:p>
            <w:pPr>
              <w:ind w:left="880"/>
              <w:spacing w:after="0"/>
              <w:rPr>
                <w:sz w:val="20"/>
                <w:szCs w:val="20"/>
                <w:color w:val="auto"/>
              </w:rPr>
            </w:pPr>
            <w:r>
              <w:rPr>
                <w:rFonts w:ascii="Times New Roman" w:cs="Times New Roman" w:eastAsia="Times New Roman" w:hAnsi="Times New Roman"/>
                <w:sz w:val="14"/>
                <w:szCs w:val="14"/>
                <w:color w:val="auto"/>
              </w:rPr>
              <w:t>(62)%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4"/>
                <w:szCs w:val="14"/>
                <w:color w:val="auto"/>
              </w:rPr>
              <w:t>(46)</w:t>
            </w:r>
          </w:p>
        </w:tc>
        <w:tc>
          <w:tcPr>
            <w:tcW w:w="140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240" w:type="dxa"/>
            <w:vAlign w:val="bottom"/>
          </w:tcPr>
          <w:p>
            <w:pPr>
              <w:spacing w:after="0"/>
              <w:rPr>
                <w:sz w:val="14"/>
                <w:szCs w:val="14"/>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(13)</w:t>
            </w: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4"/>
                <w:szCs w:val="14"/>
                <w:color w:val="auto"/>
              </w:rPr>
              <w:t>(22)</w:t>
            </w:r>
          </w:p>
        </w:tc>
        <w:tc>
          <w:tcPr>
            <w:tcW w:w="140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 2019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Fourth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6.71</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4"/>
                <w:szCs w:val="14"/>
                <w:color w:val="auto"/>
              </w:rPr>
              <w:t>(23)</w:t>
            </w:r>
          </w:p>
        </w:tc>
        <w:tc>
          <w:tcPr>
            <w:tcW w:w="140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Third quarter</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240" w:type="dxa"/>
            <w:vAlign w:val="bottom"/>
          </w:tcPr>
          <w:p>
            <w:pPr>
              <w:spacing w:after="0"/>
              <w:rPr>
                <w:sz w:val="14"/>
                <w:szCs w:val="14"/>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(18)</w:t>
            </w: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quarter</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2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6.61</w:t>
            </w:r>
          </w:p>
        </w:tc>
        <w:tc>
          <w:tcPr>
            <w:tcW w:w="2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4"/>
                <w:szCs w:val="14"/>
                <w:color w:val="auto"/>
              </w:rPr>
              <w:t>(17)</w:t>
            </w:r>
          </w:p>
        </w:tc>
        <w:tc>
          <w:tcPr>
            <w:tcW w:w="1400" w:type="dxa"/>
            <w:vAlign w:val="bottom"/>
            <w:gridSpan w:val="2"/>
            <w:shd w:val="clear" w:color="auto" w:fill="CCECFF"/>
          </w:tcPr>
          <w:p>
            <w:pPr>
              <w:ind w:left="880"/>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140" w:type="dxa"/>
            <w:vAlign w:val="bottom"/>
          </w:tcPr>
          <w:p>
            <w:pPr>
              <w:spacing w:after="0"/>
              <w:rPr>
                <w:sz w:val="20"/>
                <w:szCs w:val="20"/>
                <w:color w:val="auto"/>
              </w:rPr>
            </w:pPr>
            <w:r>
              <w:rPr>
                <w:rFonts w:ascii="Times New Roman" w:cs="Times New Roman" w:eastAsia="Times New Roman" w:hAnsi="Times New Roman"/>
                <w:sz w:val="14"/>
                <w:szCs w:val="14"/>
                <w:color w:val="auto"/>
              </w:rPr>
              <w:t>First quarter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240" w:type="dxa"/>
            <w:vAlign w:val="bottom"/>
          </w:tcPr>
          <w:p>
            <w:pPr>
              <w:spacing w:after="0"/>
              <w:rPr>
                <w:sz w:val="16"/>
                <w:szCs w:val="16"/>
                <w:color w:val="auto"/>
              </w:rPr>
            </w:pP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(16)</w:t>
            </w:r>
          </w:p>
        </w:tc>
        <w:tc>
          <w:tcPr>
            <w:tcW w:w="140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80" w:right="60" w:hanging="372"/>
        <w:spacing w:after="0" w:line="183" w:lineRule="auto"/>
        <w:tabs>
          <w:tab w:leader="none" w:pos="380" w:val="left"/>
        </w:tabs>
        <w:numPr>
          <w:ilvl w:val="0"/>
          <w:numId w:val="47"/>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Times New Roman" w:cs="Times New Roman" w:eastAsia="Times New Roman" w:hAnsi="Times New Roman"/>
          <w:sz w:val="20"/>
          <w:szCs w:val="20"/>
          <w:b w:val="1"/>
          <w:bCs w:val="1"/>
          <w:color w:val="auto"/>
          <w:vertAlign w:val="superscript"/>
        </w:rPr>
      </w:pPr>
    </w:p>
    <w:p>
      <w:pPr>
        <w:ind w:left="380" w:hanging="372"/>
        <w:spacing w:after="0" w:line="180" w:lineRule="auto"/>
        <w:tabs>
          <w:tab w:leader="none" w:pos="380" w:val="left"/>
        </w:tabs>
        <w:numPr>
          <w:ilvl w:val="0"/>
          <w:numId w:val="47"/>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0"/>
          <w:szCs w:val="10"/>
          <w:color w:val="auto"/>
        </w:rPr>
        <w:t>Calculated as the respective high or low closing sales price less NAV per share, divided by the quarter-end NAV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1345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99" w:lineRule="exact"/>
        <w:rPr>
          <w:sz w:val="20"/>
          <w:szCs w:val="20"/>
          <w:color w:val="auto"/>
        </w:rPr>
      </w:pPr>
    </w:p>
    <w:p>
      <w:pPr>
        <w:ind w:right="240" w:firstLine="438"/>
        <w:spacing w:after="0" w:line="236" w:lineRule="auto"/>
        <w:rPr>
          <w:sz w:val="20"/>
          <w:szCs w:val="20"/>
          <w:color w:val="auto"/>
        </w:rPr>
      </w:pPr>
      <w:r>
        <w:rPr>
          <w:rFonts w:ascii="Times New Roman" w:cs="Times New Roman" w:eastAsia="Times New Roman" w:hAnsi="Times New Roman"/>
          <w:sz w:val="14"/>
          <w:szCs w:val="14"/>
          <w:color w:val="auto"/>
        </w:rPr>
        <w:t>Shares of BDCs may trade at a market price both above and below the NAV that is attributable to those shares. Our shares have traded above and below our NAV. Our shares closed on The Nasdaq Global Select Market at $3.19 and $6.27 as of September 30, 2020 and 2019, respectively. Our NAV per share was $7.84 and $8.68 as of the same dates.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2020, we had 8 stockholders of record.</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of Unregistered Securities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did not engage in any sales of unregistered securities during the year ended September 30, 2020.</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Securities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did not repurchase any of our common stock during the year ended September 30, 2020.</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DISTRIBUTIONS</w:t>
      </w:r>
    </w:p>
    <w:p>
      <w:pPr>
        <w:spacing w:after="0" w:line="138"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09" w:lineRule="exact"/>
        <w:rPr>
          <w:sz w:val="20"/>
          <w:szCs w:val="20"/>
          <w:color w:val="auto"/>
        </w:rPr>
      </w:pPr>
    </w:p>
    <w:p>
      <w:pPr>
        <w:ind w:right="160" w:firstLine="438"/>
        <w:spacing w:after="0" w:line="261" w:lineRule="auto"/>
        <w:rPr>
          <w:sz w:val="20"/>
          <w:szCs w:val="20"/>
          <w:color w:val="auto"/>
        </w:rPr>
      </w:pPr>
      <w:r>
        <w:rPr>
          <w:rFonts w:ascii="Times New Roman" w:cs="Times New Roman" w:eastAsia="Times New Roman" w:hAnsi="Times New Roman"/>
          <w:sz w:val="14"/>
          <w:szCs w:val="14"/>
          <w:color w:val="auto"/>
        </w:rPr>
        <w:t>In January 2021, a Form 1099-DIV will be sent to stockholders subject to information reporting that will state the amount and composition of distributions and provide information with respect to appropriate tax treatment of our distributions.</w:t>
      </w:r>
    </w:p>
    <w:p>
      <w:pPr>
        <w:spacing w:after="0" w:line="82" w:lineRule="exact"/>
        <w:rPr>
          <w:sz w:val="20"/>
          <w:szCs w:val="20"/>
          <w:color w:val="auto"/>
        </w:rPr>
      </w:pPr>
    </w:p>
    <w:p>
      <w:pPr>
        <w:ind w:right="100" w:firstLine="438"/>
        <w:spacing w:after="0" w:line="261" w:lineRule="auto"/>
        <w:rPr>
          <w:sz w:val="20"/>
          <w:szCs w:val="20"/>
          <w:color w:val="auto"/>
        </w:rPr>
      </w:pPr>
      <w:r>
        <w:rPr>
          <w:rFonts w:ascii="Times New Roman" w:cs="Times New Roman" w:eastAsia="Times New Roman" w:hAnsi="Times New Roman"/>
          <w:sz w:val="14"/>
          <w:szCs w:val="14"/>
          <w:color w:val="auto"/>
        </w:rPr>
        <w:t>The tax characteristics of distributions declared, in accordance with Section 19(a) of the 1940 Act, during the years ended September 30, 2020 and 2019 from ordinary income (including short-term gains), if any, totaled $40.2 million and $48.4 million, or $0.60 and $0.72 per share, respectively, based on the weighted average shares outstanding for the respective periods.</w:t>
      </w:r>
    </w:p>
    <w:p>
      <w:pPr>
        <w:spacing w:after="0" w:line="95" w:lineRule="exact"/>
        <w:rPr>
          <w:sz w:val="20"/>
          <w:szCs w:val="20"/>
          <w:color w:val="auto"/>
        </w:rPr>
      </w:pPr>
    </w:p>
    <w:p>
      <w:pPr>
        <w:ind w:right="60" w:firstLine="438"/>
        <w:spacing w:after="0" w:line="261" w:lineRule="auto"/>
        <w:rPr>
          <w:sz w:val="20"/>
          <w:szCs w:val="20"/>
          <w:color w:val="auto"/>
        </w:rPr>
      </w:pPr>
      <w:r>
        <w:rPr>
          <w:rFonts w:ascii="Times New Roman" w:cs="Times New Roman" w:eastAsia="Times New Roman" w:hAnsi="Times New Roman"/>
          <w:sz w:val="14"/>
          <w:szCs w:val="14"/>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95"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Performance Graph</w:t>
      </w:r>
    </w:p>
    <w:p>
      <w:pPr>
        <w:spacing w:after="0" w:line="140"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This graph compares the return on our common stock with that of the Standard &amp; Poor’s 500 Stock Index and the Russell 2000 Financial Services Index, for the last five fiscal years. The graph assumes that, on September 30, 2015, a person invested $100 in each of our common stock, the S&amp;P 500 Index, and the Russell 2000 Financial Services Index. The graph measures total stockholder return, which takes into account both changes in stock price and distributions. It assumes that distributions paid are invested in like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83820</wp:posOffset>
            </wp:positionV>
            <wp:extent cx="5915025" cy="4080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15025"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60" w:firstLine="438"/>
        <w:spacing w:after="0" w:line="261" w:lineRule="auto"/>
        <w:rPr>
          <w:sz w:val="20"/>
          <w:szCs w:val="20"/>
          <w:color w:val="auto"/>
        </w:rPr>
      </w:pPr>
      <w:r>
        <w:rPr>
          <w:rFonts w:ascii="Times New Roman" w:cs="Times New Roman" w:eastAsia="Times New Roman" w:hAnsi="Times New Roman"/>
          <w:sz w:val="14"/>
          <w:szCs w:val="14"/>
          <w:color w:val="auto"/>
        </w:rPr>
        <w:t>The graph and other information furnished under this Part II Item 5 of this Report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4"/>
          <w:szCs w:val="14"/>
          <w:b w:val="1"/>
          <w:bCs w:val="1"/>
          <w:color w:val="auto"/>
        </w:rPr>
        <w:t>Fees and Expenses</w:t>
      </w:r>
    </w:p>
    <w:p>
      <w:pPr>
        <w:spacing w:after="0" w:line="206" w:lineRule="exact"/>
        <w:rPr>
          <w:sz w:val="20"/>
          <w:szCs w:val="20"/>
          <w:color w:val="auto"/>
        </w:rPr>
      </w:pPr>
    </w:p>
    <w:p>
      <w:pPr>
        <w:ind w:right="80" w:firstLine="365"/>
        <w:spacing w:after="0" w:line="233" w:lineRule="auto"/>
        <w:rPr>
          <w:sz w:val="20"/>
          <w:szCs w:val="20"/>
          <w:color w:val="auto"/>
        </w:rPr>
      </w:pPr>
      <w:r>
        <w:rPr>
          <w:rFonts w:ascii="Times New Roman" w:cs="Times New Roman" w:eastAsia="Times New Roman" w:hAnsi="Times New Roman"/>
          <w:sz w:val="14"/>
          <w:szCs w:val="14"/>
          <w:color w:val="auto"/>
        </w:rPr>
        <w:t>The following table is being provided to update, as of September 30, 2020, certain information in our registration statement on Form N-2 (File No. 333-230014), most recently declared effective by the SEC on January 30, 2020. 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reference is made to fees or expenses paid by “you” or “us” or that “we” will pay, stockholders will indirectly bear such fees or expenses as investors in us.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 transaction expenses</w:t>
            </w:r>
          </w:p>
        </w:tc>
        <w:tc>
          <w:tcPr>
            <w:tcW w:w="27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2"/>
        </w:trPr>
        <w:tc>
          <w:tcPr>
            <w:tcW w:w="83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Sales load (as a percentage of offering price)</w:t>
            </w:r>
          </w:p>
        </w:tc>
        <w:tc>
          <w:tcPr>
            <w:tcW w:w="2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w:t>
            </w:r>
          </w:p>
        </w:tc>
      </w:tr>
      <w:tr>
        <w:trPr>
          <w:trHeight w:val="162"/>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Offering expenses (as a percentage of offering price)</w:t>
            </w:r>
          </w:p>
        </w:tc>
        <w:tc>
          <w:tcPr>
            <w:tcW w:w="27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62"/>
        </w:trPr>
        <w:tc>
          <w:tcPr>
            <w:tcW w:w="83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Dividend reinvestment plan expenses</w:t>
            </w:r>
          </w:p>
        </w:tc>
        <w:tc>
          <w:tcPr>
            <w:tcW w:w="274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62"/>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 expenses (as a percentage of offering price)</w:t>
            </w:r>
          </w:p>
        </w:tc>
        <w:tc>
          <w:tcPr>
            <w:tcW w:w="27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r>
      <w:tr>
        <w:trPr>
          <w:trHeight w:val="162"/>
        </w:trPr>
        <w:tc>
          <w:tcPr>
            <w:tcW w:w="83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Estimated annual expenses (as a percentage of average net assets attributable to common shares)</w:t>
            </w:r>
            <w:r>
              <w:rPr>
                <w:rFonts w:ascii="Times New Roman" w:cs="Times New Roman" w:eastAsia="Times New Roman" w:hAnsi="Times New Roman"/>
                <w:sz w:val="12"/>
                <w:szCs w:val="12"/>
                <w:b w:val="1"/>
                <w:bCs w:val="1"/>
                <w:color w:val="auto"/>
              </w:rPr>
              <w:t>(4)</w:t>
            </w:r>
          </w:p>
        </w:tc>
        <w:tc>
          <w:tcPr>
            <w:tcW w:w="27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r>
      <w:tr>
        <w:trPr>
          <w:trHeight w:val="162"/>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Management fees</w:t>
            </w:r>
          </w:p>
        </w:tc>
        <w:tc>
          <w:tcPr>
            <w:tcW w:w="27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3.21</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62"/>
        </w:trPr>
        <w:tc>
          <w:tcPr>
            <w:tcW w:w="83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Incentive fees</w:t>
            </w:r>
          </w:p>
        </w:tc>
        <w:tc>
          <w:tcPr>
            <w:tcW w:w="274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0.83</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62"/>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Interest on borrowed funds</w:t>
            </w:r>
          </w:p>
        </w:tc>
        <w:tc>
          <w:tcPr>
            <w:tcW w:w="27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5.82</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62"/>
        </w:trPr>
        <w:tc>
          <w:tcPr>
            <w:tcW w:w="83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Acquired fund fees and expenses</w:t>
            </w:r>
          </w:p>
        </w:tc>
        <w:tc>
          <w:tcPr>
            <w:tcW w:w="274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2.12</w:t>
            </w:r>
          </w:p>
        </w:tc>
        <w:tc>
          <w:tcPr>
            <w:tcW w:w="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(8)</w:t>
            </w:r>
          </w:p>
        </w:tc>
      </w:tr>
      <w:tr>
        <w:trPr>
          <w:trHeight w:val="162"/>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w:t>
            </w:r>
          </w:p>
        </w:tc>
        <w:tc>
          <w:tcPr>
            <w:tcW w:w="27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1.45</w:t>
            </w: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62"/>
        </w:trPr>
        <w:tc>
          <w:tcPr>
            <w:tcW w:w="83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Total estimated annual expenses</w:t>
            </w:r>
          </w:p>
        </w:tc>
        <w:tc>
          <w:tcPr>
            <w:tcW w:w="29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 xml:space="preserve">13.43% </w:t>
            </w:r>
            <w:r>
              <w:rPr>
                <w:rFonts w:ascii="Times New Roman" w:cs="Times New Roman" w:eastAsia="Times New Roman" w:hAnsi="Times New Roman"/>
                <w:sz w:val="12"/>
                <w:szCs w:val="12"/>
                <w:color w:val="auto"/>
              </w:rPr>
              <w:t>(10)</w:t>
            </w:r>
          </w:p>
        </w:tc>
      </w:tr>
      <w:tr>
        <w:trPr>
          <w:trHeight w:val="41"/>
        </w:trPr>
        <w:tc>
          <w:tcPr>
            <w:tcW w:w="830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ind w:left="460" w:hanging="452"/>
        <w:spacing w:after="0" w:line="187" w:lineRule="auto"/>
        <w:tabs>
          <w:tab w:leader="none" w:pos="460" w:val="left"/>
        </w:tabs>
        <w:numPr>
          <w:ilvl w:val="0"/>
          <w:numId w:val="4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In the event that the securities to which any applicable prospectus relates are sold to or through underwriters or agents, a corresponding prospectus supplement will disclose the applicable sales load.</w:t>
      </w:r>
    </w:p>
    <w:p>
      <w:pPr>
        <w:ind w:left="460" w:right="80" w:hanging="452"/>
        <w:spacing w:after="0" w:line="190" w:lineRule="auto"/>
        <w:tabs>
          <w:tab w:leader="none" w:pos="460" w:val="left"/>
        </w:tabs>
        <w:numPr>
          <w:ilvl w:val="0"/>
          <w:numId w:val="48"/>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In the event that we conduct an offering of our securities, a corresponding prospectus supplement will disclose the estimated amount of offering expenses, the offering price and the offering expenses borne by us as a percentage of the offering price.</w:t>
      </w:r>
    </w:p>
    <w:p>
      <w:pPr>
        <w:spacing w:after="0" w:line="40" w:lineRule="exact"/>
        <w:rPr>
          <w:rFonts w:ascii="Times New Roman" w:cs="Times New Roman" w:eastAsia="Times New Roman" w:hAnsi="Times New Roman"/>
          <w:sz w:val="19"/>
          <w:szCs w:val="19"/>
          <w:b w:val="1"/>
          <w:bCs w:val="1"/>
          <w:color w:val="auto"/>
          <w:vertAlign w:val="superscript"/>
        </w:rPr>
      </w:pPr>
    </w:p>
    <w:p>
      <w:pPr>
        <w:ind w:left="460" w:hanging="452"/>
        <w:spacing w:after="0"/>
        <w:tabs>
          <w:tab w:leader="none" w:pos="460" w:val="left"/>
        </w:tabs>
        <w:numPr>
          <w:ilvl w:val="0"/>
          <w:numId w:val="4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The expenses of the dividend reinvestment plan are included in “Other expenses.”</w:t>
      </w:r>
    </w:p>
    <w:p>
      <w:pPr>
        <w:spacing w:after="0" w:line="101" w:lineRule="exact"/>
        <w:rPr>
          <w:rFonts w:ascii="Times New Roman" w:cs="Times New Roman" w:eastAsia="Times New Roman" w:hAnsi="Times New Roman"/>
          <w:sz w:val="20"/>
          <w:szCs w:val="20"/>
          <w:b w:val="1"/>
          <w:bCs w:val="1"/>
          <w:color w:val="auto"/>
          <w:vertAlign w:val="superscript"/>
        </w:rPr>
      </w:pPr>
    </w:p>
    <w:p>
      <w:pPr>
        <w:ind w:left="460" w:hanging="452"/>
        <w:spacing w:after="0" w:line="184" w:lineRule="auto"/>
        <w:tabs>
          <w:tab w:leader="none" w:pos="460" w:val="left"/>
        </w:tabs>
        <w:numPr>
          <w:ilvl w:val="0"/>
          <w:numId w:val="48"/>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Net assets attributable to common shares equals average net assets as of September 30, 2020.</w:t>
      </w:r>
    </w:p>
    <w:p>
      <w:pPr>
        <w:spacing w:after="0" w:line="120" w:lineRule="exact"/>
        <w:rPr>
          <w:rFonts w:ascii="Times New Roman" w:cs="Times New Roman" w:eastAsia="Times New Roman" w:hAnsi="Times New Roman"/>
          <w:sz w:val="19"/>
          <w:szCs w:val="19"/>
          <w:b w:val="1"/>
          <w:bCs w:val="1"/>
          <w:color w:val="auto"/>
          <w:vertAlign w:val="superscript"/>
        </w:rPr>
      </w:pPr>
    </w:p>
    <w:p>
      <w:pPr>
        <w:ind w:left="460" w:right="140" w:hanging="452"/>
        <w:spacing w:after="0" w:line="185" w:lineRule="auto"/>
        <w:tabs>
          <w:tab w:leader="none" w:pos="460" w:val="left"/>
        </w:tabs>
        <w:numPr>
          <w:ilvl w:val="0"/>
          <w:numId w:val="4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The contractual management fee is calculated at an annual rate of 1.50% of our average adjusted gross assets up to 200% of the Company’s total net assets as of the immediately preceding quarter-end and 1.00% for amounts that exceed such amount on September 30, 2020. See “Business—Investment Management Agreement” and “Business—Management Fees” for more information.</w:t>
      </w:r>
    </w:p>
    <w:p>
      <w:pPr>
        <w:spacing w:after="0" w:line="121" w:lineRule="exact"/>
        <w:rPr>
          <w:rFonts w:ascii="Times New Roman" w:cs="Times New Roman" w:eastAsia="Times New Roman" w:hAnsi="Times New Roman"/>
          <w:sz w:val="20"/>
          <w:szCs w:val="20"/>
          <w:b w:val="1"/>
          <w:bCs w:val="1"/>
          <w:color w:val="auto"/>
          <w:vertAlign w:val="superscript"/>
        </w:rPr>
      </w:pPr>
    </w:p>
    <w:p>
      <w:pPr>
        <w:ind w:left="460" w:right="20" w:hanging="452"/>
        <w:spacing w:after="0" w:line="219" w:lineRule="auto"/>
        <w:tabs>
          <w:tab w:leader="none" w:pos="460" w:val="left"/>
        </w:tabs>
        <w:numPr>
          <w:ilvl w:val="0"/>
          <w:numId w:val="4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The portion of incentive fees paid with respect to net investment income and capital gains, if any, is based on actual amounts incurred during the fiscal year ended September 30, 2020.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17.5%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The Investment Adviser has voluntarily agreed, in consultation with our board of directors, to irrevocably waive the performance-based incentive fees for the period from April 1, 2020 through September 30, 2020. For purposes of this chart and our Consolidated Financial Statements, our incentive fees on capital gains are calculated in accordance with GAAP. As we cannot predict our future net investment income or capital gains, the incentive fee paid in future periods, if any, may be substantially different than the fee earned during the fiscal year ended September 30, 2020. For more detailed information about the incentive fee, please see “Business—Investment Management Agreement” and “Business—Management Fees” for more information.</w:t>
      </w:r>
    </w:p>
    <w:p>
      <w:pPr>
        <w:spacing w:after="0" w:line="123" w:lineRule="exact"/>
        <w:rPr>
          <w:rFonts w:ascii="Times New Roman" w:cs="Times New Roman" w:eastAsia="Times New Roman" w:hAnsi="Times New Roman"/>
          <w:sz w:val="20"/>
          <w:szCs w:val="20"/>
          <w:b w:val="1"/>
          <w:bCs w:val="1"/>
          <w:color w:val="auto"/>
          <w:vertAlign w:val="superscript"/>
        </w:rPr>
      </w:pPr>
    </w:p>
    <w:p>
      <w:pPr>
        <w:ind w:left="460" w:right="160" w:hanging="452"/>
        <w:spacing w:after="0" w:line="214" w:lineRule="auto"/>
        <w:tabs>
          <w:tab w:leader="none" w:pos="460" w:val="left"/>
        </w:tabs>
        <w:numPr>
          <w:ilvl w:val="0"/>
          <w:numId w:val="4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As of September 30, 2020, we had $86.7 million of unused borrowing capacity, subject to maintenance of the applicable total assets to debt ratio, under the 1940 Act. As of such date, we had $388.3 million in borrowings outstanding under our $475.0 million Truist Credit Facility and $86.3 million in aggregate principal of 2024 Notes. As of September 30, 2020, our SBIC Funds had debenture commitments from the SBA in the amount of $118.5 million, all of which were outstanding with a weighted average interest rate of 3.2%, exclusive of the 3.4% of upfront fees. We may use proceeds of any offering of securities under any applicable registration statement to repay outstanding obligations under our Credit Facilities. After completing any such offering, we may continue to borrow under our Credit Facilities to finance our investment objectives. Annual interest expense on borrowed funds represents actual interest expense incurred for the fiscal year ended September 30, 2020 and amendment costs and make-whole premiums, if any, and we caution you that our actual interest expense will depend on prevailing interest rates and our rate of borrowing, which may be substantially higher than the estimate provided in this table.</w:t>
      </w:r>
    </w:p>
    <w:p>
      <w:pPr>
        <w:spacing w:after="0" w:line="1" w:lineRule="exact"/>
        <w:rPr>
          <w:rFonts w:ascii="Times New Roman" w:cs="Times New Roman" w:eastAsia="Times New Roman" w:hAnsi="Times New Roman"/>
          <w:sz w:val="20"/>
          <w:szCs w:val="20"/>
          <w:b w:val="1"/>
          <w:bCs w:val="1"/>
          <w:color w:val="auto"/>
          <w:vertAlign w:val="superscript"/>
        </w:rPr>
      </w:pPr>
    </w:p>
    <w:p>
      <w:pPr>
        <w:ind w:left="460" w:hanging="452"/>
        <w:spacing w:after="0" w:line="187" w:lineRule="auto"/>
        <w:tabs>
          <w:tab w:leader="none" w:pos="460" w:val="left"/>
        </w:tabs>
        <w:numPr>
          <w:ilvl w:val="0"/>
          <w:numId w:val="48"/>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Our stockholders indirectly bear 72.0% of the expenses of our investment in PSLF. No management fee is charged by PennantPark Investment Advisers in connection with PSLF. PSLF pays the Administrator an annual fee of</w:t>
      </w:r>
    </w:p>
    <w:p>
      <w:pPr>
        <w:ind w:left="460" w:right="60"/>
        <w:spacing w:after="0" w:line="234" w:lineRule="auto"/>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12"/>
          <w:szCs w:val="12"/>
          <w:color w:val="auto"/>
        </w:rPr>
        <w:t>0.25% of average gross assets under management. For this chart, PSLF fees and operating expenses are based on our share of the actual fees and operating expenses of PSLF for the fiscal year ended September 30, 2020. Expenses for PSLF may fluctuate over time and may be substantially higher or lower in the future.</w:t>
      </w:r>
    </w:p>
    <w:p>
      <w:pPr>
        <w:ind w:left="460" w:right="20" w:hanging="452"/>
        <w:spacing w:after="0" w:line="192" w:lineRule="auto"/>
        <w:tabs>
          <w:tab w:leader="none" w:pos="460" w:val="left"/>
        </w:tabs>
        <w:numPr>
          <w:ilvl w:val="0"/>
          <w:numId w:val="4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Additionally, “Other expenses” also includes one-time PSLF transaction costs in the amount of $2.2 million. Such expenses are based on estimated amounts for the current fiscal year.</w:t>
      </w:r>
    </w:p>
    <w:p>
      <w:pPr>
        <w:ind w:left="460" w:right="40" w:hanging="452"/>
        <w:spacing w:after="0" w:line="202" w:lineRule="auto"/>
        <w:tabs>
          <w:tab w:leader="none" w:pos="460" w:val="left"/>
        </w:tabs>
        <w:numPr>
          <w:ilvl w:val="0"/>
          <w:numId w:val="4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5.92% of average total assets.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Example</w:t>
      </w:r>
    </w:p>
    <w:p>
      <w:pPr>
        <w:spacing w:after="0" w:line="98" w:lineRule="exact"/>
        <w:rPr>
          <w:sz w:val="20"/>
          <w:szCs w:val="20"/>
          <w:color w:val="auto"/>
        </w:rPr>
      </w:pPr>
    </w:p>
    <w:p>
      <w:pPr>
        <w:ind w:right="100" w:firstLine="456"/>
        <w:spacing w:after="0" w:line="241" w:lineRule="auto"/>
        <w:rPr>
          <w:sz w:val="20"/>
          <w:szCs w:val="20"/>
          <w:color w:val="auto"/>
        </w:rPr>
      </w:pPr>
      <w:r>
        <w:rPr>
          <w:rFonts w:ascii="Times New Roman" w:cs="Times New Roman" w:eastAsia="Times New Roman" w:hAnsi="Times New Roman"/>
          <w:sz w:val="14"/>
          <w:szCs w:val="14"/>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0.51%, (2) total net annual expenses of 12.60% of average net assets attributable to common shares as set forth in the table above (other than performance-based incentive fees) and (3) a 5% annual return.</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You would pay the following expenses on a $1,000 common stock investment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1 Years</w:t>
            </w:r>
          </w:p>
        </w:tc>
        <w:tc>
          <w:tcPr>
            <w:tcW w:w="14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3 Years</w:t>
            </w:r>
          </w:p>
        </w:tc>
        <w:tc>
          <w:tcPr>
            <w:tcW w:w="160" w:type="dxa"/>
            <w:vAlign w:val="bottom"/>
          </w:tcPr>
          <w:p>
            <w:pPr>
              <w:spacing w:after="0"/>
              <w:rPr>
                <w:sz w:val="15"/>
                <w:szCs w:val="15"/>
                <w:color w:val="auto"/>
              </w:rPr>
            </w:pPr>
          </w:p>
        </w:tc>
        <w:tc>
          <w:tcPr>
            <w:tcW w:w="8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10 Years</w:t>
            </w:r>
          </w:p>
        </w:tc>
      </w:tr>
      <w:tr>
        <w:trPr>
          <w:trHeight w:val="155"/>
        </w:trPr>
        <w:tc>
          <w:tcPr>
            <w:tcW w:w="654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Assuming a 5% annual return (assumes no return from net realized capital gains or net</w:t>
            </w:r>
          </w:p>
        </w:tc>
        <w:tc>
          <w:tcPr>
            <w:tcW w:w="1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r>
      <w:tr>
        <w:trPr>
          <w:trHeight w:val="162"/>
        </w:trPr>
        <w:tc>
          <w:tcPr>
            <w:tcW w:w="654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unrealized capital appreciation)</w:t>
            </w:r>
          </w:p>
        </w:tc>
        <w:tc>
          <w:tcPr>
            <w:tcW w:w="2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rPr>
              <w:t>152</w:t>
            </w:r>
          </w:p>
        </w:tc>
        <w:tc>
          <w:tcPr>
            <w:tcW w:w="140" w:type="dxa"/>
            <w:vAlign w:val="bottom"/>
            <w:shd w:val="clear" w:color="auto" w:fill="CCECFF"/>
          </w:tcPr>
          <w:p>
            <w:pPr>
              <w:spacing w:after="0"/>
              <w:rPr>
                <w:sz w:val="14"/>
                <w:szCs w:val="14"/>
                <w:color w:val="auto"/>
              </w:rPr>
            </w:pPr>
          </w:p>
        </w:tc>
        <w:tc>
          <w:tcPr>
            <w:tcW w:w="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CFF"/>
          </w:tcPr>
          <w:p>
            <w:pPr>
              <w:jc w:val="right"/>
              <w:ind w:right="328"/>
              <w:spacing w:after="0"/>
              <w:rPr>
                <w:sz w:val="20"/>
                <w:szCs w:val="20"/>
                <w:color w:val="auto"/>
              </w:rPr>
            </w:pPr>
            <w:r>
              <w:rPr>
                <w:rFonts w:ascii="Times New Roman" w:cs="Times New Roman" w:eastAsia="Times New Roman" w:hAnsi="Times New Roman"/>
                <w:sz w:val="14"/>
                <w:szCs w:val="14"/>
                <w:color w:val="auto"/>
              </w:rPr>
              <w:t>360</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CFF"/>
          </w:tcPr>
          <w:p>
            <w:pPr>
              <w:jc w:val="right"/>
              <w:ind w:right="348"/>
              <w:spacing w:after="0"/>
              <w:rPr>
                <w:sz w:val="20"/>
                <w:szCs w:val="20"/>
                <w:color w:val="auto"/>
              </w:rPr>
            </w:pPr>
            <w:r>
              <w:rPr>
                <w:rFonts w:ascii="Times New Roman" w:cs="Times New Roman" w:eastAsia="Times New Roman" w:hAnsi="Times New Roman"/>
                <w:sz w:val="14"/>
                <w:szCs w:val="14"/>
                <w:color w:val="auto"/>
              </w:rPr>
              <w:t>538</w:t>
            </w:r>
          </w:p>
        </w:tc>
        <w:tc>
          <w:tcPr>
            <w:tcW w:w="2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CFF"/>
          </w:tcPr>
          <w:p>
            <w:pPr>
              <w:jc w:val="right"/>
              <w:ind w:right="368"/>
              <w:spacing w:after="0"/>
              <w:rPr>
                <w:sz w:val="20"/>
                <w:szCs w:val="20"/>
                <w:color w:val="auto"/>
              </w:rPr>
            </w:pPr>
            <w:r>
              <w:rPr>
                <w:rFonts w:ascii="Times New Roman" w:cs="Times New Roman" w:eastAsia="Times New Roman" w:hAnsi="Times New Roman"/>
                <w:sz w:val="14"/>
                <w:szCs w:val="14"/>
                <w:color w:val="auto"/>
              </w:rPr>
              <w:t>876</w:t>
            </w:r>
          </w:p>
        </w:tc>
      </w:tr>
      <w:tr>
        <w:trPr>
          <w:trHeight w:val="153"/>
        </w:trPr>
        <w:tc>
          <w:tcPr>
            <w:tcW w:w="654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Assuming a 5% annual return (assumes return only from realized capital gains and thus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8"/>
        </w:trPr>
        <w:tc>
          <w:tcPr>
            <w:tcW w:w="6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subject to the capital gains incentive fee)</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378</w:t>
            </w:r>
          </w:p>
        </w:tc>
        <w:tc>
          <w:tcPr>
            <w:tcW w:w="14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561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898</w:t>
            </w:r>
          </w:p>
        </w:tc>
      </w:tr>
    </w:tbl>
    <w:p>
      <w:pPr>
        <w:spacing w:after="0" w:line="109" w:lineRule="exact"/>
        <w:rPr>
          <w:sz w:val="20"/>
          <w:szCs w:val="20"/>
          <w:color w:val="auto"/>
        </w:rPr>
      </w:pPr>
    </w:p>
    <w:p>
      <w:pPr>
        <w:ind w:firstLine="365"/>
        <w:spacing w:after="0" w:line="231" w:lineRule="auto"/>
        <w:rPr>
          <w:sz w:val="20"/>
          <w:szCs w:val="20"/>
          <w:color w:val="auto"/>
        </w:rPr>
      </w:pPr>
      <w:r>
        <w:rPr>
          <w:rFonts w:ascii="Times New Roman" w:cs="Times New Roman" w:eastAsia="Times New Roman" w:hAnsi="Times New Roman"/>
          <w:sz w:val="14"/>
          <w:szCs w:val="14"/>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returns on our investments, including realized capital gains, result in an incentive fee, our expenses, and returns to investors, would be higher. The example assumes that all distributions are reinvested at NAV. Reinvestment of distributions under our dividend reinvestment plan may occur at a price per share that differs from NAV. See “Distributions” for more information.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39" w:name="page40"/>
    <w:bookmarkEnd w:id="39"/>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Selected Financial Data</w:t>
      </w:r>
    </w:p>
    <w:p>
      <w:pPr>
        <w:spacing w:after="0" w:line="138" w:lineRule="exact"/>
        <w:rPr>
          <w:sz w:val="20"/>
          <w:szCs w:val="20"/>
          <w:color w:val="auto"/>
        </w:rPr>
      </w:pPr>
    </w:p>
    <w:p>
      <w:pPr>
        <w:jc w:val="both"/>
        <w:ind w:right="40" w:firstLine="438"/>
        <w:spacing w:after="0" w:line="241" w:lineRule="auto"/>
        <w:rPr>
          <w:sz w:val="20"/>
          <w:szCs w:val="20"/>
          <w:color w:val="auto"/>
        </w:rPr>
      </w:pPr>
      <w:r>
        <w:rPr>
          <w:rFonts w:ascii="Times New Roman" w:cs="Times New Roman" w:eastAsia="Times New Roman" w:hAnsi="Times New Roman"/>
          <w:sz w:val="14"/>
          <w:szCs w:val="14"/>
          <w:color w:val="auto"/>
        </w:rPr>
        <w:t>We have derived the data below from our audited and unaudited financial data. The Consolidated Statements of Operations data, per share data and Consolidated Statements of Assets and Liabilities data presented are derived from our audited Consolidated Financial Statements. These selected financial data should be read in conjunction with our Consolidated Financial Statements and related notes thereto and “Management’s Discussion and Analysis of Financial Condition and Results of Operations.”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years ended September 30,</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44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CFF"/>
            </w:tcBorders>
          </w:tcPr>
          <w:p>
            <w:pPr>
              <w:spacing w:after="0"/>
              <w:rPr>
                <w:sz w:val="13"/>
                <w:szCs w:val="13"/>
                <w:color w:val="auto"/>
              </w:rPr>
            </w:pPr>
          </w:p>
        </w:tc>
        <w:tc>
          <w:tcPr>
            <w:tcW w:w="20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bottom w:val="single" w:sz="8" w:color="CCECFF"/>
            </w:tcBorders>
          </w:tcPr>
          <w:p>
            <w:pPr>
              <w:spacing w:after="0"/>
              <w:rPr>
                <w:sz w:val="13"/>
                <w:szCs w:val="13"/>
                <w:color w:val="auto"/>
              </w:rPr>
            </w:pPr>
          </w:p>
        </w:tc>
        <w:tc>
          <w:tcPr>
            <w:tcW w:w="1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1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bottom w:val="single" w:sz="8" w:color="CCECFF"/>
            </w:tcBorders>
          </w:tcPr>
          <w:p>
            <w:pPr>
              <w:spacing w:after="0"/>
              <w:rPr>
                <w:sz w:val="13"/>
                <w:szCs w:val="13"/>
                <w:color w:val="auto"/>
              </w:rPr>
            </w:pPr>
          </w:p>
        </w:tc>
      </w:tr>
      <w:tr>
        <w:trPr>
          <w:trHeight w:val="156"/>
        </w:trPr>
        <w:tc>
          <w:tcPr>
            <w:tcW w:w="440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(Dollar amounts in thousands, except per share data)</w:t>
            </w: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data:</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investment income</w:t>
            </w: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100,225</w:t>
            </w:r>
          </w:p>
        </w:tc>
        <w:tc>
          <w:tcPr>
            <w:tcW w:w="180" w:type="dxa"/>
            <w:vAlign w:val="bottom"/>
            <w:shd w:val="clear" w:color="auto" w:fill="CCECFF"/>
          </w:tcPr>
          <w:p>
            <w:pPr>
              <w:spacing w:after="0"/>
              <w:rPr>
                <w:sz w:val="14"/>
                <w:szCs w:val="14"/>
                <w:color w:val="auto"/>
              </w:rPr>
            </w:pPr>
          </w:p>
        </w:tc>
        <w:tc>
          <w:tcPr>
            <w:tcW w:w="42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112,107</w:t>
            </w:r>
          </w:p>
        </w:tc>
        <w:tc>
          <w:tcPr>
            <w:tcW w:w="30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108,278</w:t>
            </w:r>
          </w:p>
        </w:tc>
        <w:tc>
          <w:tcPr>
            <w:tcW w:w="140" w:type="dxa"/>
            <w:vAlign w:val="bottom"/>
            <w:shd w:val="clear" w:color="auto" w:fill="CCECFF"/>
          </w:tcPr>
          <w:p>
            <w:pPr>
              <w:spacing w:after="0"/>
              <w:rPr>
                <w:sz w:val="14"/>
                <w:szCs w:val="14"/>
                <w:color w:val="auto"/>
              </w:rPr>
            </w:pPr>
          </w:p>
        </w:tc>
        <w:tc>
          <w:tcPr>
            <w:tcW w:w="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124,534</w:t>
            </w:r>
          </w:p>
        </w:tc>
        <w:tc>
          <w:tcPr>
            <w:tcW w:w="120" w:type="dxa"/>
            <w:vAlign w:val="bottom"/>
            <w:shd w:val="clear" w:color="auto" w:fill="CCECFF"/>
          </w:tcPr>
          <w:p>
            <w:pPr>
              <w:spacing w:after="0"/>
              <w:rPr>
                <w:sz w:val="14"/>
                <w:szCs w:val="14"/>
                <w:color w:val="auto"/>
              </w:rPr>
            </w:pPr>
          </w:p>
        </w:tc>
        <w:tc>
          <w:tcPr>
            <w:tcW w:w="400" w:type="dxa"/>
            <w:vAlign w:val="bottom"/>
            <w:gridSpan w:val="2"/>
            <w:shd w:val="clear" w:color="auto" w:fill="CCEC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142,071</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61,495</w:t>
            </w:r>
          </w:p>
        </w:tc>
        <w:tc>
          <w:tcPr>
            <w:tcW w:w="1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67,510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54,944</w:t>
            </w: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68,096</w:t>
            </w: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71,456</w:t>
            </w:r>
          </w:p>
        </w:tc>
        <w:tc>
          <w:tcPr>
            <w:tcW w:w="140" w:type="dxa"/>
            <w:vAlign w:val="bottom"/>
          </w:tcPr>
          <w:p>
            <w:pPr>
              <w:spacing w:after="0"/>
              <w:rPr>
                <w:sz w:val="14"/>
                <w:szCs w:val="14"/>
                <w:color w:val="auto"/>
              </w:rPr>
            </w:pP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38,730</w:t>
            </w: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44,597</w:t>
            </w:r>
          </w:p>
        </w:tc>
        <w:tc>
          <w:tcPr>
            <w:tcW w:w="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53,334</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56,438</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70,615</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Net realized and change in unrealized (loss) gain</w:t>
            </w:r>
          </w:p>
        </w:tc>
        <w:tc>
          <w:tcPr>
            <w:tcW w:w="2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(54,700)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(28,672)</w:t>
            </w:r>
          </w:p>
        </w:tc>
        <w:tc>
          <w:tcPr>
            <w:tcW w:w="24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(5,621)</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(51,878)</w:t>
            </w: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(15,970)</w:t>
            </w: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15,925</w:t>
            </w:r>
          </w:p>
        </w:tc>
        <w:tc>
          <w:tcPr>
            <w:tcW w:w="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47,713</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61,712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18,737</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asset value</w:t>
            </w: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2"/>
                <w:szCs w:val="12"/>
                <w:color w:val="auto"/>
              </w:rPr>
              <w:t>(2)</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40" w:type="dxa"/>
            <w:vAlign w:val="bottom"/>
          </w:tcPr>
          <w:p>
            <w:pPr>
              <w:spacing w:after="0"/>
              <w:rPr>
                <w:sz w:val="14"/>
                <w:szCs w:val="14"/>
                <w:color w:val="auto"/>
              </w:rPr>
            </w:pP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Net realized and unrealized (loss) gain </w:t>
            </w:r>
            <w:r>
              <w:rPr>
                <w:rFonts w:ascii="Times New Roman" w:cs="Times New Roman" w:eastAsia="Times New Roman" w:hAnsi="Times New Roman"/>
                <w:sz w:val="12"/>
                <w:szCs w:val="12"/>
                <w:color w:val="auto"/>
              </w:rPr>
              <w:t>(2)</w:t>
            </w: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(0.82)</w:t>
            </w: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(0.42)</w:t>
            </w:r>
          </w:p>
        </w:tc>
        <w:tc>
          <w:tcPr>
            <w:tcW w:w="24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(0.07)</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(0.73)</w:t>
            </w: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increase (decrease) in net assets resulting from operations </w:t>
            </w:r>
            <w:r>
              <w:rPr>
                <w:rFonts w:ascii="Times New Roman" w:cs="Times New Roman" w:eastAsia="Times New Roman" w:hAnsi="Times New Roman"/>
                <w:sz w:val="12"/>
                <w:szCs w:val="12"/>
                <w:color w:val="auto"/>
              </w:rPr>
              <w:t>(2)</w:t>
            </w:r>
          </w:p>
        </w:tc>
        <w:tc>
          <w:tcPr>
            <w:tcW w:w="2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40" w:type="dxa"/>
            <w:vAlign w:val="bottom"/>
          </w:tcPr>
          <w:p>
            <w:pPr>
              <w:spacing w:after="0"/>
              <w:rPr>
                <w:sz w:val="14"/>
                <w:szCs w:val="14"/>
                <w:color w:val="auto"/>
              </w:rPr>
            </w:pP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Distributions declared </w:t>
            </w:r>
            <w:r>
              <w:rPr>
                <w:rFonts w:ascii="Times New Roman" w:cs="Times New Roman" w:eastAsia="Times New Roman" w:hAnsi="Times New Roman"/>
                <w:sz w:val="12"/>
                <w:szCs w:val="12"/>
                <w:color w:val="auto"/>
              </w:rPr>
              <w:t>(2), (3)</w:t>
            </w: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0.60</w:t>
            </w: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0.72</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 data:</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1,114,353</w:t>
            </w: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1,285,838</w:t>
            </w:r>
          </w:p>
        </w:tc>
        <w:tc>
          <w:tcPr>
            <w:tcW w:w="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1,160,119</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1,202,196</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1,238,936</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Total investment portfolio</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1,081,771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1,219,433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1,132,085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1,153,578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1,153,680</w:t>
            </w:r>
          </w:p>
        </w:tc>
        <w:tc>
          <w:tcPr>
            <w:tcW w:w="140" w:type="dxa"/>
            <w:vAlign w:val="bottom"/>
          </w:tcPr>
          <w:p>
            <w:pPr>
              <w:spacing w:after="0"/>
              <w:rPr>
                <w:sz w:val="14"/>
                <w:szCs w:val="14"/>
                <w:color w:val="auto"/>
              </w:rPr>
            </w:pP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Borrowings outstanding </w:t>
            </w:r>
            <w:r>
              <w:rPr>
                <w:rFonts w:ascii="Times New Roman" w:cs="Times New Roman" w:eastAsia="Times New Roman" w:hAnsi="Times New Roman"/>
                <w:sz w:val="12"/>
                <w:szCs w:val="12"/>
                <w:color w:val="auto"/>
              </w:rPr>
              <w:t>(4)</w:t>
            </w: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568,312</w:t>
            </w: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683,758</w:t>
            </w:r>
          </w:p>
        </w:tc>
        <w:tc>
          <w:tcPr>
            <w:tcW w:w="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504,342</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526,067</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559,589</w:t>
            </w:r>
          </w:p>
        </w:tc>
        <w:tc>
          <w:tcPr>
            <w:tcW w:w="140" w:type="dxa"/>
            <w:vAlign w:val="bottom"/>
            <w:shd w:val="clear" w:color="auto" w:fill="CCECFF"/>
          </w:tcPr>
          <w:p>
            <w:pPr>
              <w:spacing w:after="0"/>
              <w:rPr>
                <w:sz w:val="14"/>
                <w:szCs w:val="14"/>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Total net asset value</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525,709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581,906</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628,902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646,808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643,367</w:t>
            </w:r>
          </w:p>
        </w:tc>
        <w:tc>
          <w:tcPr>
            <w:tcW w:w="140" w:type="dxa"/>
            <w:vAlign w:val="bottom"/>
          </w:tcPr>
          <w:p>
            <w:pPr>
              <w:spacing w:after="0"/>
              <w:rPr>
                <w:sz w:val="14"/>
                <w:szCs w:val="14"/>
                <w:color w:val="auto"/>
              </w:rPr>
            </w:pP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Other data:</w:t>
            </w: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r>
      <w:tr>
        <w:trPr>
          <w:trHeight w:val="162"/>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Total return </w:t>
            </w:r>
            <w:r>
              <w:rPr>
                <w:rFonts w:ascii="Times New Roman" w:cs="Times New Roman" w:eastAsia="Times New Roman" w:hAnsi="Times New Roman"/>
                <w:sz w:val="12"/>
                <w:szCs w:val="12"/>
                <w:color w:val="auto"/>
              </w:rPr>
              <w:t>(5)</w:t>
            </w:r>
          </w:p>
        </w:tc>
        <w:tc>
          <w:tcPr>
            <w:tcW w:w="24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(6.28)%</w:t>
            </w:r>
          </w:p>
        </w:tc>
        <w:tc>
          <w:tcPr>
            <w:tcW w:w="24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9.70%</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36.64%</w:t>
            </w:r>
          </w:p>
        </w:tc>
      </w:tr>
      <w:tr>
        <w:trPr>
          <w:trHeight w:val="162"/>
        </w:trPr>
        <w:tc>
          <w:tcPr>
            <w:tcW w:w="44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Number of portfolio companies </w:t>
            </w:r>
            <w:r>
              <w:rPr>
                <w:rFonts w:ascii="Times New Roman" w:cs="Times New Roman" w:eastAsia="Times New Roman" w:hAnsi="Times New Roman"/>
                <w:sz w:val="12"/>
                <w:szCs w:val="12"/>
                <w:color w:val="auto"/>
              </w:rPr>
              <w:t>(6)</w:t>
            </w: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3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40" w:type="dxa"/>
            <w:vAlign w:val="bottom"/>
            <w:shd w:val="clear" w:color="auto" w:fill="CCECFF"/>
          </w:tcPr>
          <w:p>
            <w:pPr>
              <w:spacing w:after="0"/>
              <w:rPr>
                <w:sz w:val="14"/>
                <w:szCs w:val="14"/>
                <w:color w:val="auto"/>
              </w:rPr>
            </w:pPr>
          </w:p>
        </w:tc>
      </w:tr>
      <w:tr>
        <w:trPr>
          <w:trHeight w:val="188"/>
        </w:trPr>
        <w:tc>
          <w:tcPr>
            <w:tcW w:w="440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Yield on debt portfolio </w:t>
            </w:r>
            <w:r>
              <w:rPr>
                <w:rFonts w:ascii="Times New Roman" w:cs="Times New Roman" w:eastAsia="Times New Roman" w:hAnsi="Times New Roman"/>
                <w:sz w:val="12"/>
                <w:szCs w:val="12"/>
                <w:color w:val="auto"/>
              </w:rPr>
              <w:t>(6)</w:t>
            </w:r>
          </w:p>
        </w:tc>
        <w:tc>
          <w:tcPr>
            <w:tcW w:w="2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9.8%</w:t>
            </w:r>
          </w:p>
        </w:tc>
        <w:tc>
          <w:tcPr>
            <w:tcW w:w="2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13455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ind w:left="380" w:hanging="372"/>
        <w:spacing w:after="0" w:line="230" w:lineRule="auto"/>
        <w:tabs>
          <w:tab w:leader="none" w:pos="380" w:val="left"/>
        </w:tabs>
        <w:numPr>
          <w:ilvl w:val="0"/>
          <w:numId w:val="49"/>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Expenses before base management fee and incentive fee waivers were $63,417, $56,371 and$73,743 for the years ended September 30, 2020, 2018 and 2017, respectively.</w:t>
      </w:r>
    </w:p>
    <w:p>
      <w:pPr>
        <w:ind w:left="380" w:hanging="372"/>
        <w:spacing w:after="0" w:line="187" w:lineRule="auto"/>
        <w:tabs>
          <w:tab w:leader="none" w:pos="380" w:val="left"/>
        </w:tabs>
        <w:numPr>
          <w:ilvl w:val="0"/>
          <w:numId w:val="49"/>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Based on the weighted average shares outstanding for the respective years.</w:t>
      </w:r>
    </w:p>
    <w:p>
      <w:pPr>
        <w:ind w:left="380" w:right="160" w:hanging="372"/>
        <w:spacing w:after="0" w:line="187" w:lineRule="auto"/>
        <w:tabs>
          <w:tab w:leader="none" w:pos="380" w:val="left"/>
        </w:tabs>
        <w:numPr>
          <w:ilvl w:val="0"/>
          <w:numId w:val="49"/>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The tax status of our distributions is calculated in accordance with income tax regulations, which may differ from amounts determined under GAAP and is reported on Form 1099-DIV each calendar year to stockholders subject to such information reporting.</w:t>
      </w:r>
    </w:p>
    <w:p>
      <w:pPr>
        <w:spacing w:after="0" w:line="1" w:lineRule="exact"/>
        <w:rPr>
          <w:rFonts w:ascii="Times New Roman" w:cs="Times New Roman" w:eastAsia="Times New Roman" w:hAnsi="Times New Roman"/>
          <w:sz w:val="19"/>
          <w:szCs w:val="19"/>
          <w:b w:val="1"/>
          <w:bCs w:val="1"/>
          <w:color w:val="auto"/>
          <w:vertAlign w:val="superscript"/>
        </w:rPr>
      </w:pPr>
    </w:p>
    <w:p>
      <w:pPr>
        <w:ind w:left="380" w:hanging="372"/>
        <w:spacing w:after="0" w:line="187" w:lineRule="auto"/>
        <w:tabs>
          <w:tab w:leader="none" w:pos="380" w:val="left"/>
        </w:tabs>
        <w:numPr>
          <w:ilvl w:val="0"/>
          <w:numId w:val="49"/>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At fair value, excluding our SBA debentures and our 2024 Notes.</w:t>
      </w:r>
    </w:p>
    <w:p>
      <w:pPr>
        <w:ind w:left="380" w:hanging="372"/>
        <w:spacing w:after="0" w:line="187" w:lineRule="auto"/>
        <w:tabs>
          <w:tab w:leader="none" w:pos="380" w:val="left"/>
        </w:tabs>
        <w:numPr>
          <w:ilvl w:val="0"/>
          <w:numId w:val="49"/>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Based on the change in market price per share during the period and assumes distributions, if any, are reinvested.</w:t>
      </w:r>
    </w:p>
    <w:p>
      <w:pPr>
        <w:ind w:left="380" w:hanging="372"/>
        <w:spacing w:after="0" w:line="180" w:lineRule="auto"/>
        <w:tabs>
          <w:tab w:leader="none" w:pos="380" w:val="left"/>
        </w:tabs>
        <w:numPr>
          <w:ilvl w:val="0"/>
          <w:numId w:val="49"/>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0"/>
          <w:szCs w:val="10"/>
          <w:color w:val="auto"/>
        </w:rPr>
        <w:t>Unaudited, at year end.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40" w:name="page41"/>
    <w:bookmarkEnd w:id="40"/>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25" w:lineRule="exact"/>
        <w:rPr>
          <w:sz w:val="20"/>
          <w:szCs w:val="20"/>
          <w:color w:val="auto"/>
        </w:rPr>
      </w:pPr>
    </w:p>
    <w:p>
      <w:pPr>
        <w:ind w:right="100" w:firstLine="438"/>
        <w:spacing w:after="0" w:line="236" w:lineRule="auto"/>
        <w:rPr>
          <w:sz w:val="20"/>
          <w:szCs w:val="20"/>
          <w:color w:val="auto"/>
        </w:rPr>
      </w:pPr>
      <w:r>
        <w:rPr>
          <w:rFonts w:ascii="Times New Roman" w:cs="Times New Roman" w:eastAsia="Times New Roman" w:hAnsi="Times New Roman"/>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09" w:lineRule="exact"/>
        <w:rPr>
          <w:sz w:val="20"/>
          <w:szCs w:val="20"/>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future operating results;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prospects and the prospects of our prospective portfolio companies, including as a result of the current pandemic caused by COVID-19;</w:t>
      </w:r>
    </w:p>
    <w:p>
      <w:pPr>
        <w:spacing w:after="0" w:line="136" w:lineRule="exact"/>
        <w:rPr>
          <w:rFonts w:ascii="Times New Roman" w:cs="Times New Roman" w:eastAsia="Times New Roman" w:hAnsi="Times New Roman"/>
          <w:sz w:val="14"/>
          <w:szCs w:val="14"/>
          <w:color w:val="auto"/>
        </w:rPr>
      </w:pPr>
    </w:p>
    <w:p>
      <w:pPr>
        <w:ind w:left="920" w:right="320" w:hanging="359"/>
        <w:spacing w:after="0" w:line="261" w:lineRule="auto"/>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95"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effectively manage our business due to the significant disruptions caused by the current COVID-19 pandemic;</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dependence of our future success on the general economy and its impact on the industries in which we invest;</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protracted decline in the liquidity of credit markets on our business;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investments that we expect to make;</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fluctuations in interest rates and foreign exchange rates on our business and our portfolio companies;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contractual arrangements and relationships with third parties;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our investments in portfolio companies, particularly those having no liquid trading market;</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prospective portfolio companies to achieve their objectives;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expected financings and investments;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adequacy of our cash resources and working capital;</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cash flows, if any, from the operations of our prospective portfolio companies;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price and volume fluctuations in the stock market;</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our Investment Adviser to locate suitable investments for us and to monitor and administer our investments;</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future legislation and regulation on our business and our portfolio companies;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Brexit and other world economic and political issues.</w:t>
      </w:r>
    </w:p>
    <w:p>
      <w:pPr>
        <w:spacing w:after="0" w:line="136" w:lineRule="exact"/>
        <w:rPr>
          <w:sz w:val="20"/>
          <w:szCs w:val="20"/>
          <w:color w:val="auto"/>
        </w:rPr>
      </w:pPr>
    </w:p>
    <w:p>
      <w:pPr>
        <w:ind w:right="140" w:firstLine="438"/>
        <w:spacing w:after="0" w:line="241" w:lineRule="auto"/>
        <w:rPr>
          <w:sz w:val="20"/>
          <w:szCs w:val="20"/>
          <w:color w:val="auto"/>
        </w:rPr>
      </w:pPr>
      <w:r>
        <w:rPr>
          <w:rFonts w:ascii="Times New Roman" w:cs="Times New Roman" w:eastAsia="Times New Roman" w:hAnsi="Times New Roman"/>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09"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 looking statement in this Report should not be regarded as a representation by us that our plans and objectives will be achieved.</w:t>
      </w:r>
    </w:p>
    <w:p>
      <w:pPr>
        <w:spacing w:after="0" w:line="96"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09" w:lineRule="exact"/>
        <w:rPr>
          <w:sz w:val="20"/>
          <w:szCs w:val="20"/>
          <w:color w:val="auto"/>
        </w:rPr>
      </w:pPr>
    </w:p>
    <w:p>
      <w:pPr>
        <w:ind w:right="520" w:firstLine="438"/>
        <w:spacing w:after="0" w:line="261" w:lineRule="auto"/>
        <w:rPr>
          <w:sz w:val="20"/>
          <w:szCs w:val="20"/>
          <w:color w:val="auto"/>
        </w:rPr>
      </w:pPr>
      <w:r>
        <w:rPr>
          <w:rFonts w:ascii="Times New Roman" w:cs="Times New Roman" w:eastAsia="Times New Roman" w:hAnsi="Times New Roman"/>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95" w:lineRule="exact"/>
        <w:rPr>
          <w:sz w:val="20"/>
          <w:szCs w:val="20"/>
          <w:color w:val="auto"/>
        </w:rPr>
      </w:pPr>
    </w:p>
    <w:p>
      <w:pPr>
        <w:ind w:right="560" w:firstLine="438"/>
        <w:spacing w:after="0" w:line="261" w:lineRule="auto"/>
        <w:rPr>
          <w:sz w:val="20"/>
          <w:szCs w:val="20"/>
          <w:color w:val="auto"/>
        </w:rPr>
      </w:pPr>
      <w:r>
        <w:rPr>
          <w:rFonts w:ascii="Times New Roman" w:cs="Times New Roman" w:eastAsia="Times New Roman" w:hAnsi="Times New Roman"/>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40" w:lineRule="exact"/>
        <w:rPr>
          <w:sz w:val="20"/>
          <w:szCs w:val="20"/>
          <w:color w:val="auto"/>
        </w:rPr>
      </w:pPr>
    </w:p>
    <w:p>
      <w:pPr>
        <w:ind w:right="240" w:firstLine="438"/>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subordinated debt and equity investments.</w:t>
      </w:r>
    </w:p>
    <w:p>
      <w:pPr>
        <w:spacing w:after="0" w:line="95"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We believe middle-market companies offer attractive risk-reward to investors due to a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8" w:right="359" w:bottom="1440" w:gutter="0" w:footer="0" w:header="0"/>
        </w:sectPr>
      </w:pPr>
    </w:p>
    <w:bookmarkStart w:id="41" w:name="page42"/>
    <w:bookmarkEnd w:id="41"/>
    <w:p>
      <w:pPr>
        <w:ind w:right="200" w:firstLine="438"/>
        <w:spacing w:after="0" w:line="241" w:lineRule="auto"/>
        <w:rPr>
          <w:sz w:val="20"/>
          <w:szCs w:val="20"/>
          <w:color w:val="auto"/>
        </w:rPr>
      </w:pPr>
      <w:r>
        <w:rPr>
          <w:rFonts w:ascii="Times New Roman" w:cs="Times New Roman" w:eastAsia="Times New Roman" w:hAnsi="Times New Roman"/>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 and Structure of PennantPark Investment Corporation</w:t>
      </w:r>
    </w:p>
    <w:p>
      <w:pPr>
        <w:spacing w:after="0" w:line="100"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55"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69" w:lineRule="exact"/>
        <w:rPr>
          <w:sz w:val="20"/>
          <w:szCs w:val="20"/>
          <w:color w:val="auto"/>
        </w:rPr>
      </w:pPr>
    </w:p>
    <w:p>
      <w:pPr>
        <w:ind w:right="40" w:firstLine="438"/>
        <w:spacing w:after="0"/>
        <w:rPr>
          <w:sz w:val="20"/>
          <w:szCs w:val="20"/>
          <w:color w:val="auto"/>
        </w:rPr>
      </w:pPr>
      <w:r>
        <w:rPr>
          <w:rFonts w:ascii="Times New Roman" w:cs="Times New Roman" w:eastAsia="Times New Roman" w:hAnsi="Times New Roman"/>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SBIC II under its investment management agreement. SBIC II’s investment management agreement does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SBIC II under its administration agreement with us. Our board of directors, a majority of whom are independent of us, provides overall supervision of our activities, and the Investment Adviser supervises our day-to-day activities.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COVID-19 Developments</w:t>
      </w:r>
    </w:p>
    <w:p>
      <w:pPr>
        <w:spacing w:after="0" w:line="140" w:lineRule="exact"/>
        <w:rPr>
          <w:sz w:val="20"/>
          <w:szCs w:val="20"/>
          <w:color w:val="auto"/>
        </w:rPr>
      </w:pPr>
    </w:p>
    <w:p>
      <w:pPr>
        <w:ind w:firstLine="451"/>
        <w:spacing w:after="0" w:line="228" w:lineRule="auto"/>
        <w:rPr>
          <w:sz w:val="20"/>
          <w:szCs w:val="20"/>
          <w:color w:val="auto"/>
        </w:rPr>
      </w:pPr>
      <w:r>
        <w:rPr>
          <w:rFonts w:ascii="Times New Roman" w:cs="Times New Roman" w:eastAsia="Times New Roman" w:hAnsi="Times New Roman"/>
          <w:sz w:val="14"/>
          <w:szCs w:val="14"/>
          <w:color w:val="auto"/>
        </w:rPr>
        <w:t>COVID-19 was first detected in December 2019 in the city of Wuhan in China and has since been identified as a global pandemic by the World Health Organization. In response, governmental authorities of affected jurisdictions, including those in the United States, have imposed travel restrictions and required the temporary closures of many corporate offices, retail stores, manufacturing facilities, factories and other common places of public congregation. These restrictions and “stay-at-home” orders have essentially resulted in the shutdown of all non-essential businesses, as defined by each governmental authority imposing the respective orders. The economic impact resulting from such restrictions has adversely affected the business operations of some, if not all, of our portfolio companies, as well as our own operations and the operations of our Adviser. While some jurisdictions have either lifted or started to ease certain restrictions on businesses, it is possible that a resurgence of COVID-19 will require additional closures in the future. We cannot predict with any level of certainty the magnitude of the ongoing impact to our business operations or the business operations of our portfolio companies due to the business and supply-chain disruptions caused by the COVID-19 pandemic and the resulting governmental responses. However, we expect such adverse effects to continue for the duration of the pandemic, and potentially for some time thereafter.</w:t>
      </w:r>
    </w:p>
    <w:p>
      <w:pPr>
        <w:spacing w:after="0" w:line="113" w:lineRule="exact"/>
        <w:rPr>
          <w:sz w:val="20"/>
          <w:szCs w:val="20"/>
          <w:color w:val="auto"/>
        </w:rPr>
      </w:pPr>
    </w:p>
    <w:p>
      <w:pPr>
        <w:ind w:right="120" w:firstLine="451"/>
        <w:spacing w:after="0" w:line="236" w:lineRule="auto"/>
        <w:rPr>
          <w:sz w:val="20"/>
          <w:szCs w:val="20"/>
          <w:color w:val="auto"/>
        </w:rPr>
      </w:pPr>
      <w:r>
        <w:rPr>
          <w:rFonts w:ascii="Times New Roman" w:cs="Times New Roman" w:eastAsia="Times New Roman" w:hAnsi="Times New Roman"/>
          <w:sz w:val="14"/>
          <w:szCs w:val="14"/>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These developments will likely continue to impact the value of our investments in such portfolio companies.</w:t>
      </w:r>
    </w:p>
    <w:p>
      <w:pPr>
        <w:spacing w:after="0" w:line="109" w:lineRule="exact"/>
        <w:rPr>
          <w:sz w:val="20"/>
          <w:szCs w:val="20"/>
          <w:color w:val="auto"/>
        </w:rPr>
      </w:pPr>
    </w:p>
    <w:p>
      <w:pPr>
        <w:ind w:right="20" w:firstLine="451"/>
        <w:spacing w:after="0" w:line="236" w:lineRule="auto"/>
        <w:rPr>
          <w:sz w:val="20"/>
          <w:szCs w:val="20"/>
          <w:color w:val="auto"/>
        </w:rPr>
      </w:pPr>
      <w:r>
        <w:rPr>
          <w:rFonts w:ascii="Times New Roman" w:cs="Times New Roman" w:eastAsia="Times New Roman" w:hAnsi="Times New Roman"/>
          <w:sz w:val="14"/>
          <w:szCs w:val="14"/>
          <w:color w:val="auto"/>
        </w:rPr>
        <w:t>The COVID-19 pandemic will likely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COVID-19 on our results of operation, we have identified certain factors that are likely to affect market, economic and geopolitical conditions, and thereby may adversely affect our business, including:</w:t>
      </w:r>
    </w:p>
    <w:p>
      <w:pPr>
        <w:spacing w:after="0" w:line="69" w:lineRule="exact"/>
        <w:rPr>
          <w:sz w:val="20"/>
          <w:szCs w:val="20"/>
          <w:color w:val="auto"/>
        </w:rPr>
      </w:pPr>
    </w:p>
    <w:p>
      <w:pPr>
        <w:ind w:left="740" w:hanging="368"/>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and global economic slowdowns;</w:t>
      </w:r>
    </w:p>
    <w:p>
      <w:pPr>
        <w:spacing w:after="0" w:line="3" w:lineRule="exact"/>
        <w:rPr>
          <w:rFonts w:ascii="Times New Roman" w:cs="Times New Roman" w:eastAsia="Times New Roman" w:hAnsi="Times New Roman"/>
          <w:sz w:val="14"/>
          <w:szCs w:val="14"/>
          <w:color w:val="auto"/>
        </w:rPr>
      </w:pPr>
    </w:p>
    <w:p>
      <w:pPr>
        <w:ind w:left="740" w:hanging="368"/>
        <w:spacing w:after="0" w:line="221" w:lineRule="auto"/>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 including LIBOR;</w:t>
      </w:r>
    </w:p>
    <w:p>
      <w:pPr>
        <w:ind w:left="740" w:hanging="368"/>
        <w:spacing w:after="0" w:line="221" w:lineRule="auto"/>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availability of credit, both in the United States and internationally;</w:t>
      </w:r>
    </w:p>
    <w:p>
      <w:pPr>
        <w:ind w:left="740" w:hanging="368"/>
        <w:spacing w:after="0" w:line="221" w:lineRule="auto"/>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to supply-chains and price volatility;</w:t>
      </w:r>
    </w:p>
    <w:p>
      <w:pPr>
        <w:ind w:left="740" w:hanging="368"/>
        <w:spacing w:after="0" w:line="221" w:lineRule="auto"/>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existing laws and regulations, or the imposition of new laws and regulations; and</w:t>
      </w:r>
    </w:p>
    <w:p>
      <w:pPr>
        <w:ind w:left="740" w:hanging="368"/>
        <w:spacing w:after="0"/>
        <w:tabs>
          <w:tab w:leader="none" w:pos="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regarding future governmental and regulatory policies.</w:t>
      </w:r>
    </w:p>
    <w:p>
      <w:pPr>
        <w:spacing w:after="0" w:line="120" w:lineRule="exact"/>
        <w:rPr>
          <w:sz w:val="20"/>
          <w:szCs w:val="20"/>
          <w:color w:val="auto"/>
        </w:rPr>
      </w:pPr>
    </w:p>
    <w:p>
      <w:pPr>
        <w:ind w:right="60" w:firstLine="451"/>
        <w:spacing w:after="0" w:line="231" w:lineRule="auto"/>
        <w:rPr>
          <w:sz w:val="20"/>
          <w:szCs w:val="20"/>
          <w:color w:val="auto"/>
        </w:rPr>
      </w:pPr>
      <w:r>
        <w:rPr>
          <w:rFonts w:ascii="Times New Roman" w:cs="Times New Roman" w:eastAsia="Times New Roman" w:hAnsi="Times New Roman"/>
          <w:sz w:val="14"/>
          <w:szCs w:val="14"/>
          <w:color w:val="auto"/>
        </w:rPr>
        <w:t>The business disruption and financial harm resulting from COVID-19 experienced by our portfolio companies are likely to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This has required us to reduce the amount of our distributions to stockholders as compared to distributions in the same quarter of the prior year. The continuing impact of the COVID-19 pandemic may result in additional portfolio investments being placed on non-accrual status in the future.</w:t>
      </w:r>
    </w:p>
    <w:p>
      <w:pPr>
        <w:spacing w:after="0" w:line="110" w:lineRule="exact"/>
        <w:rPr>
          <w:sz w:val="20"/>
          <w:szCs w:val="20"/>
          <w:color w:val="auto"/>
        </w:rPr>
      </w:pPr>
    </w:p>
    <w:p>
      <w:pPr>
        <w:ind w:right="80" w:firstLine="456"/>
        <w:spacing w:after="0" w:line="233" w:lineRule="auto"/>
        <w:rPr>
          <w:sz w:val="20"/>
          <w:szCs w:val="20"/>
          <w:color w:val="auto"/>
        </w:rPr>
      </w:pPr>
      <w:r>
        <w:rPr>
          <w:rFonts w:ascii="Times New Roman" w:cs="Times New Roman" w:eastAsia="Times New Roman" w:hAnsi="Times New Roman"/>
          <w:sz w:val="14"/>
          <w:szCs w:val="14"/>
          <w:color w:val="auto"/>
        </w:rPr>
        <w:t>We have had a significant reduction in our NAV as of September 30, 2020 as compared to our NAV as of September 30, 2019, which was partly due to the immediate adverse economic effects of the COVID-19 pandemic, the continuing uncertainty surrounding its long-term impact as well as the re-pricing of credit risk in the broadly syndicated credit market. The decrease in NAV as of September 30, 2020 as compared to September 30, 2019 primarily resulted from a decrease in the fair value of some of our portfolio company investments, which led to an increase in unrealized depreciation in respect of our portfolio company investments. In addition, our investment valuations are inherently less certain than they would be absent the impact of the COVID-19 pandemic and related market volatility and the values assigned as of this date may materially differ from the values that may ultimately be realized.</w:t>
      </w:r>
    </w:p>
    <w:p>
      <w:pPr>
        <w:spacing w:after="0" w:line="110" w:lineRule="exact"/>
        <w:rPr>
          <w:sz w:val="20"/>
          <w:szCs w:val="20"/>
          <w:color w:val="auto"/>
        </w:rPr>
      </w:pPr>
    </w:p>
    <w:p>
      <w:pPr>
        <w:ind w:right="260" w:firstLine="456"/>
        <w:spacing w:after="0" w:line="233" w:lineRule="auto"/>
        <w:rPr>
          <w:sz w:val="20"/>
          <w:szCs w:val="20"/>
          <w:color w:val="auto"/>
        </w:rPr>
      </w:pPr>
      <w:r>
        <w:rPr>
          <w:rFonts w:ascii="Times New Roman" w:cs="Times New Roman" w:eastAsia="Times New Roman" w:hAnsi="Times New Roman"/>
          <w:sz w:val="14"/>
          <w:szCs w:val="14"/>
          <w:color w:val="auto"/>
        </w:rPr>
        <w:t>Additionally, as of September 30, 2020 and September 30, 2019, our asset coverage ratio, as computed in accordance with the 1940 Act, was 208% and 207%, respectively. Our Credit Facilities include standard covenants and events of default provisions. If we fail to make payments required under such facilities or breach the covenants therein, it could result in a default under the Credit Facilities. Failure to cure such default or obtain a waiver from the appropriate party would result in an event of default, and the applicable lender may accelerate the repayment of our indebtedness under the respective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110" w:lineRule="exact"/>
        <w:rPr>
          <w:sz w:val="20"/>
          <w:szCs w:val="20"/>
          <w:color w:val="auto"/>
        </w:rPr>
      </w:pPr>
    </w:p>
    <w:p>
      <w:pPr>
        <w:ind w:right="100" w:firstLine="456"/>
        <w:spacing w:after="0" w:line="231" w:lineRule="auto"/>
        <w:rPr>
          <w:sz w:val="20"/>
          <w:szCs w:val="20"/>
          <w:color w:val="auto"/>
        </w:rPr>
      </w:pPr>
      <w:r>
        <w:rPr>
          <w:rFonts w:ascii="Times New Roman" w:cs="Times New Roman" w:eastAsia="Times New Roman" w:hAnsi="Times New Roman"/>
          <w:sz w:val="14"/>
          <w:szCs w:val="14"/>
          <w:color w:val="auto"/>
        </w:rPr>
        <w:t>We are also subject to financial risks, including changes in market interest rates. As of September 30, 2020, our debt portfolio consisted of 93%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BNP Credit Facility and the Truist Credit Facility also have floating rate interest provisions, with pricing set at 260 basis points over LIBOR (or an alternative risk-free floating interest rate index) and 225 basis points over LIBOR (or an alternative risk-free floating interest rate index), respectively. In connection with the COVID-19 pandemic, the U.S. Federal Reserve and other central banks have reduced interest rates, which has caused LIBOR to decrease. Due to such rates, our gross investment income has decreased, which</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2" w:name="page43"/>
    <w:bookmarkEnd w:id="42"/>
    <w:p>
      <w:pPr>
        <w:ind w:right="60"/>
        <w:spacing w:after="0" w:line="261" w:lineRule="auto"/>
        <w:rPr>
          <w:sz w:val="20"/>
          <w:szCs w:val="20"/>
          <w:color w:val="auto"/>
        </w:rPr>
      </w:pPr>
      <w:r>
        <w:rPr>
          <w:rFonts w:ascii="Times New Roman" w:cs="Times New Roman" w:eastAsia="Times New Roman" w:hAnsi="Times New Roman"/>
          <w:sz w:val="14"/>
          <w:szCs w:val="14"/>
          <w:color w:val="auto"/>
        </w:rPr>
        <w:t>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95" w:lineRule="exact"/>
        <w:rPr>
          <w:sz w:val="20"/>
          <w:szCs w:val="20"/>
          <w:color w:val="auto"/>
        </w:rPr>
      </w:pPr>
    </w:p>
    <w:p>
      <w:pPr>
        <w:ind w:right="140" w:firstLine="456"/>
        <w:spacing w:after="0" w:line="236" w:lineRule="auto"/>
        <w:rPr>
          <w:sz w:val="20"/>
          <w:szCs w:val="20"/>
          <w:color w:val="auto"/>
        </w:rPr>
      </w:pPr>
      <w:r>
        <w:rPr>
          <w:rFonts w:ascii="Times New Roman" w:cs="Times New Roman" w:eastAsia="Times New Roman" w:hAnsi="Times New Roman"/>
          <w:sz w:val="14"/>
          <w:szCs w:val="14"/>
          <w:color w:val="auto"/>
        </w:rPr>
        <w:t>In addition, we activated our business continuity planning strategy. Our priority has been to safeguard the health of our employees and to ensure continuity of business operations on behalf of our investors. As a result of the execution of our business continuity planning strategy, nearly all of our employees are working remotely.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27" w:lineRule="exact"/>
        <w:rPr>
          <w:sz w:val="20"/>
          <w:szCs w:val="20"/>
          <w:color w:val="auto"/>
        </w:rPr>
      </w:pPr>
    </w:p>
    <w:p>
      <w:pPr>
        <w:ind w:right="60" w:firstLine="438"/>
        <w:spacing w:after="0"/>
        <w:rPr>
          <w:sz w:val="20"/>
          <w:szCs w:val="20"/>
          <w:color w:val="auto"/>
        </w:rPr>
      </w:pPr>
      <w:r>
        <w:rPr>
          <w:rFonts w:ascii="Times New Roman" w:cs="Times New Roman" w:eastAsia="Times New Roman" w:hAnsi="Times New Roman"/>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40"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96" w:lineRule="exact"/>
        <w:rPr>
          <w:sz w:val="20"/>
          <w:szCs w:val="20"/>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cost of calculating our NAV, including the cost of any third-party valuation services;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cost of effecting sales and repurchases of shares of our common stock and other securities;</w:t>
      </w:r>
    </w:p>
    <w:p>
      <w:pPr>
        <w:spacing w:after="0" w:line="136" w:lineRule="exact"/>
        <w:rPr>
          <w:rFonts w:ascii="Times New Roman" w:cs="Times New Roman" w:eastAsia="Times New Roman" w:hAnsi="Times New Roman"/>
          <w:sz w:val="14"/>
          <w:szCs w:val="14"/>
          <w:b w:val="1"/>
          <w:bCs w:val="1"/>
          <w:color w:val="auto"/>
        </w:rPr>
      </w:pPr>
    </w:p>
    <w:p>
      <w:pPr>
        <w:ind w:left="920" w:right="100" w:hanging="359"/>
        <w:spacing w:after="0" w:line="261" w:lineRule="auto"/>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95"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expenses incurred by the Investment Adviser in performing due diligence and reviews of investments;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transfer agent and custodial fees;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fees and expenses associated with marketing efforts;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federal and state registration fees and any exchange listing fees;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federal, state, local and foreign taxes;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independent directors’ fees and expenses;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brokerage commissions;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fidelity bond, directors and officers, errors and omissions liability insurance and other insurance premiums;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direct costs such as printing, mailing, long distance telephone and staff;</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fees and expenses associated with independent audits and outside legal costs;</w:t>
      </w:r>
    </w:p>
    <w:p>
      <w:pPr>
        <w:spacing w:after="0" w:line="136" w:lineRule="exact"/>
        <w:rPr>
          <w:rFonts w:ascii="Times New Roman" w:cs="Times New Roman" w:eastAsia="Times New Roman" w:hAnsi="Times New Roman"/>
          <w:sz w:val="14"/>
          <w:szCs w:val="14"/>
          <w:b w:val="1"/>
          <w:bCs w:val="1"/>
          <w:color w:val="auto"/>
        </w:rPr>
      </w:pPr>
    </w:p>
    <w:p>
      <w:pPr>
        <w:ind w:left="920" w:hanging="359"/>
        <w:spacing w:after="0"/>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costs associated with our reporting and compliance obligations under the 1940 Act, the 1958 Act and applicable federal and state securities laws; and</w:t>
      </w:r>
    </w:p>
    <w:p>
      <w:pPr>
        <w:spacing w:after="0" w:line="136" w:lineRule="exact"/>
        <w:rPr>
          <w:rFonts w:ascii="Times New Roman" w:cs="Times New Roman" w:eastAsia="Times New Roman" w:hAnsi="Times New Roman"/>
          <w:sz w:val="14"/>
          <w:szCs w:val="14"/>
          <w:b w:val="1"/>
          <w:bCs w:val="1"/>
          <w:color w:val="auto"/>
        </w:rPr>
      </w:pPr>
    </w:p>
    <w:p>
      <w:pPr>
        <w:jc w:val="both"/>
        <w:ind w:left="920" w:right="60" w:hanging="359"/>
        <w:spacing w:after="0" w:line="241" w:lineRule="auto"/>
        <w:tabs>
          <w:tab w:leader="none" w:pos="920" w:val="left"/>
        </w:tabs>
        <w:numPr>
          <w:ilvl w:val="0"/>
          <w:numId w:val="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09"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PORTFOLIO AND INVESTMENT ACTIVITY</w:t>
      </w:r>
    </w:p>
    <w:p>
      <w:pPr>
        <w:spacing w:after="0" w:line="125"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As of September 30, 2020, our portfolio totaled $1,081.8 million and consisted of $439.0 million of first lien secured debt, $220.8 million of second lien secured debt, $113.6 million of subordinated debt (including $63.0 million in PSLF) and $308.3 million of preferred and common equity (including $36.3 million in PSLF). Our debt portfolio consisted of 93% variable-rate investments and 7% fixed-rate investments. As of September 30, 2020, we had two portfolio companies on non-accrual, representing 4.9% and 3.4% of our overall portfolio on a cost and fair value basis, respectively. Overall, the portfolio had net unrealized depreciation of $83.8 million as of September 30, 2020. Our overall portfolio consisted of 80 companies with an average investment size of $13.5 million, had a weighted average yield on interest bearing debt investments of 8.9% and was invested 41% in first lien secured debt, 20% in second lien secured debt, 10% in subordinated debt (including 6% in PSLF) and 29% in preferred and common equity (including 3% in PSLF). As of September 30, 2020, all of the investments held by PSLF were first lien secured debt.</w:t>
      </w:r>
    </w:p>
    <w:p>
      <w:pPr>
        <w:spacing w:after="0" w:line="222"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As of September 30, 2019, our portfolio totaled $1,219.4 million and consisted of $695.3 million of first lien secured debt, $269.3 million of second lien secured debt, $61.2 million of subordinated debt and $193.7 million of preferred and common equity. Our debt portfolio consisted of 87% variable-rate investments and 13% fixed-rate investments. As of September 30, 2019, we had no portfolio companies on non-accrual. Overall, the portfolio had net unrealized depreciation of $37.6 million as of September 30, 2019. Our overall portfolio consisted of 67 companies with an average investment size of $18.2 million, had a weighted average yield on interest bearing debt investments of 9.8% and was invested 57% in first lien secured debt, 22% in second lien secured debt, 5% in subordinated debt and 16% in preferred and common equity.</w:t>
      </w:r>
    </w:p>
    <w:p>
      <w:pPr>
        <w:spacing w:after="0" w:line="110" w:lineRule="exact"/>
        <w:rPr>
          <w:sz w:val="20"/>
          <w:szCs w:val="20"/>
          <w:color w:val="auto"/>
        </w:rPr>
      </w:pPr>
    </w:p>
    <w:p>
      <w:pPr>
        <w:ind w:right="200" w:firstLine="438"/>
        <w:spacing w:after="0" w:line="261" w:lineRule="auto"/>
        <w:rPr>
          <w:sz w:val="20"/>
          <w:szCs w:val="20"/>
          <w:color w:val="auto"/>
        </w:rPr>
      </w:pPr>
      <w:r>
        <w:rPr>
          <w:rFonts w:ascii="Times New Roman" w:cs="Times New Roman" w:eastAsia="Times New Roman" w:hAnsi="Times New Roman"/>
          <w:sz w:val="14"/>
          <w:szCs w:val="14"/>
          <w:color w:val="auto"/>
        </w:rPr>
        <w:t>For the year ended September 30, 2020, we invested $319.3 million of investments in 25 new and 58 existing portfolio companies with a weighted average yield on debt investments of 8.4%. Sales and repayments of investments for the same period totaled $162.7 million.</w:t>
      </w:r>
    </w:p>
    <w:p>
      <w:pPr>
        <w:spacing w:after="0" w:line="82" w:lineRule="exact"/>
        <w:rPr>
          <w:sz w:val="20"/>
          <w:szCs w:val="20"/>
          <w:color w:val="auto"/>
        </w:rPr>
      </w:pPr>
    </w:p>
    <w:p>
      <w:pPr>
        <w:ind w:right="200" w:firstLine="438"/>
        <w:spacing w:after="0" w:line="261" w:lineRule="auto"/>
        <w:rPr>
          <w:sz w:val="20"/>
          <w:szCs w:val="20"/>
          <w:color w:val="auto"/>
        </w:rPr>
      </w:pPr>
      <w:r>
        <w:rPr>
          <w:rFonts w:ascii="Times New Roman" w:cs="Times New Roman" w:eastAsia="Times New Roman" w:hAnsi="Times New Roman"/>
          <w:sz w:val="14"/>
          <w:szCs w:val="14"/>
          <w:color w:val="auto"/>
        </w:rPr>
        <w:t>For the year ended September 30, 2019, we invested $533.6 million of investments in 24 new and 49 existing portfolio companies with a weighted average yield on debt investments of 9.4%. Sales and repayments of investments for the same period totaled $426.5 million.</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ind w:right="160" w:firstLine="438"/>
        <w:spacing w:after="0" w:line="261" w:lineRule="auto"/>
        <w:rPr>
          <w:sz w:val="20"/>
          <w:szCs w:val="20"/>
          <w:color w:val="auto"/>
        </w:rPr>
      </w:pPr>
      <w:r>
        <w:rPr>
          <w:rFonts w:ascii="Times New Roman" w:cs="Times New Roman" w:eastAsia="Times New Roman" w:hAnsi="Times New Roman"/>
          <w:sz w:val="14"/>
          <w:szCs w:val="14"/>
          <w:color w:val="auto"/>
        </w:rPr>
        <w:t>As of September 30, 2020, PSLF’s portfolio totaled $353.4 million, consisted of 37 companies with an average investment size of $9.6 million and had a weighted average yield on debt investments of 7.3%.</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For the period ended July 31, 2020 through September 30, 2020, PSLF invested $5.7 million in one new portfolio company with a weighted average yield on debt investments of 7.5%.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PSLF’s sales and repayments of investments for the same period totaled $11.1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w:t>
      </w:r>
    </w:p>
    <w:p>
      <w:pPr>
        <w:spacing w:after="0" w:line="138"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Investment Valuations</w:t>
      </w:r>
    </w:p>
    <w:p>
      <w:pPr>
        <w:spacing w:after="0" w:line="140"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3" w:lineRule="exact"/>
        <w:rPr>
          <w:sz w:val="20"/>
          <w:szCs w:val="20"/>
          <w:color w:val="auto"/>
        </w:rPr>
      </w:pPr>
    </w:p>
    <w:p>
      <w:pPr>
        <w:ind w:right="380" w:firstLine="438"/>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2" w:lineRule="exact"/>
        <w:rPr>
          <w:sz w:val="20"/>
          <w:szCs w:val="20"/>
          <w:color w:val="auto"/>
        </w:rPr>
      </w:pPr>
    </w:p>
    <w:p>
      <w:pPr>
        <w:ind w:left="920" w:right="20" w:hanging="372"/>
        <w:spacing w:after="0" w:line="261" w:lineRule="auto"/>
        <w:tabs>
          <w:tab w:leader="none" w:pos="9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95" w:lineRule="exact"/>
        <w:rPr>
          <w:rFonts w:ascii="Times New Roman" w:cs="Times New Roman" w:eastAsia="Times New Roman" w:hAnsi="Times New Roman"/>
          <w:sz w:val="14"/>
          <w:szCs w:val="14"/>
          <w:color w:val="auto"/>
        </w:rPr>
      </w:pPr>
    </w:p>
    <w:p>
      <w:pPr>
        <w:ind w:left="920" w:hanging="372"/>
        <w:spacing w:after="0"/>
        <w:tabs>
          <w:tab w:leader="none" w:pos="9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our Investment Adviser;</w:t>
      </w:r>
    </w:p>
    <w:p>
      <w:pPr>
        <w:spacing w:after="0" w:line="136" w:lineRule="exact"/>
        <w:rPr>
          <w:rFonts w:ascii="Times New Roman" w:cs="Times New Roman" w:eastAsia="Times New Roman" w:hAnsi="Times New Roman"/>
          <w:sz w:val="14"/>
          <w:szCs w:val="14"/>
          <w:color w:val="auto"/>
        </w:rPr>
      </w:pPr>
    </w:p>
    <w:p>
      <w:pPr>
        <w:jc w:val="both"/>
        <w:ind w:left="920" w:right="80" w:hanging="372"/>
        <w:spacing w:after="0" w:line="241" w:lineRule="auto"/>
        <w:tabs>
          <w:tab w:leader="none" w:pos="9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ind w:left="920" w:right="320" w:hanging="372"/>
        <w:spacing w:after="0" w:line="241" w:lineRule="auto"/>
        <w:tabs>
          <w:tab w:leader="none" w:pos="9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920" w:right="80" w:hanging="372"/>
        <w:spacing w:after="0" w:line="261" w:lineRule="auto"/>
        <w:tabs>
          <w:tab w:leader="none" w:pos="9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44" w:name="page45"/>
    <w:bookmarkEnd w:id="44"/>
    <w:p>
      <w:pPr>
        <w:ind w:firstLine="438"/>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36"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61" w:lineRule="auto"/>
        <w:tabs>
          <w:tab w:leader="none" w:pos="136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95"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300" w:firstLine="438"/>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09" w:lineRule="exact"/>
        <w:rPr>
          <w:sz w:val="20"/>
          <w:szCs w:val="20"/>
          <w:color w:val="auto"/>
        </w:rPr>
      </w:pPr>
    </w:p>
    <w:p>
      <w:pPr>
        <w:ind w:right="220" w:firstLine="438"/>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2019 Notes, our SBA debentures, our 2024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96" w:lineRule="exact"/>
        <w:rPr>
          <w:sz w:val="20"/>
          <w:szCs w:val="20"/>
          <w:color w:val="auto"/>
        </w:rPr>
      </w:pPr>
    </w:p>
    <w:p>
      <w:pPr>
        <w:ind w:right="20" w:firstLine="438"/>
        <w:spacing w:after="0" w:line="227"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Facilities and, prior to their redemption, the 2019 Notes. We elected to use the fair value option for the Credit Facilities and, prior to their redemption, the 2019 Notes to align the measurement attributes of both our assets and liabilities while mitigating volatility in earnings from using different measurement attributes. Due to that election and in accordance with GAAP, we incurred expenses of zero, $7.1 million and zero relating to amendment costs on the Credit Facilities during the years ended September 30, 2020, 2019 and 2018,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prior to their redemption, the 2019 Notes are reported in our Consolidated Statements of Operations. We did not elect to apply ASC 825-10 to any other financial assets or liabilities, including the 2024 Notes and SBA debentures.</w:t>
      </w:r>
    </w:p>
    <w:p>
      <w:pPr>
        <w:spacing w:after="0" w:line="115" w:lineRule="exact"/>
        <w:rPr>
          <w:sz w:val="20"/>
          <w:szCs w:val="20"/>
          <w:color w:val="auto"/>
        </w:rPr>
      </w:pPr>
    </w:p>
    <w:p>
      <w:pPr>
        <w:ind w:right="20" w:firstLine="438"/>
        <w:spacing w:after="0"/>
        <w:rPr>
          <w:sz w:val="20"/>
          <w:szCs w:val="20"/>
          <w:color w:val="auto"/>
        </w:rPr>
      </w:pPr>
      <w:r>
        <w:rPr>
          <w:rFonts w:ascii="Times New Roman" w:cs="Times New Roman" w:eastAsia="Times New Roman" w:hAnsi="Times New Roman"/>
          <w:sz w:val="14"/>
          <w:szCs w:val="14"/>
          <w:color w:val="auto"/>
        </w:rPr>
        <w:t>For the years ended September 30, 2020, the Credit Facilities had a net change in unrealized depreciation of $12.3 million. For the years ended September 30, 2019 and 2018, the Credit Facilities and the 2019 Notes had a net change in unrealized depreciation of $5.7 million and $3.9 million, respectively. As of September 30, 2020, the net unrealized depreciation on Truist Credit Facility totaled $19.6 million. As of September 30, 2019, the net unrealized depreciation on our Credit Facilities totaled $7.2 million. We use a nationally recognized independent valuation service to measure the fair value of our Credit Facilities and, prior to their redemption, the 2019 Notes in a manner consistent with the valuation process that the board of directors uses to value our investments.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27" w:lineRule="exact"/>
        <w:rPr>
          <w:sz w:val="20"/>
          <w:szCs w:val="20"/>
          <w:color w:val="auto"/>
        </w:rPr>
      </w:pPr>
    </w:p>
    <w:p>
      <w:pPr>
        <w:ind w:right="60" w:firstLine="438"/>
        <w:spacing w:after="0" w:line="22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 and Net Change in Unrealized Appreciation or Depreciation</w:t>
      </w:r>
    </w:p>
    <w:p>
      <w:pPr>
        <w:spacing w:after="0" w:line="140"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Facilities and, prior to their redemption, the 2019 Notes during the reporting period, including any reversal of previously recorded unrealized appreciation or depreciation, when gains or losses are realized.</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920" w:hanging="359"/>
        <w:spacing w:after="0"/>
        <w:tabs>
          <w:tab w:leader="none" w:pos="9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80" w:firstLine="438"/>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Payment-in-Kind, or, PIK Interest</w:t>
      </w:r>
    </w:p>
    <w:p>
      <w:pPr>
        <w:spacing w:after="0" w:line="140" w:lineRule="exact"/>
        <w:rPr>
          <w:sz w:val="20"/>
          <w:szCs w:val="20"/>
          <w:color w:val="auto"/>
        </w:rPr>
      </w:pPr>
    </w:p>
    <w:p>
      <w:pPr>
        <w:jc w:val="both"/>
        <w:ind w:right="140" w:firstLine="438"/>
        <w:spacing w:after="0" w:line="241" w:lineRule="auto"/>
        <w:rPr>
          <w:sz w:val="20"/>
          <w:szCs w:val="20"/>
          <w:color w:val="auto"/>
        </w:rPr>
      </w:pPr>
      <w:r>
        <w:rPr>
          <w:rFonts w:ascii="Times New Roman" w:cs="Times New Roman" w:eastAsia="Times New Roman" w:hAnsi="Times New Roman"/>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i w:val="1"/>
          <w:iCs w:val="1"/>
          <w:color w:val="auto"/>
        </w:rPr>
        <w:t>Federal Income Taxes</w:t>
      </w:r>
    </w:p>
    <w:p>
      <w:pPr>
        <w:spacing w:after="0" w:line="127"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9" w:lineRule="exact"/>
        <w:rPr>
          <w:sz w:val="20"/>
          <w:szCs w:val="20"/>
          <w:color w:val="auto"/>
        </w:rPr>
      </w:pPr>
    </w:p>
    <w:p>
      <w:pPr>
        <w:ind w:right="80" w:firstLine="438"/>
        <w:spacing w:after="0" w:line="233"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0" w:lineRule="exact"/>
        <w:rPr>
          <w:sz w:val="20"/>
          <w:szCs w:val="20"/>
          <w:color w:val="auto"/>
        </w:rPr>
      </w:pPr>
    </w:p>
    <w:p>
      <w:pPr>
        <w:ind w:right="120" w:firstLine="438"/>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96" w:lineRule="exact"/>
        <w:rPr>
          <w:sz w:val="20"/>
          <w:szCs w:val="20"/>
          <w:color w:val="auto"/>
        </w:rPr>
      </w:pPr>
    </w:p>
    <w:p>
      <w:pPr>
        <w:ind w:right="260" w:firstLine="438"/>
        <w:spacing w:after="0" w:line="261"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Subsidiaries,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38" w:lineRule="exact"/>
        <w:rPr>
          <w:sz w:val="20"/>
          <w:szCs w:val="20"/>
          <w:color w:val="auto"/>
        </w:rPr>
      </w:pPr>
    </w:p>
    <w:p>
      <w:pPr>
        <w:ind w:right="80" w:firstLine="438"/>
        <w:spacing w:after="0" w:line="261" w:lineRule="auto"/>
        <w:rPr>
          <w:sz w:val="20"/>
          <w:szCs w:val="20"/>
          <w:color w:val="auto"/>
        </w:rPr>
      </w:pPr>
      <w:r>
        <w:rPr>
          <w:rFonts w:ascii="Times New Roman" w:cs="Times New Roman" w:eastAsia="Times New Roman" w:hAnsi="Times New Roman"/>
          <w:sz w:val="14"/>
          <w:szCs w:val="14"/>
          <w:color w:val="auto"/>
        </w:rPr>
        <w:t>Set forth below are the results of operations for the years ended September 30, 2020 and 2019. For information regarding results of operations for the year ended September 30, 2018, see the Company's Form 10-K for the fiscal year ended September 30, 2019, as filed with the SEC on November 21, 2019.</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Investment Income</w:t>
      </w:r>
    </w:p>
    <w:p>
      <w:pPr>
        <w:spacing w:after="0" w:line="140" w:lineRule="exact"/>
        <w:rPr>
          <w:sz w:val="20"/>
          <w:szCs w:val="20"/>
          <w:color w:val="auto"/>
        </w:rPr>
      </w:pPr>
    </w:p>
    <w:p>
      <w:pPr>
        <w:jc w:val="both"/>
        <w:ind w:right="220" w:firstLine="438"/>
        <w:spacing w:after="0" w:line="241" w:lineRule="auto"/>
        <w:rPr>
          <w:sz w:val="20"/>
          <w:szCs w:val="20"/>
          <w:color w:val="auto"/>
        </w:rPr>
      </w:pPr>
      <w:r>
        <w:rPr>
          <w:rFonts w:ascii="Times New Roman" w:cs="Times New Roman" w:eastAsia="Times New Roman" w:hAnsi="Times New Roman"/>
          <w:sz w:val="14"/>
          <w:szCs w:val="14"/>
          <w:color w:val="auto"/>
        </w:rPr>
        <w:t>Investment income for the year ended September 30, 2020 was $100.2 million and was attributable to $63.4 million from first lien secured debt, $25.9 million from second lien secured debt and $8.7 million from subordinated debt and $2.2 from preferred and common equity. The decrease in investment income over the prior year was primarily due to a decrease in LIBOR as well as an increase in our equity portfolio.</w:t>
      </w:r>
    </w:p>
    <w:p>
      <w:pPr>
        <w:spacing w:after="0" w:line="109" w:lineRule="exact"/>
        <w:rPr>
          <w:sz w:val="20"/>
          <w:szCs w:val="20"/>
          <w:color w:val="auto"/>
        </w:rPr>
      </w:pPr>
    </w:p>
    <w:p>
      <w:pPr>
        <w:jc w:val="both"/>
        <w:ind w:right="220" w:firstLine="438"/>
        <w:spacing w:after="0" w:line="261" w:lineRule="auto"/>
        <w:rPr>
          <w:sz w:val="20"/>
          <w:szCs w:val="20"/>
          <w:color w:val="auto"/>
        </w:rPr>
      </w:pPr>
      <w:r>
        <w:rPr>
          <w:rFonts w:ascii="Times New Roman" w:cs="Times New Roman" w:eastAsia="Times New Roman" w:hAnsi="Times New Roman"/>
          <w:sz w:val="14"/>
          <w:szCs w:val="14"/>
          <w:color w:val="auto"/>
        </w:rPr>
        <w:t>Investment income for the year ended September 30, 2019 was $112.1 million and was attributable to $62.6 million from first lien secured debt, $41.4 million from second lien secured debt and $8.1 million from subordinated debt.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Expenses</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Net expenses for the year ended September 30, 2020 totaled $61.5 million. Base management fee for the same period totaled $18.6 million, incentive fee totaled $2.7 million (after a</w:t>
      </w:r>
    </w:p>
    <w:p>
      <w:pPr>
        <w:spacing w:after="0" w:line="27" w:lineRule="exact"/>
        <w:rPr>
          <w:sz w:val="20"/>
          <w:szCs w:val="20"/>
          <w:color w:val="auto"/>
        </w:rPr>
      </w:pPr>
    </w:p>
    <w:p>
      <w:pPr>
        <w:jc w:val="both"/>
        <w:ind w:right="240"/>
        <w:spacing w:after="0" w:line="243" w:lineRule="auto"/>
        <w:rPr>
          <w:sz w:val="20"/>
          <w:szCs w:val="20"/>
          <w:color w:val="auto"/>
        </w:rPr>
      </w:pPr>
      <w:r>
        <w:rPr>
          <w:rFonts w:ascii="Times New Roman" w:cs="Times New Roman" w:eastAsia="Times New Roman" w:hAnsi="Times New Roman"/>
          <w:sz w:val="14"/>
          <w:szCs w:val="14"/>
          <w:color w:val="auto"/>
        </w:rPr>
        <w:t>waiver of $1.9 million), debt related interest and other financing expenses totaled $34.4 million (including one-time costs of $2.2 million associated with the PSLF transaction) and general and administrative expenses totaled $4.7 million. The decrease in expenses over the prior year was primarily due to a decrease in debt related expenses as well as the incentive fee waiver.</w:t>
      </w:r>
    </w:p>
    <w:p>
      <w:pPr>
        <w:spacing w:after="0" w:line="107" w:lineRule="exact"/>
        <w:rPr>
          <w:sz w:val="20"/>
          <w:szCs w:val="20"/>
          <w:color w:val="auto"/>
        </w:rPr>
      </w:pPr>
    </w:p>
    <w:p>
      <w:pPr>
        <w:ind w:right="80" w:firstLine="438"/>
        <w:spacing w:after="0" w:line="261" w:lineRule="auto"/>
        <w:rPr>
          <w:sz w:val="20"/>
          <w:szCs w:val="20"/>
          <w:color w:val="auto"/>
        </w:rPr>
      </w:pPr>
      <w:r>
        <w:rPr>
          <w:rFonts w:ascii="Times New Roman" w:cs="Times New Roman" w:eastAsia="Times New Roman" w:hAnsi="Times New Roman"/>
          <w:sz w:val="14"/>
          <w:szCs w:val="14"/>
          <w:color w:val="auto"/>
        </w:rPr>
        <w:t>Net expenses for the year ended September 30, 2019 totaled $67.5 million. Base management fee for the same period totaled $18.2 million, incentive fee totaled $5.1 million, debt related interest and expenses totaled $38.2 million (including one-time debt related costs of $9.2 million) and general and administrative expenses totaled $4.7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Investment Income</w:t>
      </w:r>
    </w:p>
    <w:p>
      <w:pPr>
        <w:spacing w:after="0" w:line="140"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4"/>
          <w:szCs w:val="14"/>
          <w:color w:val="auto"/>
        </w:rPr>
        <w:t>Net investment income totaled $38.7 million, or $0.58 per share, and $44.6 million, or $0.66 per share, for the years ended September 30, 2020 and 2019, respectively. The decrease in net investment income per share compared to the prior year was primarily due to a decrease in LIBOR.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Realized Gains or Losses</w:t>
      </w:r>
    </w:p>
    <w:p>
      <w:pPr>
        <w:spacing w:after="0" w:line="127"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Sales and repayments of investments for the years ended September 30, 2020 and 2019 totaled $162.7 million and $426.5 million, respectively, and net realized losses totaled $20.8 million and $108.5 million, respectively. The change in realized gains/losses was primarily due to changes in the market conditions of our investments and the values at which they were realized, including the net realized loss on Superior Digital Displays, LLC during the year ended September 30, 2019.</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Unrealized Appreciation or Depreciation on Investments, Credit Facilities and the 2019 Notes</w:t>
      </w:r>
    </w:p>
    <w:p>
      <w:pPr>
        <w:spacing w:after="0" w:line="127" w:lineRule="exact"/>
        <w:rPr>
          <w:sz w:val="20"/>
          <w:szCs w:val="20"/>
          <w:color w:val="auto"/>
        </w:rPr>
      </w:pPr>
    </w:p>
    <w:p>
      <w:pPr>
        <w:ind w:right="120" w:firstLine="438"/>
        <w:spacing w:after="0" w:line="233" w:lineRule="auto"/>
        <w:rPr>
          <w:sz w:val="20"/>
          <w:szCs w:val="20"/>
          <w:color w:val="auto"/>
        </w:rPr>
      </w:pPr>
      <w:r>
        <w:rPr>
          <w:rFonts w:ascii="Times New Roman" w:cs="Times New Roman" w:eastAsia="Times New Roman" w:hAnsi="Times New Roman"/>
          <w:sz w:val="14"/>
          <w:szCs w:val="14"/>
          <w:color w:val="auto"/>
        </w:rPr>
        <w:t>For the years ended September 30, 2020 and 2019, we reported net change in unrealized (depreciation) appreciation on investments of ($46.2) million and $74.1 million, respectively. As of September 30, 2020 and 2019, our net unrealized depreciation on investments totaled $83.8 million and $37.6 million, respectively. The net change in unrealized appreciation/depreciation on our investments for the year ended September 30, 2020 compared to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110"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For the years ended September 30, 2020 and 2019, our Credit Facilities and the 2019 Notes had a net change in unrealized depreciation of $12.3 million and $5.7 million, respectively. As of September 30, 2020 and 2019, our net unrealized depreciation on our Credit Facilities and, prior to their redemption, the 2019 Notes totaled $19.6 million and $7.2 million, respectively. The net change in unrealized depreciation for the year ended September 30, 2020 compared to the prior year was primarily due to changes in the capital markets.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Change in Net Assets Resulting From Operations</w:t>
      </w:r>
    </w:p>
    <w:p>
      <w:pPr>
        <w:spacing w:after="0" w:line="127" w:lineRule="exact"/>
        <w:rPr>
          <w:sz w:val="20"/>
          <w:szCs w:val="20"/>
          <w:color w:val="auto"/>
        </w:rPr>
      </w:pPr>
    </w:p>
    <w:p>
      <w:pPr>
        <w:ind w:right="60" w:firstLine="438"/>
        <w:spacing w:after="0" w:line="241" w:lineRule="auto"/>
        <w:rPr>
          <w:sz w:val="20"/>
          <w:szCs w:val="20"/>
          <w:color w:val="auto"/>
        </w:rPr>
      </w:pPr>
      <w:r>
        <w:rPr>
          <w:rFonts w:ascii="Times New Roman" w:cs="Times New Roman" w:eastAsia="Times New Roman" w:hAnsi="Times New Roman"/>
          <w:sz w:val="14"/>
          <w:szCs w:val="14"/>
          <w:color w:val="auto"/>
        </w:rPr>
        <w:t>Net change in net assets resulting from operations totaled ($16.0) million, or ($0.24) per share, and $15.9 million, or $0.24 per share, for the years ended September 30, 2020 and 2019, respectively. The decrease in net assets from operations for the year ended September 30, 2020 compared to the prior year was primarily due to depreciation of the portfolio primarily driven by the market disruption caused by the COVID-19 pandemic and the uncertainty surrounding its continued adverse economic impact, as discussed above under “COVID-19 Developments.”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5" w:lineRule="exact"/>
        <w:rPr>
          <w:sz w:val="20"/>
          <w:szCs w:val="20"/>
          <w:color w:val="auto"/>
        </w:rPr>
      </w:pPr>
    </w:p>
    <w:p>
      <w:pPr>
        <w:ind w:firstLine="438"/>
        <w:spacing w:after="0" w:line="231" w:lineRule="auto"/>
        <w:rPr>
          <w:sz w:val="20"/>
          <w:szCs w:val="20"/>
          <w:color w:val="auto"/>
        </w:rPr>
      </w:pPr>
      <w:r>
        <w:rPr>
          <w:rFonts w:ascii="Times New Roman" w:cs="Times New Roman" w:eastAsia="Times New Roman" w:hAnsi="Times New Roman"/>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September 30, 2020, in accordance with the 1940 Act, with certain limited exceptions, we are only allowed to borrow amounts such that we are in compliance with a 150% asset coverage ratio requirement after such borrowing, excluding SBA debentures pursuant to exemptive relief from the SEC received in June 2011. For information regarding liquidity and capital resources for the year ended September 30, 2018, see the Company's Form 10-K for the fiscal year ended September 30, 2019, as filed with the SEC on November 21, 2019.</w:t>
      </w:r>
    </w:p>
    <w:p>
      <w:pPr>
        <w:spacing w:after="0" w:line="110" w:lineRule="exact"/>
        <w:rPr>
          <w:sz w:val="20"/>
          <w:szCs w:val="20"/>
          <w:color w:val="auto"/>
        </w:rPr>
      </w:pPr>
    </w:p>
    <w:p>
      <w:pPr>
        <w:ind w:right="20" w:firstLine="438"/>
        <w:spacing w:after="0"/>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requirements set forth in Section 61(a)(2) of the 1940 Act, as amended by the Consolidated Appropriations Act of 2018 (which includes the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 of September 30, 2020 and 2019, our asset coverage ratio, as computed in accordance with the 1940 Act, was 208% and 207%, respectively.</w:t>
      </w:r>
    </w:p>
    <w:p>
      <w:pPr>
        <w:spacing w:after="0" w:line="123" w:lineRule="exact"/>
        <w:rPr>
          <w:sz w:val="20"/>
          <w:szCs w:val="20"/>
          <w:color w:val="auto"/>
        </w:rPr>
      </w:pPr>
    </w:p>
    <w:p>
      <w:pPr>
        <w:ind w:right="340" w:firstLine="438"/>
        <w:spacing w:after="0" w:line="261" w:lineRule="auto"/>
        <w:rPr>
          <w:sz w:val="20"/>
          <w:szCs w:val="20"/>
          <w:color w:val="auto"/>
        </w:rPr>
      </w:pPr>
      <w:r>
        <w:rPr>
          <w:rFonts w:ascii="Times New Roman" w:cs="Times New Roman" w:eastAsia="Times New Roman" w:hAnsi="Times New Roman"/>
          <w:sz w:val="14"/>
          <w:szCs w:val="14"/>
          <w:color w:val="auto"/>
        </w:rPr>
        <w:t>The annualized weighted average cost of debt for the years ended September 30, 2020 and 2019, inclusive of the fee on the undrawn commitment and amendment costs on the Credit Facilities, amortized upfront fees on SBA debentures and debt retirement and issuance costs, was 4.0% and 6.0%, respectively.</w:t>
      </w:r>
    </w:p>
    <w:p>
      <w:pPr>
        <w:spacing w:after="0" w:line="95" w:lineRule="exact"/>
        <w:rPr>
          <w:sz w:val="20"/>
          <w:szCs w:val="20"/>
          <w:color w:val="auto"/>
        </w:rPr>
      </w:pPr>
    </w:p>
    <w:p>
      <w:pPr>
        <w:ind w:right="120" w:firstLine="438"/>
        <w:spacing w:after="0" w:line="228" w:lineRule="auto"/>
        <w:rPr>
          <w:sz w:val="20"/>
          <w:szCs w:val="20"/>
          <w:color w:val="auto"/>
        </w:rPr>
      </w:pPr>
      <w:r>
        <w:rPr>
          <w:rFonts w:ascii="Times New Roman" w:cs="Times New Roman" w:eastAsia="Times New Roman" w:hAnsi="Times New Roman"/>
          <w:sz w:val="14"/>
          <w:szCs w:val="14"/>
          <w:color w:val="auto"/>
        </w:rPr>
        <w:t>As of September 30, 2020, we had the multi-currency Truist Credit Facility for up to $475.0 million in borrowings with certain lenders and Truist Bank (formerly SunTrust Bank), acting as administrative agent, and JPMorgan Chase Bank, N.A., acting as syndication agent for the lenders. As of September 30, 2020 and 2019, we had $388.3 million and $301.6 million, respectively, in outstanding borrowings under the Truist Credit Facility. The Truist Credit Facility had a weighted average interest rate of 2.5% and 4.2%, respectively, exclusive of the fee on undrawn commitment, as of September 30, 2020 and 2019. The Truist Credit Facility is a revolving facility with a stated maturity date of September 4, 2024 ($40.0 million of the $475 million commitment will mature May 25, 2022), a one-year term-out period on September 4, 2023 ($40.0 million of the $475 million commitment has a one year term-out period on May 25, 2021) and pricing set at 225 basis points over LIBOR (or an alternative risk-free floating interest rate index). As of September 30, 2020 and 2019, we had $86.7 million and $173.4 million of unused borrowing capacity under the Truist Credit Facility, respectively, subject to leverage and borrowing base restrictions. The Truist Credit Facility is secured by substantially all of our assets excluding assets held by SBIC II. As of September 30, 2020, we were in compliance with the terms of the Truist Credit Facility.</w:t>
      </w:r>
    </w:p>
    <w:p>
      <w:pPr>
        <w:spacing w:after="0" w:line="113"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 xml:space="preserve">As of September 30, 2020, we had $86.3 million in aggregate principal amount of 2024 Notes outstanding. Interest on the 2024 Notes is paid quarterly on January 15, April 15, July 15 and October 15, at a rate of 5.5% per year, commencing January 15, 2020. The 2024 Notes mature on October 15, 2024. The 2024 Notes are direct unsecured obligations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in right of payment with our existing and future unsecured unsubordinated indebtedness. The 2024 Notes are structurally subordinated to all existing and future indebtedness and other obligations of any of our subsidiaries, financing vehicles, or similar facilities. The 2024 Notes may be redeemed in whole or in part at our option on or after October 15, 2021 at a redemption price of 100% of the outstanding principal amount of the 2024 Notes plus accrued and unpaid interest.</w:t>
      </w:r>
    </w:p>
    <w:p>
      <w:pPr>
        <w:spacing w:after="0" w:line="110" w:lineRule="exact"/>
        <w:rPr>
          <w:sz w:val="20"/>
          <w:szCs w:val="20"/>
          <w:color w:val="auto"/>
        </w:rPr>
      </w:pPr>
    </w:p>
    <w:p>
      <w:pPr>
        <w:ind w:right="40" w:firstLine="438"/>
        <w:spacing w:after="0" w:line="233" w:lineRule="auto"/>
        <w:rPr>
          <w:sz w:val="20"/>
          <w:szCs w:val="20"/>
          <w:color w:val="auto"/>
        </w:rPr>
      </w:pPr>
      <w:r>
        <w:rPr>
          <w:rFonts w:ascii="Times New Roman" w:cs="Times New Roman" w:eastAsia="Times New Roman" w:hAnsi="Times New Roman"/>
          <w:sz w:val="14"/>
          <w:szCs w:val="14"/>
          <w:color w:val="auto"/>
        </w:rPr>
        <w:t>In September 2014, we issued $250.0 million in aggregate principal amount of 2019 Notes, for net proceeds of $245.5 million after underwriting discounts and offering costs. Interest on the 2019 Notes was paid semi-annually on April 1 and October 1, at a rate of 4.5% per year. On March 4, 2019 the 2019 Notes were redeemed in full and no amounts were outstanding as of September 30, 2020. The 2019 Notes were redeemed on March 4, 2019 at a redemption price equal to $1,008.65 for each $1,000.00 of principal of notes outstanding, plus accrued and unpaid interest to March 4, 2019, pursuant to the indenture governing the 2019 Notes.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96" w:lineRule="exact"/>
        <w:rPr>
          <w:sz w:val="20"/>
          <w:szCs w:val="20"/>
          <w:color w:val="auto"/>
        </w:rPr>
      </w:pPr>
    </w:p>
    <w:p>
      <w:pPr>
        <w:ind w:right="120" w:firstLine="438"/>
        <w:spacing w:after="0" w:line="233" w:lineRule="auto"/>
        <w:rPr>
          <w:sz w:val="20"/>
          <w:szCs w:val="20"/>
          <w:color w:val="auto"/>
        </w:rPr>
      </w:pPr>
      <w:r>
        <w:rPr>
          <w:rFonts w:ascii="Times New Roman" w:cs="Times New Roman" w:eastAsia="Times New Roman" w:hAnsi="Times New Roman"/>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or SBA debentures.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0" w:lineRule="exact"/>
        <w:rPr>
          <w:sz w:val="20"/>
          <w:szCs w:val="20"/>
          <w:color w:val="auto"/>
        </w:rPr>
      </w:pPr>
    </w:p>
    <w:p>
      <w:pPr>
        <w:ind w:right="240" w:firstLine="438"/>
        <w:spacing w:after="0" w:line="233" w:lineRule="auto"/>
        <w:rPr>
          <w:sz w:val="20"/>
          <w:szCs w:val="20"/>
          <w:color w:val="auto"/>
        </w:rPr>
      </w:pPr>
      <w:r>
        <w:rPr>
          <w:rFonts w:ascii="Times New Roman" w:cs="Times New Roman" w:eastAsia="Times New Roman" w:hAnsi="Times New Roman"/>
          <w:sz w:val="14"/>
          <w:szCs w:val="14"/>
          <w:color w:val="auto"/>
        </w:rPr>
        <w:t>On May 9, 2018, we announced a share repurchase program which allowed us to repurchase up to $30 million of our outstanding common stock in the open market at prices below our NAV as reported in our then most recently published consolidated financial statements. The program expired on May 9, 2019. During the year ended September 30, 2019, we repurchased</w:t>
      </w:r>
    </w:p>
    <w:p>
      <w:pPr>
        <w:ind w:right="420"/>
        <w:spacing w:after="0" w:line="239" w:lineRule="auto"/>
        <w:rPr>
          <w:sz w:val="20"/>
          <w:szCs w:val="20"/>
          <w:color w:val="auto"/>
        </w:rPr>
      </w:pPr>
      <w:r>
        <w:rPr>
          <w:rFonts w:ascii="Times New Roman" w:cs="Times New Roman" w:eastAsia="Times New Roman" w:hAnsi="Times New Roman"/>
          <w:sz w:val="14"/>
          <w:szCs w:val="14"/>
          <w:color w:val="auto"/>
        </w:rPr>
        <w:t>2.0 million shares of common stock, respectively, in open market transactions for an aggregate cost (including transaction costs) of $14.5 million. From May 9, 2018 through the program’s expiration, we purchased 4.0 million shares of common stock in open market transactions for an aggregate cost (including transaction costs) of $29.5 million.</w:t>
      </w:r>
    </w:p>
    <w:p>
      <w:pPr>
        <w:spacing w:after="0" w:line="109" w:lineRule="exact"/>
        <w:rPr>
          <w:sz w:val="20"/>
          <w:szCs w:val="20"/>
          <w:color w:val="auto"/>
        </w:rPr>
      </w:pPr>
    </w:p>
    <w:p>
      <w:pPr>
        <w:ind w:right="160" w:firstLine="438"/>
        <w:spacing w:after="0" w:line="233"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$118.5 million as of September 30, 2020.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$350.0 million in the aggregate.</w:t>
      </w:r>
    </w:p>
    <w:p>
      <w:pPr>
        <w:spacing w:after="0" w:line="110"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As of both September 30, 2020 and 2019, SBIC II had an initial $150.0 million in debt commitments, all of which were drawn. During the years ended September 30, 2020 and 2019, $31.5 million and zero in SBA debentures were repaid, respectively. As of September 30, 2020 and 2019, the unamortized fees on the SBA debentures were $2.7 million and $3.9 million, respectively. The SBA debentures’ upfront fees of 3.4% consist of a commitment fee of 1.0% and an issuance discount of 2.4%, which are being amortized.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7"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88"/>
        </w:trPr>
        <w:tc>
          <w:tcPr>
            <w:tcW w:w="378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Our fixed-rate SBA debentures were as follows:</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5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vMerge w:val="restart"/>
          </w:tcPr>
          <w:p>
            <w:pPr>
              <w:spacing w:after="0"/>
              <w:rPr>
                <w:sz w:val="23"/>
                <w:szCs w:val="23"/>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vMerge w:val="restart"/>
          </w:tcPr>
          <w:p>
            <w:pPr>
              <w:spacing w:after="0"/>
              <w:rPr>
                <w:sz w:val="23"/>
                <w:szCs w:val="23"/>
                <w:color w:val="auto"/>
              </w:rPr>
            </w:pPr>
          </w:p>
        </w:tc>
        <w:tc>
          <w:tcPr>
            <w:tcW w:w="20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2"/>
                <w:szCs w:val="12"/>
                <w:b w:val="1"/>
                <w:bCs w:val="1"/>
                <w:color w:val="auto"/>
              </w:rPr>
              <w:t>(1)</w:t>
            </w:r>
          </w:p>
        </w:tc>
        <w:tc>
          <w:tcPr>
            <w:tcW w:w="360" w:type="dxa"/>
            <w:vAlign w:val="bottom"/>
            <w:vMerge w:val="restart"/>
          </w:tcPr>
          <w:p>
            <w:pPr>
              <w:spacing w:after="0"/>
              <w:rPr>
                <w:sz w:val="23"/>
                <w:szCs w:val="23"/>
                <w:color w:val="auto"/>
              </w:rPr>
            </w:pPr>
          </w:p>
        </w:tc>
        <w:tc>
          <w:tcPr>
            <w:tcW w:w="280" w:type="dxa"/>
            <w:vAlign w:val="bottom"/>
          </w:tcPr>
          <w:p>
            <w:pPr>
              <w:spacing w:after="0"/>
              <w:rPr>
                <w:sz w:val="23"/>
                <w:szCs w:val="23"/>
                <w:color w:val="auto"/>
              </w:rPr>
            </w:pPr>
          </w:p>
        </w:tc>
        <w:tc>
          <w:tcPr>
            <w:tcW w:w="2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73"/>
        </w:trPr>
        <w:tc>
          <w:tcPr>
            <w:tcW w:w="356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CCECFF"/>
            </w:tcBorders>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CFF"/>
            </w:tcBorders>
            <w:vMerge w:val="continue"/>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C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6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23, 2016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1, 2026</w:t>
            </w: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CFF"/>
          </w:tcPr>
          <w:p>
            <w:pPr>
              <w:spacing w:after="0"/>
              <w:rPr>
                <w:sz w:val="13"/>
                <w:szCs w:val="13"/>
                <w:color w:val="auto"/>
              </w:rPr>
            </w:pPr>
          </w:p>
        </w:tc>
        <w:tc>
          <w:tcPr>
            <w:tcW w:w="22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21, 2016</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1, 2026</w:t>
            </w:r>
          </w:p>
        </w:tc>
        <w:tc>
          <w:tcPr>
            <w:tcW w:w="204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1, 2027</w:t>
            </w:r>
          </w:p>
        </w:tc>
        <w:tc>
          <w:tcPr>
            <w:tcW w:w="204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March 1, 2028</w:t>
            </w:r>
          </w:p>
        </w:tc>
        <w:tc>
          <w:tcPr>
            <w:tcW w:w="20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color w:val="auto"/>
              </w:rPr>
              <w:t>3.5</w:t>
            </w:r>
          </w:p>
        </w:tc>
        <w:tc>
          <w:tcPr>
            <w:tcW w:w="3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58,500,000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5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20" w:type="dxa"/>
            <w:vAlign w:val="bottom"/>
            <w:vMerge w:val="restart"/>
          </w:tcPr>
          <w:p>
            <w:pPr>
              <w:spacing w:after="0"/>
              <w:rPr>
                <w:sz w:val="24"/>
                <w:szCs w:val="24"/>
                <w:color w:val="auto"/>
              </w:rPr>
            </w:pPr>
          </w:p>
        </w:tc>
        <w:tc>
          <w:tcPr>
            <w:tcW w:w="216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vMerge w:val="restart"/>
          </w:tcPr>
          <w:p>
            <w:pPr>
              <w:spacing w:after="0"/>
              <w:rPr>
                <w:sz w:val="24"/>
                <w:szCs w:val="24"/>
                <w:color w:val="auto"/>
              </w:rPr>
            </w:pPr>
          </w:p>
        </w:tc>
        <w:tc>
          <w:tcPr>
            <w:tcW w:w="20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2"/>
                <w:szCs w:val="12"/>
                <w:b w:val="1"/>
                <w:bCs w:val="1"/>
                <w:color w:val="auto"/>
              </w:rPr>
              <w:t>(1)</w:t>
            </w:r>
          </w:p>
        </w:tc>
        <w:tc>
          <w:tcPr>
            <w:tcW w:w="36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0" w:type="dxa"/>
            <w:vAlign w:val="bottom"/>
          </w:tcPr>
          <w:p>
            <w:pPr>
              <w:spacing w:after="0"/>
              <w:rPr>
                <w:sz w:val="1"/>
                <w:szCs w:val="1"/>
                <w:color w:val="auto"/>
              </w:rPr>
            </w:pPr>
          </w:p>
        </w:tc>
      </w:tr>
      <w:tr>
        <w:trPr>
          <w:trHeight w:val="173"/>
        </w:trPr>
        <w:tc>
          <w:tcPr>
            <w:tcW w:w="356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CCECFF"/>
            </w:tcBorders>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CFF"/>
            </w:tcBorders>
            <w:vMerge w:val="continue"/>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C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6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23, 2016</w:t>
            </w:r>
          </w:p>
        </w:tc>
        <w:tc>
          <w:tcPr>
            <w:tcW w:w="22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1, 2026</w:t>
            </w: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CFF"/>
          </w:tcPr>
          <w:p>
            <w:pPr>
              <w:spacing w:after="0"/>
              <w:rPr>
                <w:sz w:val="13"/>
                <w:szCs w:val="13"/>
                <w:color w:val="auto"/>
              </w:rPr>
            </w:pPr>
          </w:p>
        </w:tc>
        <w:tc>
          <w:tcPr>
            <w:tcW w:w="22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21, 2016</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1, 2026</w:t>
            </w:r>
          </w:p>
        </w:tc>
        <w:tc>
          <w:tcPr>
            <w:tcW w:w="2040" w:type="dxa"/>
            <w:vAlign w:val="bottom"/>
          </w:tcPr>
          <w:p>
            <w:pPr>
              <w:ind w:left="1840"/>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1, 2027</w:t>
            </w:r>
          </w:p>
        </w:tc>
        <w:tc>
          <w:tcPr>
            <w:tcW w:w="2040" w:type="dxa"/>
            <w:vAlign w:val="bottom"/>
            <w:shd w:val="clear" w:color="auto" w:fill="CCECFF"/>
          </w:tcPr>
          <w:p>
            <w:pPr>
              <w:ind w:left="1840"/>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31,500,000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March 1, 2028</w:t>
            </w:r>
          </w:p>
        </w:tc>
        <w:tc>
          <w:tcPr>
            <w:tcW w:w="204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4"/>
                <w:szCs w:val="14"/>
                <w:color w:val="auto"/>
              </w:rPr>
              <w:t>3.5</w:t>
            </w:r>
          </w:p>
        </w:tc>
        <w:tc>
          <w:tcPr>
            <w:tcW w:w="3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71,000,000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8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00" w:type="dxa"/>
            <w:vAlign w:val="bottom"/>
            <w:gridSpan w:val="2"/>
            <w:shd w:val="clear" w:color="auto" w:fill="CCECFF"/>
          </w:tcPr>
          <w:p>
            <w:pPr>
              <w:ind w:left="1840"/>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150,000,000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1760" w:type="dxa"/>
            <w:vAlign w:val="bottom"/>
            <w:tcBorders>
              <w:bottom w:val="single" w:sz="8" w:color="auto"/>
            </w:tcBorders>
          </w:tcPr>
          <w:p>
            <w:pPr>
              <w:spacing w:after="0"/>
              <w:rPr>
                <w:sz w:val="3"/>
                <w:szCs w:val="3"/>
                <w:color w:val="auto"/>
              </w:rPr>
            </w:pPr>
          </w:p>
        </w:tc>
        <w:tc>
          <w:tcPr>
            <w:tcW w:w="1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55"/>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Excluding 3.4% of upfront fees.</w:t>
      </w:r>
    </w:p>
    <w:p>
      <w:pPr>
        <w:spacing w:after="0" w:line="119"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2020, SBIC II was in compliance with their regulatory requirements.</w:t>
      </w:r>
    </w:p>
    <w:p>
      <w:pPr>
        <w:spacing w:after="0" w:line="110"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In accordance with the 1940 Act, with certain limited exceptions, PennantPark Investment is only allowed to borrow amounts such that our required 150% asset coverage ratio is met after such borrowing. As of September 30, 2020 and 2019,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150% which, while providing increased investment flexibility, also increases our exposure to risks associated with leverage.</w:t>
      </w:r>
    </w:p>
    <w:p>
      <w:pPr>
        <w:spacing w:after="0" w:line="96" w:lineRule="exact"/>
        <w:rPr>
          <w:sz w:val="20"/>
          <w:szCs w:val="20"/>
          <w:color w:val="auto"/>
        </w:rPr>
      </w:pPr>
    </w:p>
    <w:p>
      <w:pPr>
        <w:ind w:right="80" w:firstLine="438"/>
        <w:spacing w:after="0" w:line="261" w:lineRule="auto"/>
        <w:rPr>
          <w:sz w:val="20"/>
          <w:szCs w:val="20"/>
          <w:color w:val="auto"/>
        </w:rPr>
      </w:pPr>
      <w:r>
        <w:rPr>
          <w:rFonts w:ascii="Times New Roman" w:cs="Times New Roman" w:eastAsia="Times New Roman" w:hAnsi="Times New Roman"/>
          <w:sz w:val="14"/>
          <w:szCs w:val="14"/>
          <w:color w:val="auto"/>
        </w:rPr>
        <w:t>As of September 30, 2020 and 2019, we had cash and cash equivalents of $25.8 million and $59.5 million, respectively, available for investing and general corporate purposes. We believe our liquidity and capital resources are sufficient to take advantage of market opportunities.</w:t>
      </w:r>
    </w:p>
    <w:p>
      <w:pPr>
        <w:spacing w:after="0" w:line="95" w:lineRule="exact"/>
        <w:rPr>
          <w:sz w:val="20"/>
          <w:szCs w:val="20"/>
          <w:color w:val="auto"/>
        </w:rPr>
      </w:pPr>
    </w:p>
    <w:p>
      <w:pPr>
        <w:ind w:right="100" w:firstLine="438"/>
        <w:spacing w:after="0" w:line="261" w:lineRule="auto"/>
        <w:rPr>
          <w:sz w:val="20"/>
          <w:szCs w:val="20"/>
          <w:color w:val="auto"/>
        </w:rPr>
      </w:pPr>
      <w:r>
        <w:rPr>
          <w:rFonts w:ascii="Times New Roman" w:cs="Times New Roman" w:eastAsia="Times New Roman" w:hAnsi="Times New Roman"/>
          <w:sz w:val="14"/>
          <w:szCs w:val="14"/>
          <w:color w:val="auto"/>
        </w:rPr>
        <w:t>Our operating activities used cash of $129.6 million for the year ended September 30, 2020, and our financing activities provided cash of $95.8 million for the same period. Our operating activities used cash primarily for our investment activities and our financing activities provided cash primarily for net borrowings under our Credit Facilities.</w:t>
      </w:r>
    </w:p>
    <w:p>
      <w:pPr>
        <w:spacing w:after="0" w:line="95" w:lineRule="exact"/>
        <w:rPr>
          <w:sz w:val="20"/>
          <w:szCs w:val="20"/>
          <w:color w:val="auto"/>
        </w:rPr>
      </w:pPr>
    </w:p>
    <w:p>
      <w:pPr>
        <w:ind w:right="180" w:firstLine="438"/>
        <w:spacing w:after="0" w:line="241" w:lineRule="auto"/>
        <w:rPr>
          <w:sz w:val="20"/>
          <w:szCs w:val="20"/>
          <w:color w:val="auto"/>
        </w:rPr>
      </w:pPr>
      <w:r>
        <w:rPr>
          <w:rFonts w:ascii="Times New Roman" w:cs="Times New Roman" w:eastAsia="Times New Roman" w:hAnsi="Times New Roman"/>
          <w:sz w:val="14"/>
          <w:szCs w:val="14"/>
          <w:color w:val="auto"/>
        </w:rPr>
        <w:t>Our operating activities provided cash of $81.1 million for the year ended September 30, 2019, and our financing activities provided cash of $121.1 million for the same period. Our operating activities provided cash from sales and repayments on our investments and our financing activities provided cash primarily for net borrowings under our credit facilities as well as the issuance of the 2024 Notes, partially offset by cash used by our stock repurchase program.</w:t>
      </w:r>
    </w:p>
    <w:p>
      <w:pPr>
        <w:spacing w:after="0" w:line="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For more information regarding our borrowing arrangements, see “Business—Leverage”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Senior Securities</w:t>
      </w:r>
    </w:p>
    <w:p>
      <w:pPr>
        <w:spacing w:after="0" w:line="138" w:lineRule="exact"/>
        <w:rPr>
          <w:sz w:val="20"/>
          <w:szCs w:val="20"/>
          <w:color w:val="auto"/>
        </w:rPr>
      </w:pPr>
    </w:p>
    <w:p>
      <w:pPr>
        <w:ind w:right="140" w:firstLine="729"/>
        <w:spacing w:after="0" w:line="260" w:lineRule="auto"/>
        <w:rPr>
          <w:sz w:val="20"/>
          <w:szCs w:val="20"/>
          <w:color w:val="auto"/>
        </w:rPr>
      </w:pPr>
      <w:r>
        <w:rPr>
          <w:rFonts w:ascii="Times New Roman" w:cs="Times New Roman" w:eastAsia="Times New Roman" w:hAnsi="Times New Roman"/>
          <w:sz w:val="14"/>
          <w:szCs w:val="14"/>
          <w:color w:val="auto"/>
        </w:rPr>
        <w:t>Information about our senior securities is shown in the following table as of September 30, 2020, 2019, 2018, 2017, 2016, 2015, 2014, 2013, 2012 and 2011. The report of RSM US LLP, an independent registered public accounting firm, on the Senior Securities table as of September 30, 2020, is attached as an exhibit to this Report.</w:t>
      </w:r>
    </w:p>
    <w:tbl>
      <w:tblPr>
        <w:tblLayout w:type="fixed"/>
        <w:tblInd w:w="0" w:type="dxa"/>
        <w:tblCellMar>
          <w:top w:w="0" w:type="dxa"/>
          <w:left w:w="0" w:type="dxa"/>
          <w:bottom w:w="0" w:type="dxa"/>
          <w:right w:w="0" w:type="dxa"/>
        </w:tblCellMar>
      </w:tblPr>
      <w:tr>
        <w:trPr>
          <w:trHeight w:val="149"/>
        </w:trPr>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vMerge w:val="restart"/>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Total Amount</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Asset Coverage</w:t>
            </w:r>
          </w:p>
        </w:tc>
        <w:tc>
          <w:tcPr>
            <w:tcW w:w="400" w:type="dxa"/>
            <w:vAlign w:val="bottom"/>
          </w:tcPr>
          <w:p>
            <w:pPr>
              <w:spacing w:after="0"/>
              <w:rPr>
                <w:sz w:val="12"/>
                <w:szCs w:val="12"/>
                <w:color w:val="auto"/>
              </w:rPr>
            </w:pPr>
          </w:p>
        </w:tc>
        <w:tc>
          <w:tcPr>
            <w:tcW w:w="1880" w:type="dxa"/>
            <w:vAlign w:val="bottom"/>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w:t>
            </w:r>
          </w:p>
        </w:tc>
        <w:tc>
          <w:tcPr>
            <w:tcW w:w="240" w:type="dxa"/>
            <w:vAlign w:val="bottom"/>
            <w:vMerge w:val="restart"/>
          </w:tcPr>
          <w:p>
            <w:pPr>
              <w:spacing w:after="0"/>
              <w:rPr>
                <w:sz w:val="12"/>
                <w:szCs w:val="12"/>
                <w:color w:val="auto"/>
              </w:rPr>
            </w:pPr>
          </w:p>
        </w:tc>
        <w:tc>
          <w:tcPr>
            <w:tcW w:w="16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880" w:type="dxa"/>
            <w:vAlign w:val="bottom"/>
          </w:tcPr>
          <w:p>
            <w:pPr>
              <w:jc w:val="center"/>
              <w:ind w:right="348"/>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680" w:type="dxa"/>
            <w:vAlign w:val="bottom"/>
            <w:tcBorders>
              <w:bottom w:val="single" w:sz="8" w:color="auto"/>
            </w:tcBorders>
          </w:tcPr>
          <w:p>
            <w:pPr>
              <w:jc w:val="center"/>
              <w:ind w:left="473"/>
              <w:spacing w:after="0"/>
              <w:rPr>
                <w:sz w:val="20"/>
                <w:szCs w:val="20"/>
                <w:color w:val="auto"/>
              </w:rPr>
            </w:pPr>
            <w:r>
              <w:rPr>
                <w:rFonts w:ascii="Times New Roman" w:cs="Times New Roman" w:eastAsia="Times New Roman" w:hAnsi="Times New Roman"/>
                <w:sz w:val="14"/>
                <w:szCs w:val="14"/>
                <w:b w:val="1"/>
                <w:bCs w:val="1"/>
                <w:color w:val="auto"/>
              </w:rPr>
              <w:t xml:space="preserve">Outstanding </w:t>
            </w:r>
            <w:r>
              <w:rPr>
                <w:rFonts w:ascii="Times New Roman" w:cs="Times New Roman" w:eastAsia="Times New Roman" w:hAnsi="Times New Roman"/>
                <w:sz w:val="12"/>
                <w:szCs w:val="12"/>
                <w:b w:val="1"/>
                <w:bCs w:val="1"/>
                <w:color w:val="auto"/>
              </w:rPr>
              <w:t>(1)</w:t>
            </w:r>
          </w:p>
        </w:tc>
        <w:tc>
          <w:tcPr>
            <w:tcW w:w="5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 xml:space="preserve">Per Unit </w:t>
            </w:r>
            <w:r>
              <w:rPr>
                <w:rFonts w:ascii="Times New Roman" w:cs="Times New Roman" w:eastAsia="Times New Roman" w:hAnsi="Times New Roman"/>
                <w:sz w:val="12"/>
                <w:szCs w:val="12"/>
                <w:b w:val="1"/>
                <w:bCs w:val="1"/>
                <w:color w:val="auto"/>
              </w:rPr>
              <w:t>(2), (3)</w:t>
            </w: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Truist Credit Facility</w:t>
            </w:r>
          </w:p>
        </w:tc>
        <w:tc>
          <w:tcPr>
            <w:tcW w:w="1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2020</w:t>
            </w:r>
          </w:p>
        </w:tc>
        <w:tc>
          <w:tcPr>
            <w:tcW w:w="1680" w:type="dxa"/>
            <w:vAlign w:val="bottom"/>
            <w:shd w:val="clear" w:color="auto" w:fill="CCECFF"/>
          </w:tcPr>
          <w:p>
            <w:pPr>
              <w:jc w:val="right"/>
              <w:ind w:right="155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388,252</w:t>
            </w:r>
          </w:p>
        </w:tc>
        <w:tc>
          <w:tcPr>
            <w:tcW w:w="64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2019</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301,636</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2018</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80,520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2017</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79,393</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2016</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50,340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2015</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136,864</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2014</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55,226</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2013</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2012</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145,000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5,615</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2011</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240,900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BNP Credit Facility</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2019</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2019 Notes</w:t>
            </w:r>
          </w:p>
        </w:tc>
        <w:tc>
          <w:tcPr>
            <w:tcW w:w="168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1740" w:type="dxa"/>
            <w:vAlign w:val="bottom"/>
            <w:shd w:val="clear" w:color="auto" w:fill="CCECFF"/>
          </w:tcPr>
          <w:p>
            <w:pPr>
              <w:spacing w:after="0"/>
              <w:rPr>
                <w:sz w:val="21"/>
                <w:szCs w:val="21"/>
                <w:color w:val="auto"/>
              </w:rPr>
            </w:pPr>
          </w:p>
        </w:tc>
        <w:tc>
          <w:tcPr>
            <w:tcW w:w="340" w:type="dxa"/>
            <w:vAlign w:val="bottom"/>
            <w:shd w:val="clear" w:color="auto" w:fill="CCECFF"/>
          </w:tcPr>
          <w:p>
            <w:pPr>
              <w:spacing w:after="0"/>
              <w:rPr>
                <w:sz w:val="21"/>
                <w:szCs w:val="21"/>
                <w:color w:val="auto"/>
              </w:rPr>
            </w:pPr>
          </w:p>
        </w:tc>
        <w:tc>
          <w:tcPr>
            <w:tcW w:w="400" w:type="dxa"/>
            <w:vAlign w:val="bottom"/>
            <w:shd w:val="clear" w:color="auto" w:fill="CCECFF"/>
          </w:tcPr>
          <w:p>
            <w:pPr>
              <w:spacing w:after="0"/>
              <w:rPr>
                <w:sz w:val="21"/>
                <w:szCs w:val="21"/>
                <w:color w:val="auto"/>
              </w:rPr>
            </w:pPr>
          </w:p>
        </w:tc>
        <w:tc>
          <w:tcPr>
            <w:tcW w:w="1880" w:type="dxa"/>
            <w:vAlign w:val="bottom"/>
            <w:shd w:val="clear" w:color="auto" w:fill="CCECFF"/>
          </w:tcPr>
          <w:p>
            <w:pPr>
              <w:spacing w:after="0"/>
              <w:rPr>
                <w:sz w:val="21"/>
                <w:szCs w:val="21"/>
                <w:color w:val="auto"/>
              </w:rPr>
            </w:pPr>
          </w:p>
        </w:tc>
        <w:tc>
          <w:tcPr>
            <w:tcW w:w="56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2018</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2017</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2016</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2015</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2014</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2024 Notes</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spacing w:after="0"/>
              <w:rPr>
                <w:sz w:val="14"/>
                <w:szCs w:val="14"/>
                <w:color w:val="auto"/>
              </w:rPr>
            </w:pPr>
          </w:p>
        </w:tc>
        <w:tc>
          <w:tcPr>
            <w:tcW w:w="56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2020</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86,250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340" w:type="dxa"/>
            <w:vAlign w:val="bottom"/>
          </w:tcPr>
          <w:p>
            <w:pPr>
              <w:spacing w:after="0"/>
              <w:rPr>
                <w:sz w:val="14"/>
                <w:szCs w:val="14"/>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56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2019</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560" w:type="dxa"/>
            <w:vAlign w:val="bottom"/>
            <w:shd w:val="clear" w:color="auto" w:fill="CCECFF"/>
          </w:tcPr>
          <w:p>
            <w:pPr>
              <w:jc w:val="right"/>
              <w:ind w:right="259"/>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1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2016</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71,250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560" w:type="dxa"/>
            <w:vAlign w:val="bottom"/>
            <w:shd w:val="clear" w:color="auto" w:fill="CCECFF"/>
          </w:tcPr>
          <w:p>
            <w:pPr>
              <w:jc w:val="right"/>
              <w:ind w:right="259"/>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62"/>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2015</w:t>
            </w:r>
          </w:p>
        </w:tc>
        <w:tc>
          <w:tcPr>
            <w:tcW w:w="16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2,586</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56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62"/>
        </w:trPr>
        <w:tc>
          <w:tcPr>
            <w:tcW w:w="34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Fiscal 2014</w:t>
            </w:r>
          </w:p>
        </w:tc>
        <w:tc>
          <w:tcPr>
            <w:tcW w:w="1680" w:type="dxa"/>
            <w:vAlign w:val="bottom"/>
            <w:shd w:val="clear" w:color="auto" w:fill="CCECFF"/>
          </w:tcPr>
          <w:p>
            <w:pPr>
              <w:spacing w:after="0"/>
              <w:rPr>
                <w:sz w:val="14"/>
                <w:szCs w:val="14"/>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71,250</w:t>
            </w:r>
          </w:p>
        </w:tc>
        <w:tc>
          <w:tcPr>
            <w:tcW w:w="34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3,215</w:t>
            </w:r>
          </w:p>
        </w:tc>
        <w:tc>
          <w:tcPr>
            <w:tcW w:w="340" w:type="dxa"/>
            <w:vAlign w:val="bottom"/>
            <w:shd w:val="clear" w:color="auto" w:fill="CCECFF"/>
          </w:tcPr>
          <w:p>
            <w:pPr>
              <w:spacing w:after="0"/>
              <w:rPr>
                <w:sz w:val="14"/>
                <w:szCs w:val="14"/>
                <w:color w:val="auto"/>
              </w:rPr>
            </w:pPr>
          </w:p>
        </w:tc>
        <w:tc>
          <w:tcPr>
            <w:tcW w:w="400" w:type="dxa"/>
            <w:vAlign w:val="bottom"/>
            <w:shd w:val="clear" w:color="auto" w:fill="CCECFF"/>
          </w:tcPr>
          <w:p>
            <w:pPr>
              <w:spacing w:after="0"/>
              <w:rPr>
                <w:sz w:val="14"/>
                <w:szCs w:val="14"/>
                <w:color w:val="auto"/>
              </w:rPr>
            </w:pPr>
          </w:p>
        </w:tc>
        <w:tc>
          <w:tcPr>
            <w:tcW w:w="1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24.51</w:t>
            </w:r>
          </w:p>
        </w:tc>
        <w:tc>
          <w:tcPr>
            <w:tcW w:w="560" w:type="dxa"/>
            <w:vAlign w:val="bottom"/>
            <w:shd w:val="clear" w:color="auto" w:fill="CCECFF"/>
          </w:tcPr>
          <w:p>
            <w:pPr>
              <w:jc w:val="right"/>
              <w:ind w:right="259"/>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188"/>
        </w:trPr>
        <w:tc>
          <w:tcPr>
            <w:tcW w:w="3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Fiscal 2013</w:t>
            </w:r>
          </w:p>
        </w:tc>
        <w:tc>
          <w:tcPr>
            <w:tcW w:w="16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71,250</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4,205</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24.79</w:t>
            </w:r>
          </w:p>
        </w:tc>
        <w:tc>
          <w:tcPr>
            <w:tcW w:w="560" w:type="dxa"/>
            <w:vAlign w:val="bottom"/>
          </w:tcPr>
          <w:p>
            <w:pPr>
              <w:jc w:val="right"/>
              <w:ind w:right="259"/>
              <w:spacing w:after="0"/>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hanging="452"/>
        <w:spacing w:after="0" w:line="219" w:lineRule="auto"/>
        <w:tabs>
          <w:tab w:leader="none" w:pos="460" w:val="left"/>
        </w:tabs>
        <w:numPr>
          <w:ilvl w:val="0"/>
          <w:numId w:val="56"/>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Total cost of each class of senior securities outstanding at the end of the period presented in thousands (000s).</w:t>
      </w:r>
    </w:p>
    <w:p>
      <w:pPr>
        <w:spacing w:after="0" w:line="120" w:lineRule="exact"/>
        <w:rPr>
          <w:rFonts w:ascii="Times New Roman" w:cs="Times New Roman" w:eastAsia="Times New Roman" w:hAnsi="Times New Roman"/>
          <w:sz w:val="20"/>
          <w:szCs w:val="20"/>
          <w:b w:val="1"/>
          <w:bCs w:val="1"/>
          <w:color w:val="auto"/>
          <w:vertAlign w:val="superscript"/>
        </w:rPr>
      </w:pPr>
    </w:p>
    <w:p>
      <w:pPr>
        <w:ind w:left="460" w:right="240" w:hanging="452"/>
        <w:spacing w:after="0" w:line="183" w:lineRule="auto"/>
        <w:tabs>
          <w:tab w:leader="none" w:pos="460" w:val="left"/>
        </w:tabs>
        <w:numPr>
          <w:ilvl w:val="0"/>
          <w:numId w:val="56"/>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Times New Roman" w:cs="Times New Roman" w:eastAsia="Times New Roman" w:hAnsi="Times New Roman"/>
          <w:sz w:val="20"/>
          <w:szCs w:val="20"/>
          <w:b w:val="1"/>
          <w:bCs w:val="1"/>
          <w:color w:val="auto"/>
          <w:vertAlign w:val="superscript"/>
        </w:rPr>
      </w:pPr>
    </w:p>
    <w:p>
      <w:pPr>
        <w:ind w:left="460" w:hanging="452"/>
        <w:spacing w:after="0" w:line="187" w:lineRule="auto"/>
        <w:tabs>
          <w:tab w:leader="none" w:pos="460" w:val="left"/>
        </w:tabs>
        <w:numPr>
          <w:ilvl w:val="0"/>
          <w:numId w:val="56"/>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These amounts exclude SBA debentures from our total amount outstanding and asset coverage per unit computation pursuant to an exemptive relief letter provided by the SEC in June 2011.</w:t>
      </w:r>
    </w:p>
    <w:p>
      <w:pPr>
        <w:ind w:left="460" w:right="100" w:hanging="452"/>
        <w:spacing w:after="0" w:line="187" w:lineRule="auto"/>
        <w:tabs>
          <w:tab w:leader="none" w:pos="460" w:val="left"/>
        </w:tabs>
        <w:numPr>
          <w:ilvl w:val="0"/>
          <w:numId w:val="56"/>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The average market value per unit is derived based on the daily closing price of the 2024 Notes trading on The Nasdaq Global Select Market under the symbol “PNNTG.” The 2024 Notes were issued in increments of $25 per unit and commenced trading on September 30, 2019.</w:t>
      </w:r>
    </w:p>
    <w:p>
      <w:pPr>
        <w:spacing w:after="0" w:line="1" w:lineRule="exact"/>
        <w:rPr>
          <w:rFonts w:ascii="Times New Roman" w:cs="Times New Roman" w:eastAsia="Times New Roman" w:hAnsi="Times New Roman"/>
          <w:sz w:val="19"/>
          <w:szCs w:val="19"/>
          <w:b w:val="1"/>
          <w:bCs w:val="1"/>
          <w:color w:val="auto"/>
          <w:vertAlign w:val="superscript"/>
        </w:rPr>
      </w:pPr>
    </w:p>
    <w:p>
      <w:pPr>
        <w:ind w:left="460" w:right="280" w:hanging="452"/>
        <w:spacing w:after="0" w:line="190" w:lineRule="auto"/>
        <w:tabs>
          <w:tab w:leader="none" w:pos="460" w:val="left"/>
        </w:tabs>
        <w:numPr>
          <w:ilvl w:val="0"/>
          <w:numId w:val="56"/>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The average market value per unit is derived based on the monthly average closing price of the 2025 Notes, which were traded on the New York Stock Exchange, or NYSE, under the symbol “PNTA” since issuance. The 2025 Notes were issued in increments of $25 per unit. On June 29, 2017, the 2025 Notes were redeemed in full.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 July 2020, we and Pantheon formed PSLF, an unconsolidated joint venture. PSLF invests primarily in middle-market and other corporate debt securities consistent with our strategy.</w:t>
      </w:r>
    </w:p>
    <w:p>
      <w:pPr>
        <w:spacing w:after="0" w:line="27" w:lineRule="exact"/>
        <w:rPr>
          <w:sz w:val="20"/>
          <w:szCs w:val="20"/>
          <w:color w:val="auto"/>
        </w:rPr>
      </w:pPr>
    </w:p>
    <w:p>
      <w:pPr>
        <w:jc w:val="both"/>
        <w:ind w:right="300"/>
        <w:spacing w:after="0" w:line="234" w:lineRule="auto"/>
        <w:rPr>
          <w:sz w:val="20"/>
          <w:szCs w:val="20"/>
          <w:color w:val="auto"/>
        </w:rPr>
      </w:pPr>
      <w:r>
        <w:rPr>
          <w:rFonts w:ascii="Times New Roman" w:cs="Times New Roman" w:eastAsia="Times New Roman" w:hAnsi="Times New Roman"/>
          <w:sz w:val="14"/>
          <w:szCs w:val="14"/>
          <w:color w:val="auto"/>
        </w:rPr>
        <w:t>PSLF was formed as a Delaware limited liability company. As of September 30, 2020, PSLF had total assets of $361.8 million. PSLF’s portfolio consisted of debt investments in 37 portfolio companies as of September 30, 2020. As of September 30, 2020, at fair value, the largest investment in a single portfolio company in PSLF was $18.4 million and the five largest investments totaled $77.9 million. PSLF invests in portfolio companies in the same industries in which we may directly invest.</w:t>
      </w:r>
    </w:p>
    <w:p>
      <w:pPr>
        <w:spacing w:after="0" w:line="7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September 30, 2020, we and Pantheon owned 72% and 28%, respectively, of each of the</w:t>
      </w:r>
    </w:p>
    <w:p>
      <w:pPr>
        <w:spacing w:after="0" w:line="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outstanding subordinated notes and equity interests of PSLF. As of the same date, our investment in PSLF consisted of subordinated notes of $63.0 million and equity interests of $36.3 million.</w:t>
      </w:r>
    </w:p>
    <w:p>
      <w:pPr>
        <w:spacing w:after="0" w:line="80"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(the “Member Designees’ Committee”). All material decisions with respect to PSLF, including those involving its investment portfolio, require unanimous approval of a quorum of the Member Designees’ Committee. Quorum is defined as (i) the presence of two members of the Member Designees’ Committee; provided that at least one individual is present that was elected, designated or appointed by each of us and Pantheon; (ii) the presence of three members of Member Designees’ Committee, provided that the individual that was elected, designated or appointed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and Pantheon.</w:t>
      </w:r>
    </w:p>
    <w:p>
      <w:pPr>
        <w:spacing w:after="0" w:line="69" w:lineRule="exact"/>
        <w:rPr>
          <w:sz w:val="20"/>
          <w:szCs w:val="20"/>
          <w:color w:val="auto"/>
        </w:rPr>
      </w:pPr>
    </w:p>
    <w:p>
      <w:pPr>
        <w:ind w:right="100" w:firstLine="438"/>
        <w:spacing w:after="0" w:line="241" w:lineRule="auto"/>
        <w:rPr>
          <w:sz w:val="20"/>
          <w:szCs w:val="20"/>
          <w:color w:val="auto"/>
        </w:rPr>
      </w:pPr>
      <w:r>
        <w:rPr>
          <w:rFonts w:ascii="Times New Roman" w:cs="Times New Roman" w:eastAsia="Times New Roman" w:hAnsi="Times New Roman"/>
          <w:sz w:val="14"/>
          <w:szCs w:val="14"/>
          <w:color w:val="auto"/>
        </w:rPr>
        <w:t>Additionally, PSLF has entered into a $250.0 million senior secured revolving credit facility which bears interest at LIBOR (or an alternative risk-free interest rate index) plus 260 basis points, or the PSLF Credit Facility, with BNP Paribas through its wholly-owned subsidiary, PennantPark Investment Funding I, LLC, or PSLF Subsidiary, subject to leverage and borrowing base restrictions.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tc>
        <w:tc>
          <w:tcPr>
            <w:tcW w:w="4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3"/>
        </w:trPr>
        <w:tc>
          <w:tcPr>
            <w:tcW w:w="454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1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22"/>
                <w:szCs w:val="22"/>
                <w:color w:val="auto"/>
              </w:rPr>
            </w:pPr>
          </w:p>
        </w:tc>
      </w:tr>
      <w:tr>
        <w:trPr>
          <w:trHeight w:val="155"/>
        </w:trPr>
        <w:tc>
          <w:tcPr>
            <w:tcW w:w="454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43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353,366,358</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yield on debt investments</w:t>
            </w:r>
          </w:p>
        </w:tc>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w:t>
            </w: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4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460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18,411,916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4600" w:type="dxa"/>
            <w:vAlign w:val="bottom"/>
            <w:gridSpan w:val="2"/>
            <w:shd w:val="clear" w:color="auto" w:fill="CCEC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77,896,431</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868"/>
        </w:trPr>
        <w:tc>
          <w:tcPr>
            <w:tcW w:w="4540" w:type="dxa"/>
            <w:vAlign w:val="bottom"/>
          </w:tcPr>
          <w:p>
            <w:pPr>
              <w:spacing w:after="0"/>
              <w:rPr>
                <w:sz w:val="24"/>
                <w:szCs w:val="24"/>
                <w:color w:val="auto"/>
              </w:rPr>
            </w:pPr>
          </w:p>
        </w:tc>
        <w:tc>
          <w:tcPr>
            <w:tcW w:w="4320" w:type="dxa"/>
            <w:vAlign w:val="bottom"/>
          </w:tcPr>
          <w:p>
            <w:pPr>
              <w:jc w:val="right"/>
              <w:ind w:right="3088"/>
              <w:spacing w:after="0"/>
              <w:rPr>
                <w:sz w:val="20"/>
                <w:szCs w:val="20"/>
                <w:color w:val="auto"/>
              </w:rPr>
            </w:pPr>
            <w:r>
              <w:rPr>
                <w:rFonts w:ascii="Times New Roman" w:cs="Times New Roman" w:eastAsia="Times New Roman" w:hAnsi="Times New Roman"/>
                <w:sz w:val="14"/>
                <w:szCs w:val="14"/>
                <w:color w:val="auto"/>
              </w:rPr>
              <w:t>49</w:t>
            </w:r>
          </w:p>
        </w:tc>
        <w:tc>
          <w:tcPr>
            <w:tcW w:w="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540" w:type="dxa"/>
            <w:vAlign w:val="bottom"/>
            <w:tcBorders>
              <w:bottom w:val="single" w:sz="8" w:color="9A9A9A"/>
            </w:tcBorders>
          </w:tcPr>
          <w:p>
            <w:pPr>
              <w:spacing w:after="0"/>
              <w:rPr>
                <w:sz w:val="8"/>
                <w:szCs w:val="8"/>
                <w:color w:val="auto"/>
              </w:rPr>
            </w:pPr>
          </w:p>
        </w:tc>
        <w:tc>
          <w:tcPr>
            <w:tcW w:w="43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8" w:right="319" w:bottom="1440" w:gutter="0" w:footer="0" w:header="0"/>
        </w:sectPr>
      </w:pPr>
    </w:p>
    <w:bookmarkStart w:id="49" w:name="page50"/>
    <w:bookmarkEnd w:id="49"/>
    <w:p>
      <w:pPr>
        <w:ind w:left="44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 September 30, 2020: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6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9"/>
        </w:trPr>
        <w:tc>
          <w:tcPr>
            <w:tcW w:w="306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Advantage Sales &amp; Marketing</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4"/>
              </w:rPr>
              <w:t>Grocery</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L+325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8,627,315</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8,418,699</w:t>
            </w:r>
          </w:p>
        </w:tc>
        <w:tc>
          <w:tcPr>
            <w:tcW w:w="220" w:type="dxa"/>
            <w:vAlign w:val="bottom"/>
          </w:tcPr>
          <w:p>
            <w:pPr>
              <w:spacing w:after="0"/>
              <w:rPr>
                <w:sz w:val="11"/>
                <w:szCs w:val="11"/>
                <w:color w:val="auto"/>
              </w:rPr>
            </w:pPr>
          </w:p>
        </w:tc>
        <w:tc>
          <w:tcPr>
            <w:tcW w:w="10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8,456,926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958,950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937,238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14,571,097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14,479,603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6,546,594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6,409,225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Bazaarvoice,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14,509,210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14,408,664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14,895,515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14,683,499</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Cano Health,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18,174,687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18,411,916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6,991,975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7,125,435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13,448,313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13,316,490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2,846,226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2,858,818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12,028,384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11,888,732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14,619,623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14,295,375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444,755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443,354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L+700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14,583,983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14,413,275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Kentucky Downs,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L+850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9,978,792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10,001,050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L+750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1,998,623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1,856,411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12,365,207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12,440,731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16,770,520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15,882,625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MAG DS Corp.</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5,707,500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13,914,921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13,407,926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5.72%</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3,990,631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3,824,244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13,608,176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13,503,840</w:t>
            </w:r>
          </w:p>
        </w:tc>
        <w:tc>
          <w:tcPr>
            <w:tcW w:w="120" w:type="dxa"/>
            <w:vAlign w:val="bottom"/>
            <w:shd w:val="clear" w:color="auto" w:fill="CCECFF"/>
          </w:tcPr>
          <w:p>
            <w:pPr>
              <w:spacing w:after="0"/>
              <w:rPr>
                <w:sz w:val="11"/>
                <w:szCs w:val="11"/>
                <w:color w:val="auto"/>
              </w:rPr>
            </w:pPr>
          </w:p>
        </w:tc>
      </w:tr>
      <w:tr>
        <w:trPr>
          <w:trHeight w:val="121"/>
        </w:trPr>
        <w:tc>
          <w:tcPr>
            <w:tcW w:w="31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1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Sampling International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14,728,854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14,023,302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1,958,417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1,905,678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Sales Benchmark Index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7,748,712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7,697,903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5,378,893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5,350,411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14,096,623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13,786,875</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Communications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12,351,398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12,393,282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5.40%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12,238,771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12,228,460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5,034,725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4,928,407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1,874,970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1,905,750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5,593,575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5,480,573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14,343,185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14,438,788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8,469,082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8,471,302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UBEO,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4,700,032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4,453,816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14,112,113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13,496,711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1"/>
                <w:szCs w:val="11"/>
                <w:color w:val="auto"/>
                <w:w w:val="95"/>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14,052,223</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358,023,408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353,366,358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Equivalents—26.9%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7,353,307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7,353,307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183,412</w:t>
            </w:r>
          </w:p>
        </w:tc>
        <w:tc>
          <w:tcPr>
            <w:tcW w:w="120" w:type="dxa"/>
            <w:vAlign w:val="bottom"/>
            <w:tcBorders>
              <w:bottom w:val="single" w:sz="8" w:color="CCECFF"/>
            </w:tcBorders>
          </w:tcPr>
          <w:p>
            <w:pPr>
              <w:spacing w:after="0"/>
              <w:rPr>
                <w:sz w:val="11"/>
                <w:szCs w:val="11"/>
                <w:color w:val="auto"/>
              </w:rPr>
            </w:pPr>
          </w:p>
        </w:tc>
      </w:tr>
      <w:tr>
        <w:trPr>
          <w:trHeight w:val="129"/>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7,536,719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7,536,719</w:t>
            </w:r>
          </w:p>
        </w:tc>
        <w:tc>
          <w:tcPr>
            <w:tcW w:w="120" w:type="dxa"/>
            <w:vAlign w:val="bottom"/>
            <w:shd w:val="clear" w:color="auto" w:fill="CCECFF"/>
          </w:tcPr>
          <w:p>
            <w:pPr>
              <w:spacing w:after="0"/>
              <w:rPr>
                <w:sz w:val="11"/>
                <w:szCs w:val="11"/>
                <w:color w:val="auto"/>
              </w:rPr>
            </w:pPr>
          </w:p>
        </w:tc>
      </w:tr>
      <w:tr>
        <w:trPr>
          <w:trHeight w:val="168"/>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Equivalents—1,141.9%</w:t>
            </w:r>
          </w:p>
        </w:tc>
        <w:tc>
          <w:tcPr>
            <w:tcW w:w="6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26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58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8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365,560,127</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360,903,077</w:t>
            </w:r>
          </w:p>
        </w:tc>
        <w:tc>
          <w:tcPr>
            <w:tcW w:w="120" w:type="dxa"/>
            <w:vAlign w:val="bottom"/>
            <w:tcBorders>
              <w:bottom w:val="single" w:sz="8" w:color="CCECFF"/>
            </w:tcBorders>
          </w:tcPr>
          <w:p>
            <w:pPr>
              <w:spacing w:after="0"/>
              <w:rPr>
                <w:sz w:val="14"/>
                <w:szCs w:val="14"/>
                <w:color w:val="auto"/>
              </w:rPr>
            </w:pPr>
          </w:p>
        </w:tc>
      </w:tr>
      <w:tr>
        <w:trPr>
          <w:trHeight w:val="115"/>
        </w:trPr>
        <w:tc>
          <w:tcPr>
            <w:tcW w:w="3180" w:type="dxa"/>
            <w:vAlign w:val="bottom"/>
            <w:gridSpan w:val="3"/>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Assets—(1,041.9)%</w:t>
            </w: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(310,538,386)</w:t>
            </w:r>
          </w:p>
        </w:tc>
        <w:tc>
          <w:tcPr>
            <w:tcW w:w="120" w:type="dxa"/>
            <w:vAlign w:val="bottom"/>
            <w:shd w:val="clear" w:color="auto" w:fill="CCECFF"/>
          </w:tcPr>
          <w:p>
            <w:pPr>
              <w:spacing w:after="0"/>
              <w:rPr>
                <w:sz w:val="10"/>
                <w:szCs w:val="10"/>
                <w:color w:val="auto"/>
              </w:rPr>
            </w:pPr>
          </w:p>
        </w:tc>
      </w:tr>
      <w:tr>
        <w:trPr>
          <w:trHeight w:val="128"/>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50,364,691</w:t>
            </w:r>
          </w:p>
        </w:tc>
        <w:tc>
          <w:tcPr>
            <w:tcW w:w="120" w:type="dxa"/>
            <w:vAlign w:val="bottom"/>
          </w:tcPr>
          <w:p>
            <w:pPr>
              <w:spacing w:after="0"/>
              <w:rPr>
                <w:sz w:val="11"/>
                <w:szCs w:val="11"/>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2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32" w:lineRule="exact"/>
        <w:rPr>
          <w:sz w:val="20"/>
          <w:szCs w:val="20"/>
          <w:color w:val="auto"/>
        </w:rPr>
      </w:pPr>
    </w:p>
    <w:p>
      <w:pPr>
        <w:ind w:left="380" w:right="20" w:hanging="372"/>
        <w:spacing w:after="0" w:line="241" w:lineRule="auto"/>
        <w:tabs>
          <w:tab w:leader="none" w:pos="3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1"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PSLF’s accounting policy.</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8"/>
        </w:trPr>
        <w:tc>
          <w:tcPr>
            <w:tcW w:w="376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Below is the financial information for PSLF:</w:t>
            </w:r>
          </w:p>
        </w:tc>
        <w:tc>
          <w:tcPr>
            <w:tcW w:w="5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540" w:type="dxa"/>
            <w:vAlign w:val="bottom"/>
            <w:gridSpan w:val="3"/>
          </w:tcPr>
          <w:p>
            <w:pPr>
              <w:jc w:val="right"/>
              <w:ind w:right="2583"/>
              <w:spacing w:after="0"/>
              <w:rPr>
                <w:sz w:val="20"/>
                <w:szCs w:val="20"/>
                <w:color w:val="auto"/>
              </w:rPr>
            </w:pPr>
            <w:r>
              <w:rPr>
                <w:rFonts w:ascii="Times New Roman" w:cs="Times New Roman" w:eastAsia="Times New Roman" w:hAnsi="Times New Roman"/>
                <w:sz w:val="14"/>
                <w:szCs w:val="14"/>
                <w:b w:val="1"/>
                <w:bCs w:val="1"/>
                <w:color w:val="auto"/>
              </w:rPr>
              <w:t>Statements of Assets and Liabilities</w:t>
            </w:r>
          </w:p>
        </w:tc>
        <w:tc>
          <w:tcPr>
            <w:tcW w:w="1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62"/>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760" w:type="dxa"/>
            <w:vAlign w:val="bottom"/>
            <w:gridSpan w:val="2"/>
            <w:vMerge w:val="continue"/>
          </w:tcPr>
          <w:p>
            <w:pPr>
              <w:spacing w:after="0"/>
              <w:rPr>
                <w:sz w:val="12"/>
                <w:szCs w:val="12"/>
                <w:color w:val="auto"/>
              </w:rPr>
            </w:pPr>
          </w:p>
        </w:tc>
        <w:tc>
          <w:tcPr>
            <w:tcW w:w="5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Investments at fair value (cost—$358,023,408)</w:t>
            </w:r>
          </w:p>
        </w:tc>
        <w:tc>
          <w:tcPr>
            <w:tcW w:w="5540" w:type="dxa"/>
            <w:vAlign w:val="bottom"/>
            <w:gridSpan w:val="3"/>
            <w:shd w:val="clear" w:color="auto" w:fill="CCEC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353,366,358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(cost—$7,536,719)</w:t>
            </w: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7,536,719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5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60" w:type="dxa"/>
            <w:vAlign w:val="bottom"/>
            <w:tcBorders>
              <w:bottom w:val="single" w:sz="8" w:color="CCECFF"/>
            </w:tcBorders>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5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6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5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 payable</w:t>
            </w: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5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facility payable</w:t>
            </w: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Notes payable to members</w:t>
            </w:r>
          </w:p>
        </w:tc>
        <w:tc>
          <w:tcPr>
            <w:tcW w:w="5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5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payable on members notes</w:t>
            </w:r>
          </w:p>
        </w:tc>
        <w:tc>
          <w:tcPr>
            <w:tcW w:w="5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Accrued other expenses</w:t>
            </w:r>
          </w:p>
        </w:tc>
        <w:tc>
          <w:tcPr>
            <w:tcW w:w="5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760" w:type="dxa"/>
            <w:vAlign w:val="bottom"/>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5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8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tcBorders>
              <w:bottom w:val="single" w:sz="8" w:color="CCECFF"/>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2"/>
                <w:szCs w:val="12"/>
                <w:color w:val="auto"/>
              </w:rPr>
              <w:t>(1)</w:t>
            </w:r>
          </w:p>
        </w:tc>
        <w:tc>
          <w:tcPr>
            <w:tcW w:w="5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60" w:type="dxa"/>
            <w:vAlign w:val="bottom"/>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Members' equity</w:t>
            </w:r>
          </w:p>
        </w:tc>
        <w:tc>
          <w:tcPr>
            <w:tcW w:w="5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8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60" w:type="dxa"/>
            <w:vAlign w:val="bottom"/>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5300" w:type="dxa"/>
            <w:vAlign w:val="bottom"/>
            <w:gridSpan w:val="2"/>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hanging="372"/>
        <w:spacing w:after="0" w:line="190" w:lineRule="auto"/>
        <w:tabs>
          <w:tab w:leader="none" w:pos="380" w:val="left"/>
        </w:tabs>
        <w:numPr>
          <w:ilvl w:val="0"/>
          <w:numId w:val="5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As of September 30, 2020, PSLF did not have any unfunded commitments to fund investments.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780" w:type="dxa"/>
            <w:vAlign w:val="bottom"/>
            <w:gridSpan w:val="3"/>
          </w:tcPr>
          <w:p>
            <w:pPr>
              <w:jc w:val="right"/>
              <w:ind w:right="2443"/>
              <w:spacing w:after="0"/>
              <w:rPr>
                <w:sz w:val="20"/>
                <w:szCs w:val="20"/>
                <w:color w:val="auto"/>
              </w:rPr>
            </w:pPr>
            <w:r>
              <w:rPr>
                <w:rFonts w:ascii="Times New Roman" w:cs="Times New Roman" w:eastAsia="Times New Roman" w:hAnsi="Times New Roman"/>
                <w:sz w:val="14"/>
                <w:szCs w:val="14"/>
                <w:b w:val="1"/>
                <w:bCs w:val="1"/>
                <w:color w:val="auto"/>
              </w:rPr>
              <w:t xml:space="preserve">Statements of Operations </w:t>
            </w:r>
            <w:r>
              <w:rPr>
                <w:rFonts w:ascii="Times New Roman" w:cs="Times New Roman" w:eastAsia="Times New Roman" w:hAnsi="Times New Roman"/>
                <w:sz w:val="12"/>
                <w:szCs w:val="12"/>
                <w:b w:val="1"/>
                <w:bCs w:val="1"/>
                <w:color w:val="auto"/>
              </w:rPr>
              <w:t>(1)</w:t>
            </w:r>
          </w:p>
        </w:tc>
        <w:tc>
          <w:tcPr>
            <w:tcW w:w="2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Period Ended September 30,</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40" w:type="dxa"/>
            <w:vAlign w:val="bottom"/>
            <w:tcBorders>
              <w:bottom w:val="single" w:sz="8" w:color="CCECFF"/>
            </w:tcBorders>
          </w:tcPr>
          <w:p>
            <w:pPr>
              <w:spacing w:after="0"/>
              <w:rPr>
                <w:sz w:val="13"/>
                <w:szCs w:val="13"/>
                <w:color w:val="auto"/>
              </w:rPr>
            </w:pPr>
          </w:p>
        </w:tc>
        <w:tc>
          <w:tcPr>
            <w:tcW w:w="1200" w:type="dxa"/>
            <w:vAlign w:val="bottom"/>
            <w:tcBorders>
              <w:bottom w:val="single" w:sz="8" w:color="CCECFF"/>
            </w:tcBorders>
          </w:tcPr>
          <w:p>
            <w:pPr>
              <w:spacing w:after="0"/>
              <w:rPr>
                <w:sz w:val="13"/>
                <w:szCs w:val="13"/>
                <w:color w:val="auto"/>
              </w:rPr>
            </w:pPr>
          </w:p>
        </w:tc>
        <w:tc>
          <w:tcPr>
            <w:tcW w:w="46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20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46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478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4,504,788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46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46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4,507,232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46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and expenses on credit facility</w:t>
            </w: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1,039,327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expense on members notes</w:t>
            </w:r>
          </w:p>
        </w:tc>
        <w:tc>
          <w:tcPr>
            <w:tcW w:w="46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1,356,250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 xml:space="preserve">Other general and administrative expenses </w:t>
            </w:r>
            <w:r>
              <w:rPr>
                <w:rFonts w:ascii="Times New Roman" w:cs="Times New Roman" w:eastAsia="Times New Roman" w:hAnsi="Times New Roman"/>
                <w:sz w:val="12"/>
                <w:szCs w:val="12"/>
                <w:color w:val="auto"/>
              </w:rPr>
              <w:t>(2)</w:t>
            </w:r>
          </w:p>
        </w:tc>
        <w:tc>
          <w:tcPr>
            <w:tcW w:w="46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120,266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46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2,711,153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46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2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1,796,079</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Realized and unrealized gain on investments:</w:t>
            </w: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46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254,653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Net change in unrealized appreciation on investments</w:t>
            </w:r>
          </w:p>
        </w:tc>
        <w:tc>
          <w:tcPr>
            <w:tcW w:w="460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2,173,436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and unrealized gain from investments</w:t>
            </w:r>
          </w:p>
        </w:tc>
        <w:tc>
          <w:tcPr>
            <w:tcW w:w="46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2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2,428,089</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4620" w:type="dxa"/>
            <w:vAlign w:val="bottom"/>
            <w:gridSpan w:val="2"/>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4,224,168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29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380" w:hanging="372"/>
        <w:spacing w:after="0" w:line="185" w:lineRule="auto"/>
        <w:tabs>
          <w:tab w:leader="none" w:pos="380" w:val="left"/>
        </w:tabs>
        <w:numPr>
          <w:ilvl w:val="0"/>
          <w:numId w:val="59"/>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PSLF commenced operations on July 31, 2020.</w:t>
      </w:r>
    </w:p>
    <w:p>
      <w:pPr>
        <w:spacing w:after="0" w:line="37" w:lineRule="exact"/>
        <w:rPr>
          <w:rFonts w:ascii="Times New Roman" w:cs="Times New Roman" w:eastAsia="Times New Roman" w:hAnsi="Times New Roman"/>
          <w:sz w:val="19"/>
          <w:szCs w:val="19"/>
          <w:b w:val="1"/>
          <w:bCs w:val="1"/>
          <w:color w:val="auto"/>
          <w:vertAlign w:val="superscript"/>
        </w:rPr>
      </w:pPr>
    </w:p>
    <w:p>
      <w:pPr>
        <w:ind w:left="380" w:hanging="372"/>
        <w:spacing w:after="0" w:line="180" w:lineRule="auto"/>
        <w:tabs>
          <w:tab w:leader="none" w:pos="380" w:val="left"/>
        </w:tabs>
        <w:numPr>
          <w:ilvl w:val="0"/>
          <w:numId w:val="59"/>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0"/>
          <w:szCs w:val="10"/>
          <w:color w:val="auto"/>
        </w:rPr>
        <w:t>No management or incentive fees are payable by PSLF. If any fees were to be charged, they would be separately disclosed in the Statement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w:t>
      </w:r>
    </w:p>
    <w:p>
      <w:pPr>
        <w:spacing w:after="0" w:line="140" w:lineRule="exact"/>
        <w:rPr>
          <w:sz w:val="20"/>
          <w:szCs w:val="20"/>
          <w:color w:val="auto"/>
        </w:rPr>
      </w:pPr>
    </w:p>
    <w:p>
      <w:pPr>
        <w:ind w:right="60" w:firstLine="438"/>
        <w:spacing w:after="0" w:line="261" w:lineRule="auto"/>
        <w:rPr>
          <w:sz w:val="20"/>
          <w:szCs w:val="20"/>
          <w:color w:val="auto"/>
        </w:rPr>
      </w:pPr>
      <w:r>
        <w:rPr>
          <w:rFonts w:ascii="Times New Roman" w:cs="Times New Roman" w:eastAsia="Times New Roman" w:hAnsi="Times New Roman"/>
          <w:sz w:val="14"/>
          <w:szCs w:val="14"/>
          <w:color w:val="auto"/>
        </w:rPr>
        <w:t>A summary of our significant contractual payment obligations at cost as of September 30, 2020, including borrowings under our various debt facilities and other contractual obligations,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17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More than 5 years</w:t>
            </w:r>
          </w:p>
        </w:tc>
      </w:tr>
      <w:tr>
        <w:trPr>
          <w:trHeight w:val="155"/>
        </w:trPr>
        <w:tc>
          <w:tcPr>
            <w:tcW w:w="3680" w:type="dxa"/>
            <w:vAlign w:val="bottom"/>
            <w:tcBorders>
              <w:top w:val="single" w:sz="8" w:color="CCECFF"/>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Truist 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388.3</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32.7</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355.6</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SBA debentures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4"/>
                <w:szCs w:val="14"/>
                <w:color w:val="auto"/>
              </w:rPr>
            </w:pPr>
          </w:p>
        </w:tc>
      </w:tr>
      <w:tr>
        <w:trPr>
          <w:trHeight w:val="162"/>
        </w:trPr>
        <w:tc>
          <w:tcPr>
            <w:tcW w:w="36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2024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3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 xml:space="preserve">Total debt outstanding </w:t>
            </w:r>
            <w:r>
              <w:rPr>
                <w:rFonts w:ascii="Times New Roman" w:cs="Times New Roman" w:eastAsia="Times New Roman" w:hAnsi="Times New Roman"/>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593.0</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32.7</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441.8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118.5</w:t>
            </w:r>
          </w:p>
        </w:tc>
        <w:tc>
          <w:tcPr>
            <w:tcW w:w="120" w:type="dxa"/>
            <w:vAlign w:val="bottom"/>
          </w:tcPr>
          <w:p>
            <w:pPr>
              <w:spacing w:after="0"/>
              <w:rPr>
                <w:sz w:val="13"/>
                <w:szCs w:val="13"/>
                <w:color w:val="auto"/>
              </w:rPr>
            </w:pPr>
          </w:p>
        </w:tc>
      </w:tr>
      <w:tr>
        <w:trPr>
          <w:trHeight w:val="162"/>
        </w:trPr>
        <w:tc>
          <w:tcPr>
            <w:tcW w:w="36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Unfunded investments </w:t>
            </w:r>
            <w:r>
              <w:rPr>
                <w:rFonts w:ascii="Times New Roman" w:cs="Times New Roman" w:eastAsia="Times New Roman" w:hAnsi="Times New Roman"/>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CFF"/>
          </w:tcPr>
          <w:p>
            <w:pPr>
              <w:spacing w:after="0"/>
              <w:rPr>
                <w:sz w:val="14"/>
                <w:szCs w:val="14"/>
                <w:color w:val="auto"/>
              </w:rPr>
            </w:pPr>
          </w:p>
        </w:tc>
      </w:tr>
      <w:tr>
        <w:trPr>
          <w:trHeight w:val="155"/>
        </w:trPr>
        <w:tc>
          <w:tcPr>
            <w:tcW w:w="3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630.4</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44.1</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458.2</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122.1</w:t>
            </w:r>
          </w:p>
        </w:tc>
        <w:tc>
          <w:tcPr>
            <w:tcW w:w="120" w:type="dxa"/>
            <w:vAlign w:val="bottom"/>
          </w:tcPr>
          <w:p>
            <w:pPr>
              <w:spacing w:after="0"/>
              <w:rPr>
                <w:sz w:val="13"/>
                <w:szCs w:val="13"/>
                <w:color w:val="auto"/>
              </w:rPr>
            </w:pPr>
          </w:p>
        </w:tc>
      </w:tr>
      <w:tr>
        <w:trPr>
          <w:trHeight w:val="20"/>
        </w:trPr>
        <w:tc>
          <w:tcPr>
            <w:tcW w:w="17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
        </w:trPr>
        <w:tc>
          <w:tcPr>
            <w:tcW w:w="1760" w:type="dxa"/>
            <w:vAlign w:val="bottom"/>
            <w:tcBorders>
              <w:bottom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r>
    </w:tbl>
    <w:p>
      <w:pPr>
        <w:spacing w:after="0" w:line="32" w:lineRule="exact"/>
        <w:rPr>
          <w:sz w:val="20"/>
          <w:szCs w:val="20"/>
          <w:color w:val="auto"/>
        </w:rPr>
      </w:pPr>
    </w:p>
    <w:p>
      <w:pPr>
        <w:ind w:left="380" w:right="220" w:hanging="372"/>
        <w:spacing w:after="0" w:line="245" w:lineRule="auto"/>
        <w:tabs>
          <w:tab w:leader="none" w:pos="380" w:val="left"/>
        </w:tabs>
        <w:numPr>
          <w:ilvl w:val="0"/>
          <w:numId w:val="60"/>
        </w:numPr>
        <w:rPr>
          <w:rFonts w:ascii="Times New Roman" w:cs="Times New Roman" w:eastAsia="Times New Roman" w:hAnsi="Times New Roman"/>
          <w:sz w:val="10"/>
          <w:szCs w:val="10"/>
          <w:b w:val="1"/>
          <w:bCs w:val="1"/>
          <w:color w:val="auto"/>
        </w:rPr>
      </w:pPr>
      <w:r>
        <w:rPr>
          <w:rFonts w:ascii="Times New Roman" w:cs="Times New Roman" w:eastAsia="Times New Roman" w:hAnsi="Times New Roman"/>
          <w:sz w:val="12"/>
          <w:szCs w:val="12"/>
          <w:color w:val="auto"/>
        </w:rPr>
        <w:t>The annualized weighted average cost of debt as of September 30, 2020, excluding debt issuance and retirement costs, was 3.0% exclusive of the fee on the undrawn commitment on the Credit Facility and of upfront fees on SBA debentures.</w:t>
      </w:r>
    </w:p>
    <w:p>
      <w:pPr>
        <w:ind w:left="380" w:hanging="372"/>
        <w:spacing w:after="0" w:line="180" w:lineRule="auto"/>
        <w:tabs>
          <w:tab w:leader="none" w:pos="380" w:val="left"/>
        </w:tabs>
        <w:numPr>
          <w:ilvl w:val="0"/>
          <w:numId w:val="60"/>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0"/>
          <w:szCs w:val="10"/>
          <w:color w:val="auto"/>
        </w:rPr>
        <w:t>Unfunded debt and equity investments are disclosed in the Consolidated Schedule of Investments and Note 12 of our Consolidated Financial Statements.</w:t>
      </w:r>
    </w:p>
    <w:p>
      <w:pPr>
        <w:spacing w:after="0" w:line="119"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2020, PennantPark Investment Advisers serves as our investment adviser. PennantPark Investment, through the Investment Adviser, provides similar services to SBIC II under its investment management agreement with us. SBIC II’s investment management agreement does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1" w:name="page52"/>
    <w:bookmarkEnd w:id="51"/>
    <w:p>
      <w:pPr>
        <w:ind w:right="100" w:firstLine="438"/>
        <w:spacing w:after="0" w:line="231" w:lineRule="auto"/>
        <w:rPr>
          <w:sz w:val="20"/>
          <w:szCs w:val="20"/>
          <w:color w:val="auto"/>
        </w:rPr>
      </w:pPr>
      <w:r>
        <w:rPr>
          <w:rFonts w:ascii="Times New Roman" w:cs="Times New Roman" w:eastAsia="Times New Roman" w:hAnsi="Times New Roman"/>
          <w:sz w:val="14"/>
          <w:szCs w:val="14"/>
          <w:color w:val="auto"/>
        </w:rPr>
        <w:t>Under our Administration Agreement, which was most recently reapproved by our board of directors, including a majority of our directors who are not interested persons of us, in February 2020, the Administrator furnishes us with office facilities and administrative services necessary to conduct our day-to-day operations. PennantPark Investment, through the Administrator, provides similar services to SBIC II under its administration agreements, which are intended to have no effect on the consolidated administration fee.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96"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Developments</w:t>
      </w:r>
    </w:p>
    <w:p>
      <w:pPr>
        <w:spacing w:after="0" w:line="140" w:lineRule="exact"/>
        <w:rPr>
          <w:sz w:val="20"/>
          <w:szCs w:val="20"/>
          <w:color w:val="auto"/>
        </w:rPr>
      </w:pPr>
    </w:p>
    <w:p>
      <w:pPr>
        <w:ind w:right="140" w:firstLine="729"/>
        <w:spacing w:after="0" w:line="236" w:lineRule="auto"/>
        <w:rPr>
          <w:sz w:val="20"/>
          <w:szCs w:val="20"/>
          <w:color w:val="auto"/>
        </w:rPr>
      </w:pPr>
      <w:r>
        <w:rPr>
          <w:rFonts w:ascii="Times New Roman" w:cs="Times New Roman" w:eastAsia="Times New Roman" w:hAnsi="Times New Roman"/>
          <w:sz w:val="14"/>
          <w:szCs w:val="14"/>
          <w:color w:val="auto"/>
        </w:rPr>
        <w:t>Effective October 31, 2020, certain entities and managed accounts of the private credit investment manager of Pantheon Ventures (UK) LLP, or Pantheon, our joint-venture partner, contributed an additional $27.5 million to PSLF, bringing their total contribution to $62.5 million. Pantheon’s additional investment came in at the then current net asset value. At the same time, the Company has also invested an additional $1.8 million in PSLF. As a result, the Company currently owns 60.5% of the joint venture. Additionally, in connection with this transaction, BNP Paribas has increased the size of PSLF’s credit facility from $250.0 million to $275.0 million.</w:t>
      </w:r>
    </w:p>
    <w:p>
      <w:pPr>
        <w:spacing w:after="0" w:line="109" w:lineRule="exact"/>
        <w:rPr>
          <w:sz w:val="20"/>
          <w:szCs w:val="20"/>
          <w:color w:val="auto"/>
        </w:rPr>
      </w:pPr>
    </w:p>
    <w:p>
      <w:pPr>
        <w:ind w:firstLine="729"/>
        <w:spacing w:after="0"/>
        <w:rPr>
          <w:sz w:val="20"/>
          <w:szCs w:val="20"/>
          <w:color w:val="auto"/>
        </w:rPr>
      </w:pPr>
      <w:r>
        <w:rPr>
          <w:rFonts w:ascii="Times New Roman" w:cs="Times New Roman" w:eastAsia="Times New Roman" w:hAnsi="Times New Roman"/>
          <w:sz w:val="14"/>
          <w:szCs w:val="14"/>
          <w:color w:val="auto"/>
        </w:rPr>
        <w:t>Subsequent to September 30, 2020, our portfolio company, Cano Health, LLC (ITC Rumba, LLC), entered into a business combination agreement with Jaws Acquisition Corp (“JWS”), a special purpose acquisition vehicle, and other parties, subject to certain closing conditions, with an expected closing late first quarter or early second quarter 2021. Based on the closing stock price of JWS on November 13, 2020, our $18.8 million common stock fair valuation as of September 30, 2020 would increase to an estimated $72.3 million, which includes a combination of cash and stock, assuming the transaction closes based on the agreed terms. This would represent a net asset value increase of $0.80 per share, as of November 13, 2020. Our shares are owned by a limited partnership controlled by the financial sponsor and are subject to customary lock up restrictions. As a result, the fair value on December 31, 2020, may likely include an illiquidity discount not in the public trading values indicated above. There can be no assurance that the implied value of our equity interest will be representative of the value ultimately realized on our equity investment.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currently engage in no off-balance sheet arrangements other than our funding requirements for the unfunded investments described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p>
      <w:pPr>
        <w:spacing w:after="0" w:line="140" w:lineRule="exact"/>
        <w:rPr>
          <w:sz w:val="20"/>
          <w:szCs w:val="20"/>
          <w:color w:val="auto"/>
        </w:rPr>
      </w:pPr>
    </w:p>
    <w:p>
      <w:pPr>
        <w:jc w:val="both"/>
        <w:ind w:right="140" w:firstLine="438"/>
        <w:spacing w:after="0" w:line="241" w:lineRule="auto"/>
        <w:rPr>
          <w:sz w:val="20"/>
          <w:szCs w:val="20"/>
          <w:color w:val="auto"/>
        </w:rPr>
      </w:pPr>
      <w:r>
        <w:rPr>
          <w:rFonts w:ascii="Times New Roman" w:cs="Times New Roman" w:eastAsia="Times New Roman" w:hAnsi="Times New Roman"/>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96" w:lineRule="exact"/>
        <w:rPr>
          <w:sz w:val="20"/>
          <w:szCs w:val="20"/>
          <w:color w:val="auto"/>
        </w:rPr>
      </w:pPr>
    </w:p>
    <w:p>
      <w:pPr>
        <w:ind w:right="120" w:firstLine="438"/>
        <w:spacing w:after="0" w:line="233" w:lineRule="auto"/>
        <w:rPr>
          <w:sz w:val="20"/>
          <w:szCs w:val="20"/>
          <w:color w:val="auto"/>
        </w:rPr>
      </w:pPr>
      <w:r>
        <w:rPr>
          <w:rFonts w:ascii="Times New Roman" w:cs="Times New Roman" w:eastAsia="Times New Roman" w:hAnsi="Times New Roman"/>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0" w:lineRule="exact"/>
        <w:rPr>
          <w:sz w:val="20"/>
          <w:szCs w:val="20"/>
          <w:color w:val="auto"/>
        </w:rPr>
      </w:pPr>
    </w:p>
    <w:p>
      <w:pPr>
        <w:ind w:right="140" w:firstLine="438"/>
        <w:spacing w:after="0" w:line="236" w:lineRule="auto"/>
        <w:rPr>
          <w:sz w:val="20"/>
          <w:szCs w:val="20"/>
          <w:color w:val="auto"/>
        </w:rPr>
      </w:pPr>
      <w:r>
        <w:rPr>
          <w:rFonts w:ascii="Times New Roman" w:cs="Times New Roman" w:eastAsia="Times New Roman" w:hAnsi="Times New Roman"/>
          <w:sz w:val="14"/>
          <w:szCs w:val="14"/>
          <w:color w:val="auto"/>
        </w:rPr>
        <w:t>During the years ended September 30, 2020 and 2019, we declared distributions of $0.60 per share and $0.72 per share, respectively, for total distributions of $40.2 million and $48.4 million.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We intend to continue to make quarterly distributions to our stockholders. Our quarterly distributions, if any, are determined by our board of directors.</w:t>
      </w:r>
    </w:p>
    <w:p>
      <w:pPr>
        <w:spacing w:after="0" w:line="123" w:lineRule="exact"/>
        <w:rPr>
          <w:sz w:val="20"/>
          <w:szCs w:val="20"/>
          <w:color w:val="auto"/>
        </w:rPr>
      </w:pPr>
    </w:p>
    <w:p>
      <w:pPr>
        <w:ind w:right="260" w:firstLine="438"/>
        <w:spacing w:after="0" w:line="261" w:lineRule="auto"/>
        <w:rPr>
          <w:sz w:val="20"/>
          <w:szCs w:val="20"/>
          <w:color w:val="auto"/>
        </w:rPr>
      </w:pPr>
      <w:r>
        <w:rPr>
          <w:rFonts w:ascii="Times New Roman" w:cs="Times New Roman" w:eastAsia="Times New Roman" w:hAnsi="Times New Roman"/>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95"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27" w:lineRule="exact"/>
        <w:rPr>
          <w:sz w:val="20"/>
          <w:szCs w:val="20"/>
          <w:color w:val="auto"/>
        </w:rPr>
      </w:pPr>
    </w:p>
    <w:p>
      <w:pPr>
        <w:ind w:right="20" w:firstLine="438"/>
        <w:spacing w:after="0" w:line="227" w:lineRule="auto"/>
        <w:rPr>
          <w:sz w:val="20"/>
          <w:szCs w:val="20"/>
          <w:color w:val="auto"/>
        </w:rPr>
      </w:pPr>
      <w:r>
        <w:rPr>
          <w:rFonts w:ascii="Times New Roman" w:cs="Times New Roman" w:eastAsia="Times New Roman" w:hAnsi="Times New Roman"/>
          <w:sz w:val="14"/>
          <w:szCs w:val="14"/>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new definition of “significant subsidiary” under Rule 1-02(w)(2) of Regulation S-X, which is tailored to investment companies, (i) modifies the investment test and the income test, and (ii) eliminates the asset test currently in the definition of “significant subsidiary.” The new Rule 1-02(w)(2) of Regulation S-X is intended to more accurately capture those portfolio companies that are more likely to materially impact the financial condition of an investment company. The Final Rules will be effective on January 1, 2021, but voluntary compliance is permitted in advance of the effective date. We evaluated the impact of adopting the Final Rules on our consolidated financial statements and because the new definition of “significant subsidiary” contained therein is specific to investment companies, we elected to early adopt the Final Rules for our year ended September 30, 2020. The adoption of the Final Rules did not have a material impact on our financial statements.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52" w:name="page53"/>
    <w:bookmarkEnd w:id="52"/>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7A.</w:t>
      </w:r>
      <w:r>
        <w:rPr>
          <w:sz w:val="20"/>
          <w:szCs w:val="20"/>
          <w:color w:val="auto"/>
        </w:rPr>
        <w:tab/>
      </w:r>
      <w:r>
        <w:rPr>
          <w:rFonts w:ascii="Times New Roman" w:cs="Times New Roman" w:eastAsia="Times New Roman" w:hAnsi="Times New Roman"/>
          <w:sz w:val="14"/>
          <w:szCs w:val="14"/>
          <w:b w:val="1"/>
          <w:bCs w:val="1"/>
          <w:color w:val="auto"/>
        </w:rPr>
        <w:t>Quantitative and Qualitative Disclosures About Market Risk</w:t>
      </w:r>
    </w:p>
    <w:p>
      <w:pPr>
        <w:spacing w:after="0" w:line="138"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We are subject to financial market risks, including changes in interest rates. As of September 30, 2020, our debt portfolio consisted of 93% variable-rate investments and 13% fixed-rate investments. The variable-rate loans are usually based on a LIBOR (or an alternative risk-free floating interest rate index)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96" w:lineRule="exact"/>
        <w:rPr>
          <w:sz w:val="20"/>
          <w:szCs w:val="20"/>
          <w:color w:val="auto"/>
        </w:rPr>
      </w:pPr>
    </w:p>
    <w:p>
      <w:pPr>
        <w:ind w:right="80" w:firstLine="438"/>
        <w:spacing w:after="0" w:line="260" w:lineRule="auto"/>
        <w:rPr>
          <w:sz w:val="20"/>
          <w:szCs w:val="20"/>
          <w:color w:val="auto"/>
        </w:rPr>
      </w:pPr>
      <w:r>
        <w:rPr>
          <w:rFonts w:ascii="Times New Roman" w:cs="Times New Roman" w:eastAsia="Times New Roman" w:hAnsi="Times New Roman"/>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Interest Rates</w:t>
            </w:r>
          </w:p>
        </w:tc>
        <w:tc>
          <w:tcPr>
            <w:tcW w:w="220" w:type="dxa"/>
            <w:vAlign w:val="bottom"/>
          </w:tcPr>
          <w:p>
            <w:pPr>
              <w:spacing w:after="0"/>
              <w:rPr>
                <w:sz w:val="12"/>
                <w:szCs w:val="12"/>
                <w:color w:val="auto"/>
              </w:rPr>
            </w:pPr>
          </w:p>
        </w:tc>
        <w:tc>
          <w:tcPr>
            <w:tcW w:w="284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 Expense</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Net of Interest</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1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40" w:type="dxa"/>
            <w:vAlign w:val="bottom"/>
            <w:tcBorders>
              <w:top w:val="single" w:sz="8" w:color="auto"/>
            </w:tcBorders>
            <w:shd w:val="clear" w:color="auto" w:fill="CCECFF"/>
          </w:tcPr>
          <w:p>
            <w:pPr>
              <w:jc w:val="right"/>
              <w:ind w:right="26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534</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1%</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(1,929)</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2%</w:t>
            </w:r>
          </w:p>
        </w:tc>
        <w:tc>
          <w:tcPr>
            <w:tcW w:w="220" w:type="dxa"/>
            <w:vAlign w:val="bottom"/>
            <w:shd w:val="clear" w:color="auto" w:fill="CCECFF"/>
          </w:tcPr>
          <w:p>
            <w:pPr>
              <w:spacing w:after="0"/>
              <w:rPr>
                <w:sz w:val="14"/>
                <w:szCs w:val="14"/>
                <w:color w:val="auto"/>
              </w:rPr>
            </w:pPr>
          </w:p>
        </w:tc>
        <w:tc>
          <w:tcPr>
            <w:tcW w:w="2840" w:type="dxa"/>
            <w:vAlign w:val="bottom"/>
            <w:shd w:val="clear" w:color="auto" w:fill="CCECFF"/>
          </w:tcPr>
          <w:p>
            <w:pPr>
              <w:spacing w:after="0"/>
              <w:rPr>
                <w:sz w:val="14"/>
                <w:szCs w:val="14"/>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Up 3%</w:t>
            </w: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Up 4%</w:t>
            </w:r>
          </w:p>
        </w:tc>
        <w:tc>
          <w:tcPr>
            <w:tcW w:w="3060" w:type="dxa"/>
            <w:vAlign w:val="bottom"/>
            <w:gridSpan w:val="2"/>
            <w:shd w:val="clear" w:color="auto" w:fill="CCECFF"/>
          </w:tcPr>
          <w:p>
            <w:pPr>
              <w:jc w:val="right"/>
              <w:ind w:right="26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7,518</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3"/>
              <w:spacing w:after="0"/>
              <w:rPr>
                <w:sz w:val="20"/>
                <w:szCs w:val="20"/>
                <w:color w:val="auto"/>
              </w:rPr>
            </w:pPr>
            <w:r>
              <w:rPr>
                <w:rFonts w:ascii="Times New Roman" w:cs="Times New Roman" w:eastAsia="Times New Roman" w:hAnsi="Times New Roman"/>
                <w:sz w:val="14"/>
                <w:szCs w:val="14"/>
                <w:color w:val="auto"/>
              </w:rPr>
              <w:t>$</w:t>
            </w:r>
          </w:p>
        </w:tc>
        <w:tc>
          <w:tcPr>
            <w:tcW w:w="3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9" w:lineRule="exact"/>
        <w:rPr>
          <w:sz w:val="20"/>
          <w:szCs w:val="20"/>
          <w:color w:val="auto"/>
        </w:rPr>
      </w:pPr>
    </w:p>
    <w:p>
      <w:pPr>
        <w:jc w:val="both"/>
        <w:ind w:right="160" w:firstLine="438"/>
        <w:spacing w:after="0" w:line="241" w:lineRule="auto"/>
        <w:rPr>
          <w:sz w:val="20"/>
          <w:szCs w:val="20"/>
          <w:color w:val="auto"/>
        </w:rPr>
      </w:pPr>
      <w:r>
        <w:rPr>
          <w:rFonts w:ascii="Times New Roman" w:cs="Times New Roman" w:eastAsia="Times New Roman" w:hAnsi="Times New Roman"/>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09"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8.</w:t>
            </w:r>
          </w:p>
        </w:tc>
        <w:tc>
          <w:tcPr>
            <w:tcW w:w="7740" w:type="dxa"/>
            <w:vAlign w:val="bottom"/>
          </w:tcPr>
          <w:p>
            <w:pPr>
              <w:jc w:val="right"/>
              <w:ind w:right="3628"/>
              <w:spacing w:after="0"/>
              <w:rPr>
                <w:sz w:val="20"/>
                <w:szCs w:val="20"/>
                <w:color w:val="auto"/>
              </w:rPr>
            </w:pPr>
            <w:r>
              <w:rPr>
                <w:rFonts w:ascii="Times New Roman" w:cs="Times New Roman" w:eastAsia="Times New Roman" w:hAnsi="Times New Roman"/>
                <w:sz w:val="14"/>
                <w:szCs w:val="14"/>
                <w:b w:val="1"/>
                <w:bCs w:val="1"/>
                <w:color w:val="auto"/>
              </w:rPr>
              <w:t>Consolidated Financial Statements and Supplementary Data</w:t>
            </w:r>
          </w:p>
        </w:tc>
        <w:tc>
          <w:tcPr>
            <w:tcW w:w="2760" w:type="dxa"/>
            <w:vAlign w:val="bottom"/>
          </w:tcPr>
          <w:p>
            <w:pPr>
              <w:spacing w:after="0"/>
              <w:rPr>
                <w:sz w:val="16"/>
                <w:szCs w:val="16"/>
                <w:color w:val="auto"/>
              </w:rPr>
            </w:pPr>
          </w:p>
        </w:tc>
      </w:tr>
      <w:tr>
        <w:trPr>
          <w:trHeight w:val="311"/>
        </w:trPr>
        <w:tc>
          <w:tcPr>
            <w:tcW w:w="76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7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8500" w:type="dxa"/>
            <w:vAlign w:val="bottom"/>
            <w:gridSpan w:val="2"/>
          </w:tcPr>
          <w:p>
            <w:pPr>
              <w:spacing w:after="0"/>
              <w:rPr>
                <w:rFonts w:ascii="Times New Roman" w:cs="Times New Roman" w:eastAsia="Times New Roman" w:hAnsi="Times New Roman"/>
                <w:sz w:val="14"/>
                <w:szCs w:val="14"/>
                <w:u w:val="single" w:color="auto"/>
                <w:color w:val="0000EE"/>
              </w:rPr>
            </w:pPr>
            <w:hyperlink w:anchor="page55">
              <w:r>
                <w:rPr>
                  <w:rFonts w:ascii="Times New Roman" w:cs="Times New Roman" w:eastAsia="Times New Roman" w:hAnsi="Times New Roman"/>
                  <w:sz w:val="14"/>
                  <w:szCs w:val="14"/>
                  <w:u w:val="single" w:color="auto"/>
                  <w:color w:val="0000EE"/>
                </w:rPr>
                <w:t>Management’s Report on Internal Control over Financial Reporting</w:t>
              </w:r>
            </w:hyperlink>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351"/>
        </w:trPr>
        <w:tc>
          <w:tcPr>
            <w:tcW w:w="8500" w:type="dxa"/>
            <w:vAlign w:val="bottom"/>
            <w:gridSpan w:val="2"/>
          </w:tcPr>
          <w:p>
            <w:pPr>
              <w:spacing w:after="0"/>
              <w:rPr>
                <w:rFonts w:ascii="Times New Roman" w:cs="Times New Roman" w:eastAsia="Times New Roman" w:hAnsi="Times New Roman"/>
                <w:sz w:val="14"/>
                <w:szCs w:val="14"/>
                <w:u w:val="single" w:color="auto"/>
                <w:color w:val="0000EE"/>
              </w:rPr>
            </w:pPr>
            <w:hyperlink w:anchor="page56">
              <w:r>
                <w:rPr>
                  <w:rFonts w:ascii="Times New Roman" w:cs="Times New Roman" w:eastAsia="Times New Roman" w:hAnsi="Times New Roman"/>
                  <w:sz w:val="14"/>
                  <w:szCs w:val="14"/>
                  <w:u w:val="single" w:color="auto"/>
                  <w:color w:val="0000EE"/>
                </w:rPr>
                <w:t>Report of Independent Registered Public Accounting Firm</w:t>
              </w:r>
            </w:hyperlink>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51"/>
        </w:trPr>
        <w:tc>
          <w:tcPr>
            <w:tcW w:w="8500" w:type="dxa"/>
            <w:vAlign w:val="bottom"/>
            <w:gridSpan w:val="2"/>
          </w:tcPr>
          <w:p>
            <w:pPr>
              <w:spacing w:after="0"/>
              <w:rPr>
                <w:rFonts w:ascii="Times New Roman" w:cs="Times New Roman" w:eastAsia="Times New Roman" w:hAnsi="Times New Roman"/>
                <w:sz w:val="14"/>
                <w:szCs w:val="14"/>
                <w:u w:val="single" w:color="auto"/>
                <w:color w:val="0000EE"/>
              </w:rPr>
            </w:pPr>
            <w:hyperlink w:anchor="page57">
              <w:r>
                <w:rPr>
                  <w:rFonts w:ascii="Times New Roman" w:cs="Times New Roman" w:eastAsia="Times New Roman" w:hAnsi="Times New Roman"/>
                  <w:sz w:val="14"/>
                  <w:szCs w:val="14"/>
                  <w:u w:val="single" w:color="auto"/>
                  <w:color w:val="0000EE"/>
                </w:rPr>
                <w:t>Report of Independent Registered Public Accounting Firm On Internal Control Over Financial Reporting</w:t>
              </w:r>
            </w:hyperlink>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351"/>
        </w:trPr>
        <w:tc>
          <w:tcPr>
            <w:tcW w:w="8500" w:type="dxa"/>
            <w:vAlign w:val="bottom"/>
            <w:gridSpan w:val="2"/>
          </w:tcPr>
          <w:p>
            <w:pPr>
              <w:spacing w:after="0"/>
              <w:rPr>
                <w:rFonts w:ascii="Times New Roman" w:cs="Times New Roman" w:eastAsia="Times New Roman" w:hAnsi="Times New Roman"/>
                <w:sz w:val="14"/>
                <w:szCs w:val="14"/>
                <w:u w:val="single" w:color="auto"/>
                <w:color w:val="0000EE"/>
              </w:rPr>
            </w:pPr>
            <w:hyperlink w:anchor="page58">
              <w:r>
                <w:rPr>
                  <w:rFonts w:ascii="Times New Roman" w:cs="Times New Roman" w:eastAsia="Times New Roman" w:hAnsi="Times New Roman"/>
                  <w:sz w:val="14"/>
                  <w:szCs w:val="14"/>
                  <w:u w:val="single" w:color="auto"/>
                  <w:color w:val="0000EE"/>
                </w:rPr>
                <w:t>Consolidated Statements of Assets and Liabilities as of September 30, 2020 and 2019</w:t>
              </w:r>
            </w:hyperlink>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351"/>
        </w:trPr>
        <w:tc>
          <w:tcPr>
            <w:tcW w:w="8500" w:type="dxa"/>
            <w:vAlign w:val="bottom"/>
            <w:gridSpan w:val="2"/>
          </w:tcPr>
          <w:p>
            <w:pPr>
              <w:spacing w:after="0"/>
              <w:rPr>
                <w:rFonts w:ascii="Times New Roman" w:cs="Times New Roman" w:eastAsia="Times New Roman" w:hAnsi="Times New Roman"/>
                <w:sz w:val="14"/>
                <w:szCs w:val="14"/>
                <w:u w:val="single" w:color="auto"/>
                <w:color w:val="0000EE"/>
              </w:rPr>
            </w:pPr>
            <w:hyperlink w:anchor="page59">
              <w:r>
                <w:rPr>
                  <w:rFonts w:ascii="Times New Roman" w:cs="Times New Roman" w:eastAsia="Times New Roman" w:hAnsi="Times New Roman"/>
                  <w:sz w:val="14"/>
                  <w:szCs w:val="14"/>
                  <w:u w:val="single" w:color="auto"/>
                  <w:color w:val="0000EE"/>
                </w:rPr>
                <w:t>Consolidated Statements of Operations for the years ended September 30, 2020, 2019 and 2018</w:t>
              </w:r>
            </w:hyperlink>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351"/>
        </w:trPr>
        <w:tc>
          <w:tcPr>
            <w:tcW w:w="8500" w:type="dxa"/>
            <w:vAlign w:val="bottom"/>
            <w:gridSpan w:val="2"/>
          </w:tcPr>
          <w:p>
            <w:pPr>
              <w:spacing w:after="0"/>
              <w:rPr>
                <w:rFonts w:ascii="Times New Roman" w:cs="Times New Roman" w:eastAsia="Times New Roman" w:hAnsi="Times New Roman"/>
                <w:sz w:val="14"/>
                <w:szCs w:val="14"/>
                <w:u w:val="single" w:color="auto"/>
                <w:color w:val="0000EE"/>
              </w:rPr>
            </w:pPr>
            <w:hyperlink w:anchor="page60">
              <w:r>
                <w:rPr>
                  <w:rFonts w:ascii="Times New Roman" w:cs="Times New Roman" w:eastAsia="Times New Roman" w:hAnsi="Times New Roman"/>
                  <w:sz w:val="14"/>
                  <w:szCs w:val="14"/>
                  <w:u w:val="single" w:color="auto"/>
                  <w:color w:val="0000EE"/>
                </w:rPr>
                <w:t>Consolidated Statements of Changes in Net Assets for the years ended September 30, 2020, 2019 and 2018</w:t>
              </w:r>
            </w:hyperlink>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51"/>
        </w:trPr>
        <w:tc>
          <w:tcPr>
            <w:tcW w:w="8500" w:type="dxa"/>
            <w:vAlign w:val="bottom"/>
            <w:gridSpan w:val="2"/>
          </w:tcPr>
          <w:p>
            <w:pPr>
              <w:spacing w:after="0"/>
              <w:rPr>
                <w:rFonts w:ascii="Times New Roman" w:cs="Times New Roman" w:eastAsia="Times New Roman" w:hAnsi="Times New Roman"/>
                <w:sz w:val="14"/>
                <w:szCs w:val="14"/>
                <w:u w:val="single" w:color="auto"/>
                <w:color w:val="0000EE"/>
              </w:rPr>
            </w:pPr>
            <w:hyperlink w:anchor="page61">
              <w:r>
                <w:rPr>
                  <w:rFonts w:ascii="Times New Roman" w:cs="Times New Roman" w:eastAsia="Times New Roman" w:hAnsi="Times New Roman"/>
                  <w:sz w:val="14"/>
                  <w:szCs w:val="14"/>
                  <w:u w:val="single" w:color="auto"/>
                  <w:color w:val="0000EE"/>
                </w:rPr>
                <w:t>Consolidated Statements of Cash Flows for the years ended September 30, 2020, 2019 and 2018</w:t>
              </w:r>
            </w:hyperlink>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51"/>
        </w:trPr>
        <w:tc>
          <w:tcPr>
            <w:tcW w:w="8500" w:type="dxa"/>
            <w:vAlign w:val="bottom"/>
            <w:gridSpan w:val="2"/>
          </w:tcPr>
          <w:p>
            <w:pPr>
              <w:spacing w:after="0"/>
              <w:rPr>
                <w:rFonts w:ascii="Times New Roman" w:cs="Times New Roman" w:eastAsia="Times New Roman" w:hAnsi="Times New Roman"/>
                <w:sz w:val="14"/>
                <w:szCs w:val="14"/>
                <w:u w:val="single" w:color="auto"/>
                <w:color w:val="0000EE"/>
              </w:rPr>
            </w:pPr>
            <w:hyperlink w:anchor="page62">
              <w:r>
                <w:rPr>
                  <w:rFonts w:ascii="Times New Roman" w:cs="Times New Roman" w:eastAsia="Times New Roman" w:hAnsi="Times New Roman"/>
                  <w:sz w:val="14"/>
                  <w:szCs w:val="14"/>
                  <w:u w:val="single" w:color="auto"/>
                  <w:color w:val="0000EE"/>
                </w:rPr>
                <w:t>Consolidated Schedules of Investments as of September 30, 2020 and 2019</w:t>
              </w:r>
            </w:hyperlink>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351"/>
        </w:trPr>
        <w:tc>
          <w:tcPr>
            <w:tcW w:w="8500" w:type="dxa"/>
            <w:vAlign w:val="bottom"/>
            <w:gridSpan w:val="2"/>
          </w:tcPr>
          <w:p>
            <w:pPr>
              <w:spacing w:after="0"/>
              <w:rPr>
                <w:rFonts w:ascii="Times New Roman" w:cs="Times New Roman" w:eastAsia="Times New Roman" w:hAnsi="Times New Roman"/>
                <w:sz w:val="14"/>
                <w:szCs w:val="14"/>
                <w:u w:val="single" w:color="auto"/>
                <w:color w:val="0000EE"/>
              </w:rPr>
            </w:pPr>
            <w:hyperlink w:anchor="page69">
              <w:r>
                <w:rPr>
                  <w:rFonts w:ascii="Times New Roman" w:cs="Times New Roman" w:eastAsia="Times New Roman" w:hAnsi="Times New Roman"/>
                  <w:sz w:val="14"/>
                  <w:szCs w:val="14"/>
                  <w:u w:val="single" w:color="auto"/>
                  <w:color w:val="0000EE"/>
                </w:rPr>
                <w:t>Notes to the Consolidated Financial Statements</w:t>
              </w:r>
            </w:hyperlink>
          </w:p>
        </w:tc>
        <w:tc>
          <w:tcPr>
            <w:tcW w:w="2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513"/>
        </w:trPr>
        <w:tc>
          <w:tcPr>
            <w:tcW w:w="760" w:type="dxa"/>
            <w:vAlign w:val="bottom"/>
          </w:tcPr>
          <w:p>
            <w:pPr>
              <w:spacing w:after="0"/>
              <w:rPr>
                <w:sz w:val="24"/>
                <w:szCs w:val="24"/>
                <w:color w:val="auto"/>
              </w:rPr>
            </w:pPr>
          </w:p>
        </w:tc>
        <w:tc>
          <w:tcPr>
            <w:tcW w:w="7740" w:type="dxa"/>
            <w:vAlign w:val="bottom"/>
          </w:tcPr>
          <w:p>
            <w:pPr>
              <w:jc w:val="right"/>
              <w:ind w:right="2728"/>
              <w:spacing w:after="0"/>
              <w:rPr>
                <w:sz w:val="20"/>
                <w:szCs w:val="20"/>
                <w:color w:val="auto"/>
              </w:rPr>
            </w:pPr>
            <w:r>
              <w:rPr>
                <w:rFonts w:ascii="Times New Roman" w:cs="Times New Roman" w:eastAsia="Times New Roman" w:hAnsi="Times New Roman"/>
                <w:sz w:val="14"/>
                <w:szCs w:val="14"/>
                <w:color w:val="auto"/>
              </w:rPr>
              <w:t>54</w:t>
            </w:r>
          </w:p>
        </w:tc>
        <w:tc>
          <w:tcPr>
            <w:tcW w:w="2760" w:type="dxa"/>
            <w:vAlign w:val="bottom"/>
          </w:tcPr>
          <w:p>
            <w:pPr>
              <w:spacing w:after="0"/>
              <w:rPr>
                <w:sz w:val="24"/>
                <w:szCs w:val="24"/>
                <w:color w:val="auto"/>
              </w:rPr>
            </w:pPr>
          </w:p>
        </w:tc>
      </w:tr>
      <w:tr>
        <w:trPr>
          <w:trHeight w:val="98"/>
        </w:trPr>
        <w:tc>
          <w:tcPr>
            <w:tcW w:w="760" w:type="dxa"/>
            <w:vAlign w:val="bottom"/>
            <w:tcBorders>
              <w:bottom w:val="single" w:sz="8" w:color="9A9A9A"/>
            </w:tcBorders>
          </w:tcPr>
          <w:p>
            <w:pPr>
              <w:spacing w:after="0"/>
              <w:rPr>
                <w:sz w:val="8"/>
                <w:szCs w:val="8"/>
                <w:color w:val="auto"/>
              </w:rPr>
            </w:pPr>
          </w:p>
        </w:tc>
        <w:tc>
          <w:tcPr>
            <w:tcW w:w="77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8" w:right="319" w:bottom="1440" w:gutter="0" w:footer="0" w:header="0"/>
        </w:sectPr>
      </w:pPr>
    </w:p>
    <w:bookmarkStart w:id="54" w:name="page55"/>
    <w:bookmarkEnd w:id="54"/>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38"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as such term is defined in Exchange Act Rule 13a-15(f), and for performing an assessment of the effectiveness of internal control over financial reporting as of September 30, 2020. Our internal control system is a process designed to provide reasonable assurance to our management and board of directors regarding the preparation and fair presentation of published financial statements.</w:t>
      </w:r>
    </w:p>
    <w:p>
      <w:pPr>
        <w:spacing w:after="0" w:line="96"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109"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9"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 xml:space="preserve">Management assessed the effectiveness of PennantPark Investment’s internal control over financial reporting as of September 30, 2020. In making this assessment, we used the criteria set forth by the Committee of Sponsoring Organizations of the Treadway Commission in 2013 </w:t>
      </w:r>
      <w:r>
        <w:rPr>
          <w:rFonts w:ascii="Times New Roman" w:cs="Times New Roman" w:eastAsia="Times New Roman" w:hAnsi="Times New Roman"/>
          <w:sz w:val="14"/>
          <w:szCs w:val="14"/>
          <w:i w:val="1"/>
          <w:iCs w:val="1"/>
          <w:color w:val="auto"/>
        </w:rPr>
        <w:t>Internal Control—Integrated Framework</w:t>
      </w:r>
      <w:r>
        <w:rPr>
          <w:rFonts w:ascii="Times New Roman" w:cs="Times New Roman" w:eastAsia="Times New Roman" w:hAnsi="Times New Roman"/>
          <w:sz w:val="14"/>
          <w:szCs w:val="14"/>
          <w:color w:val="auto"/>
        </w:rPr>
        <w:t>. Based on the assessment management believes that, as of September 30, 2020, our internal control over financial reporting is effective based on those criteria.</w:t>
      </w:r>
    </w:p>
    <w:p>
      <w:pPr>
        <w:spacing w:after="0" w:line="96" w:lineRule="exact"/>
        <w:rPr>
          <w:sz w:val="20"/>
          <w:szCs w:val="20"/>
          <w:color w:val="auto"/>
        </w:rPr>
      </w:pPr>
    </w:p>
    <w:p>
      <w:pPr>
        <w:ind w:firstLine="438"/>
        <w:spacing w:after="0" w:line="261" w:lineRule="auto"/>
        <w:rPr>
          <w:sz w:val="20"/>
          <w:szCs w:val="20"/>
          <w:color w:val="auto"/>
        </w:rPr>
      </w:pPr>
      <w:r>
        <w:rPr>
          <w:rFonts w:ascii="Times New Roman" w:cs="Times New Roman" w:eastAsia="Times New Roman" w:hAnsi="Times New Roman"/>
          <w:sz w:val="14"/>
          <w:szCs w:val="14"/>
          <w:color w:val="auto"/>
        </w:rPr>
        <w:t>PennantPark Investment’s independent registered public accounting firm has issued an audit report on the effectiveness of our internal control over financial reporting as of September 30, 2020. This report appears on page 57.</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8" w:right="39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PennantPark Investment Corporation and its Subsidiaries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138"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We have audited the accompanying consolidated statements of assets and liabilities, including the consolidated schedules of investments, of PennantPark Investment Corporation and its Subsidiaries (collectively referred to as the Company) as of September 30, 2020 and 2019, and the related consolidated statements of operations, changes in net assets and cash flows for each of the three years in the period ended September 30, 2020, and the related notes to the consolidated financial statements of the Company (collectively, the financial statements). In our opinion, the financial statements present fairly, in all material respects, the financial position of the Company as of September 30, 2020 and 2019, and the results of its operations and its cash flows for each of the three years in the period ended September 30, 2020, in conformity with accounting principles generally accepted in the United States of America, and in our opinion, the related financial statement schedules, when considered in relation to the basic consolidated financial statements taken as a whole, presents fairly in all material respects the information set forth therein.</w:t>
      </w:r>
    </w:p>
    <w:p>
      <w:pPr>
        <w:spacing w:after="0" w:line="110"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 xml:space="preserve">We have also audited, in accordance with the standards of the Public Company Accounting Oversight Board (United States) (PCAOB), PennantPark Investment Corporation and its Subsidiaries’ internal control over financial reporting as of September 30, 2020,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issued by the Committee of Sponsoring Organizations of the Treadway Commission in 2013, and our report dated November 19, 2020, expressed an unqualified opinion on the effectiveness of the Company’s internal control over financial reporting.</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38" w:lineRule="exact"/>
        <w:rPr>
          <w:sz w:val="20"/>
          <w:szCs w:val="20"/>
          <w:color w:val="auto"/>
        </w:rPr>
      </w:pPr>
    </w:p>
    <w:p>
      <w:pPr>
        <w:ind w:right="20" w:firstLine="438"/>
        <w:spacing w:after="0" w:line="241"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09" w:lineRule="exact"/>
        <w:rPr>
          <w:sz w:val="20"/>
          <w:szCs w:val="20"/>
          <w:color w:val="auto"/>
        </w:rPr>
      </w:pPr>
    </w:p>
    <w:p>
      <w:pPr>
        <w:ind w:right="200" w:firstLine="438"/>
        <w:spacing w:after="0" w:line="231"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procedures included confirmation of investments owned as of September 30, 2020, by correspondence with the custodians and brokers or by other appropriate auditing procedures where replies from brokers were not received. We believe that our audits provide a reasonable basis for our opinion.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19, 2020</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the Board of Directors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PennantPark Investment Corporation and its Subsidiaries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Internal Control Over Financial Reporting</w:t>
      </w:r>
    </w:p>
    <w:p>
      <w:pPr>
        <w:spacing w:after="0" w:line="138" w:lineRule="exact"/>
        <w:rPr>
          <w:sz w:val="20"/>
          <w:szCs w:val="20"/>
          <w:color w:val="auto"/>
        </w:rPr>
      </w:pPr>
    </w:p>
    <w:p>
      <w:pPr>
        <w:ind w:right="80" w:firstLine="438"/>
        <w:spacing w:after="0" w:line="236" w:lineRule="auto"/>
        <w:rPr>
          <w:sz w:val="20"/>
          <w:szCs w:val="20"/>
          <w:color w:val="auto"/>
        </w:rPr>
      </w:pPr>
      <w:r>
        <w:rPr>
          <w:rFonts w:ascii="Times New Roman" w:cs="Times New Roman" w:eastAsia="Times New Roman" w:hAnsi="Times New Roman"/>
          <w:sz w:val="14"/>
          <w:szCs w:val="14"/>
          <w:color w:val="auto"/>
        </w:rPr>
        <w:t xml:space="preserve">We have audited PennantPark Investment Corporation and its Subsidiaries' (collectively referred to as the “Company”) internal control over financial reporting as of September 30, 2020,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issued by the Committee of Sponsoring Organizations of the Treadway Commission in 2013. In our opinion, the Company maintained, in all material respects, effective internal control over financial reporting as of September 30, 2020, based on criteria established in </w:t>
      </w:r>
      <w:r>
        <w:rPr>
          <w:rFonts w:ascii="Times New Roman" w:cs="Times New Roman" w:eastAsia="Times New Roman" w:hAnsi="Times New Roman"/>
          <w:sz w:val="14"/>
          <w:szCs w:val="14"/>
          <w:i w:val="1"/>
          <w:iCs w:val="1"/>
          <w:color w:val="auto"/>
        </w:rPr>
        <w:t>Internal Control — Integrated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Framework </w:t>
      </w:r>
      <w:r>
        <w:rPr>
          <w:rFonts w:ascii="Times New Roman" w:cs="Times New Roman" w:eastAsia="Times New Roman" w:hAnsi="Times New Roman"/>
          <w:sz w:val="14"/>
          <w:szCs w:val="14"/>
          <w:color w:val="auto"/>
        </w:rPr>
        <w:t>issued by the Committee of Sponsoring Organizations of the Treadway Commission in 2013.</w:t>
      </w:r>
    </w:p>
    <w:p>
      <w:pPr>
        <w:spacing w:after="0" w:line="109"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statements of assets and liabilities, including the consolidated schedules of investments as of September 30, 2020 and 2019, the related consolidated statements of operations, changes in net assets and cash flows for each of the three years in the period ended September 30, 2020, and the related notes to the consolidated financial statements (collectively, the financial statements) of the Company and our report dated November 19, 2020 expressed an unqualified opinion.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138" w:lineRule="exact"/>
        <w:rPr>
          <w:sz w:val="20"/>
          <w:szCs w:val="20"/>
          <w:color w:val="auto"/>
        </w:rPr>
      </w:pPr>
    </w:p>
    <w:p>
      <w:pPr>
        <w:ind w:right="140" w:firstLine="438"/>
        <w:spacing w:after="0" w:line="236"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09"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138" w:lineRule="exact"/>
        <w:rPr>
          <w:sz w:val="20"/>
          <w:szCs w:val="20"/>
          <w:color w:val="auto"/>
        </w:rPr>
      </w:pPr>
    </w:p>
    <w:p>
      <w:pPr>
        <w:ind w:right="20" w:firstLine="438"/>
        <w:spacing w:after="0" w:line="231"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ind w:right="80" w:firstLine="438"/>
        <w:spacing w:after="0" w:line="261"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19,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8" w:right="35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ASSETS AND LIABILITIES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55"/>
        </w:trPr>
        <w:tc>
          <w:tcPr>
            <w:tcW w:w="782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Investments at fair value</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 (cost—$713,683,209 and $922,304,099, respectively)</w:t>
            </w: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735,674,666</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936,632,099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Non-controlled, affiliated investments (cost—$77,628,920 and $77,600,816, respectively)</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27,753,893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49,349,338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Controlled, affiliated investments (cost—$374,260,162 and $257,117,800, respectively)</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318,342,859</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233,451,359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Total of investments (cost—$1,165,572,291 and $1,257,022,715, respectively)</w:t>
            </w: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1,081,771,418</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1,219,432,796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Cash and cash equivalents (cost—$25,801,087 and $59,546,438, respectively)</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25,806,002</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59,516,236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5,005,715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6,226,539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Distribution receivable</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1,393,716</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376,030</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662,442</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shd w:val="clear" w:color="auto" w:fill="CCECFF"/>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1,114,352,881</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1,285,838,013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Distributions payable</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8,045,413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12,068,119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5,461,508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BNP Credit Facility payable, at fair value (cost—zero and $171,000,000, respectively) (See Notes 5 and 11)</w:t>
            </w:r>
          </w:p>
        </w:tc>
        <w:tc>
          <w:tcPr>
            <w:tcW w:w="10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170,145,000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8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Truist Credit Facility payable, at fair value (cost—$388,252,000 and $301,636,000, respectively)</w:t>
            </w: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368,701,972</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295,245,214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(See Notes 5 and 11)</w:t>
            </w: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2024 Notes payable, net (par—$86,250,000 and $75,000,000, respectively) (See Notes 5 and 11)</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83,837,560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72,256,607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SBA debentures payable, net (par—$118,500,000 and $150,000,000, respectively) (See Notes 5 and 11)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115,772,677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146,111,055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Base management fee payable, net (See Note 3)</w:t>
            </w: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4,369,637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4,641,480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Interest payable on debt</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2,022,614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2,895,695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Accrued other expenses</w:t>
            </w: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432,648</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569,175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588,644,029</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703,932,345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Commitments and contingencies (See Note 12)</w:t>
            </w: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7820" w:type="dxa"/>
            <w:vAlign w:val="bottom"/>
            <w:shd w:val="clear" w:color="auto" w:fill="CCECFF"/>
          </w:tcPr>
          <w:p>
            <w:pPr>
              <w:spacing w:after="0" w:line="139" w:lineRule="exact"/>
              <w:rPr>
                <w:sz w:val="20"/>
                <w:szCs w:val="20"/>
                <w:color w:val="auto"/>
              </w:rPr>
            </w:pPr>
            <w:r>
              <w:rPr>
                <w:rFonts w:ascii="Times New Roman" w:cs="Times New Roman" w:eastAsia="Times New Roman" w:hAnsi="Times New Roman"/>
                <w:sz w:val="14"/>
                <w:szCs w:val="14"/>
                <w:color w:val="auto"/>
              </w:rPr>
              <w:t>Common stock, 67,045,105 and 67,045,105 shares issued and outstanding, respectively.</w:t>
            </w:r>
          </w:p>
        </w:tc>
        <w:tc>
          <w:tcPr>
            <w:tcW w:w="100" w:type="dxa"/>
            <w:vAlign w:val="bottom"/>
            <w:shd w:val="clear" w:color="auto" w:fill="CCECFF"/>
          </w:tcPr>
          <w:p>
            <w:pPr>
              <w:spacing w:after="0"/>
              <w:rPr>
                <w:sz w:val="12"/>
                <w:szCs w:val="12"/>
                <w:color w:val="auto"/>
              </w:rPr>
            </w:pPr>
          </w:p>
        </w:tc>
        <w:tc>
          <w:tcPr>
            <w:tcW w:w="14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67,045</w:t>
            </w:r>
          </w:p>
        </w:tc>
        <w:tc>
          <w:tcPr>
            <w:tcW w:w="28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67,045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2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Par value $0.001 per share and 100,000,000 shares authorized</w:t>
            </w:r>
          </w:p>
        </w:tc>
        <w:tc>
          <w:tcPr>
            <w:tcW w:w="100" w:type="dxa"/>
            <w:vAlign w:val="bottom"/>
            <w:shd w:val="clear" w:color="auto" w:fill="CCECFF"/>
          </w:tcPr>
          <w:p>
            <w:pPr>
              <w:spacing w:after="0"/>
              <w:rPr>
                <w:sz w:val="14"/>
                <w:szCs w:val="14"/>
                <w:color w:val="auto"/>
              </w:rPr>
            </w:pPr>
          </w:p>
        </w:tc>
        <w:tc>
          <w:tcPr>
            <w:tcW w:w="1400" w:type="dxa"/>
            <w:vAlign w:val="bottom"/>
            <w:vMerge w:val="continue"/>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vMerge w:val="continue"/>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Paid-in capital in excess of par value</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787,625,031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788,192,159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Accumulated distributable loss</w:t>
            </w:r>
          </w:p>
        </w:tc>
        <w:tc>
          <w:tcPr>
            <w:tcW w:w="100" w:type="dxa"/>
            <w:vAlign w:val="bottom"/>
            <w:shd w:val="clear" w:color="auto" w:fill="CCECFF"/>
          </w:tcPr>
          <w:p>
            <w:pPr>
              <w:spacing w:after="0"/>
              <w:rPr>
                <w:sz w:val="14"/>
                <w:szCs w:val="14"/>
                <w:color w:val="auto"/>
              </w:rPr>
            </w:pPr>
          </w:p>
        </w:tc>
        <w:tc>
          <w:tcPr>
            <w:tcW w:w="1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(261,983,224)</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(206,353,536)</w:t>
            </w:r>
          </w:p>
        </w:tc>
        <w:tc>
          <w:tcPr>
            <w:tcW w:w="0" w:type="dxa"/>
            <w:vAlign w:val="bottom"/>
          </w:tcPr>
          <w:p>
            <w:pPr>
              <w:spacing w:after="0"/>
              <w:rPr>
                <w:sz w:val="1"/>
                <w:szCs w:val="1"/>
                <w:color w:val="auto"/>
              </w:rPr>
            </w:pPr>
          </w:p>
        </w:tc>
      </w:tr>
      <w:tr>
        <w:trPr>
          <w:trHeight w:val="155"/>
        </w:trPr>
        <w:tc>
          <w:tcPr>
            <w:tcW w:w="7820" w:type="dxa"/>
            <w:vAlign w:val="bottom"/>
            <w:tcBorders>
              <w:bottom w:val="single" w:sz="8" w:color="CCECFF"/>
            </w:tcBorders>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Total net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525,708,852</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581,905,668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CECFF"/>
            </w:tcBorders>
            <w:shd w:val="clear" w:color="auto" w:fill="CCECFF"/>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net assets</w:t>
            </w: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1,114,352,881</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1,285,838,013</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asset value per share</w:t>
            </w: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vMerge w:val="continue"/>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7.84</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8.68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CECFF"/>
            </w:tcBorders>
          </w:tcPr>
          <w:p>
            <w:pPr>
              <w:spacing w:after="0"/>
              <w:rPr>
                <w:sz w:val="13"/>
                <w:szCs w:val="13"/>
                <w:color w:val="auto"/>
              </w:rPr>
            </w:pP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From non-controlled, non-affiliated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96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77,453,276</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88,060,418</w:t>
            </w:r>
          </w:p>
        </w:tc>
        <w:tc>
          <w:tcPr>
            <w:tcW w:w="240" w:type="dxa"/>
            <w:vAlign w:val="bottom"/>
            <w:shd w:val="clear" w:color="auto" w:fill="CCECFF"/>
          </w:tcPr>
          <w:p>
            <w:pPr>
              <w:spacing w:after="0"/>
              <w:rPr>
                <w:sz w:val="14"/>
                <w:szCs w:val="14"/>
                <w:color w:val="auto"/>
              </w:rPr>
            </w:pPr>
          </w:p>
        </w:tc>
        <w:tc>
          <w:tcPr>
            <w:tcW w:w="280" w:type="dxa"/>
            <w:vAlign w:val="bottom"/>
            <w:gridSpan w:val="2"/>
            <w:shd w:val="clear" w:color="auto" w:fill="CCECFF"/>
          </w:tcPr>
          <w:p>
            <w:pPr>
              <w:jc w:val="right"/>
              <w:ind w:right="143"/>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83,255,593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 in kind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7,233,317</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6,445,122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5,645,535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4,821,510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3,122,988</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6,981,507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From non-controlled, 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3,013,976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Payment in kind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2,031,589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From controlled, affiliated investments:</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3,387,858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9,381,881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4,499,350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Payment in kind</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7,328,846</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4,319,300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2,850,498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776,945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6120" w:type="dxa"/>
            <w:vAlign w:val="bottom"/>
            <w:tcBorders>
              <w:top w:val="single" w:sz="8" w:color="CCECFF"/>
            </w:tcBorders>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6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100,224,807</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112,106,654</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108,278,048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Base management fee (See Note 3)</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18,636,039</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18,225,229</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17,468,376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Performance-based incentive fee (See Note 3)</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4,579,660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5,146,696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11,492,928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and expenses on debt (See Note 11)</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32,167,755</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28,943,312</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22,818,492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Administrative services expenses (See Note 3)</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2,075,080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2,113,895</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2,086,500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general and administrative expenses</w:t>
            </w:r>
          </w:p>
        </w:tc>
        <w:tc>
          <w:tcPr>
            <w:tcW w:w="68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2,573,920</w:t>
            </w:r>
          </w:p>
        </w:tc>
        <w:tc>
          <w:tcPr>
            <w:tcW w:w="26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2,637,820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2,504,853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Expenses before Management Fees waiver, provision for taxes and financing costs</w:t>
            </w: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60,032,454</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57,066,952</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56,371,149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color w:val="auto"/>
              </w:rPr>
              <w:t>Management Fees waiver (See Note 3)</w:t>
            </w:r>
          </w:p>
        </w:tc>
        <w:tc>
          <w:tcPr>
            <w:tcW w:w="68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(1,921,987)</w:t>
            </w: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(1,427,253)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Provision for taxes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Make-whole premium (See Notes 5 and 11)</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2,162,526</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PSLF transaction costs (Note 4)</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2,184,128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Credit facility amendment and debt issuance costs (See Notes 5 and 11)</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7,080,205</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612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expenses</w:t>
            </w:r>
          </w:p>
        </w:tc>
        <w:tc>
          <w:tcPr>
            <w:tcW w:w="68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61,494,595</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67,509,683</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54,943,896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6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38,730,212</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44,596,971</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53,334,152</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Realized and change in unrealized (loss) gain on investments and debt:</w:t>
            </w: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(loss) gain on:</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(11,577,419)</w:t>
            </w:r>
          </w:p>
        </w:tc>
        <w:tc>
          <w:tcPr>
            <w:tcW w:w="28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(51,940,526)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34,813,876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(56,575,132)</w:t>
            </w: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11,042,330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Deconsolidation loss (Note 4)</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(9,249,833)</w:t>
            </w:r>
          </w:p>
        </w:tc>
        <w:tc>
          <w:tcPr>
            <w:tcW w:w="28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6120" w:type="dxa"/>
            <w:vAlign w:val="bottom"/>
            <w:tcBorders>
              <w:top w:val="single" w:sz="8" w:color="CCECFF"/>
            </w:tcBorders>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(loss) gain on investments</w:t>
            </w:r>
          </w:p>
        </w:tc>
        <w:tc>
          <w:tcPr>
            <w:tcW w:w="6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(20,827,252)</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(108,515,658)</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45,856,206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Net change in change in unrealized (depreciation) appreciation on:</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Non-controlled, non-affiliated investments</w:t>
            </w:r>
          </w:p>
        </w:tc>
        <w:tc>
          <w:tcPr>
            <w:tcW w:w="6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7,686,665</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22,788,117</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(16,751,386)</w:t>
            </w:r>
          </w:p>
        </w:tc>
        <w:tc>
          <w:tcPr>
            <w:tcW w:w="0" w:type="dxa"/>
            <w:vAlign w:val="bottom"/>
          </w:tcPr>
          <w:p>
            <w:pPr>
              <w:spacing w:after="0"/>
              <w:rPr>
                <w:sz w:val="1"/>
                <w:szCs w:val="1"/>
                <w:color w:val="auto"/>
              </w:rPr>
            </w:pPr>
          </w:p>
        </w:tc>
      </w:tr>
      <w:tr>
        <w:trPr>
          <w:trHeight w:val="162"/>
        </w:trPr>
        <w:tc>
          <w:tcPr>
            <w:tcW w:w="61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Non-controlled and controlled, affiliated investments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(53,863,620)</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51,361,260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(38,586,621)</w:t>
            </w:r>
          </w:p>
        </w:tc>
        <w:tc>
          <w:tcPr>
            <w:tcW w:w="0" w:type="dxa"/>
            <w:vAlign w:val="bottom"/>
          </w:tcPr>
          <w:p>
            <w:pPr>
              <w:spacing w:after="0"/>
              <w:rPr>
                <w:sz w:val="1"/>
                <w:szCs w:val="1"/>
                <w:color w:val="auto"/>
              </w:rPr>
            </w:pPr>
          </w:p>
        </w:tc>
      </w:tr>
      <w:tr>
        <w:trPr>
          <w:trHeight w:val="162"/>
        </w:trPr>
        <w:tc>
          <w:tcPr>
            <w:tcW w:w="612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Debt depreciation (See Notes 5 and 11)</w:t>
            </w:r>
          </w:p>
        </w:tc>
        <w:tc>
          <w:tcPr>
            <w:tcW w:w="68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12,304,242</w:t>
            </w:r>
          </w:p>
        </w:tc>
        <w:tc>
          <w:tcPr>
            <w:tcW w:w="26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5,694,116</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3,861,111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2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change in unrealized (depreciation) appreciation on investments and debt</w:t>
            </w: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(33,872,713)</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79,843,493</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(51,476,896)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and change in unrealized loss from investments and debt</w:t>
            </w:r>
          </w:p>
        </w:tc>
        <w:tc>
          <w:tcPr>
            <w:tcW w:w="68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(54,699,965)</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(28,672,165)</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(5,620,690)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12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(decrease) increase in net assets resulting from operations</w:t>
            </w:r>
          </w:p>
        </w:tc>
        <w:tc>
          <w:tcPr>
            <w:tcW w:w="68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(15,969,753)</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15,924,806</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47,713,462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120" w:type="dxa"/>
            <w:vAlign w:val="bottom"/>
            <w:tcBorders>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Net (decrease) increase in net assets resulting from operations per common share (See Note 7)</w:t>
            </w:r>
          </w:p>
        </w:tc>
        <w:tc>
          <w:tcPr>
            <w:tcW w:w="68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(0.24)</w:t>
            </w:r>
          </w:p>
        </w:tc>
        <w:tc>
          <w:tcPr>
            <w:tcW w:w="2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0.24</w:t>
            </w:r>
          </w:p>
        </w:tc>
        <w:tc>
          <w:tcPr>
            <w:tcW w:w="24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0.68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investment income per common share</w:t>
            </w:r>
          </w:p>
        </w:tc>
        <w:tc>
          <w:tcPr>
            <w:tcW w:w="9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2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0.58</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0.66</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0.75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NET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480" w:type="dxa"/>
            <w:vAlign w:val="bottom"/>
            <w:tcBorders>
              <w:bottom w:val="single" w:sz="8" w:color="CCECFF"/>
            </w:tcBorders>
          </w:tcPr>
          <w:p>
            <w:pPr>
              <w:spacing w:after="0"/>
              <w:rPr>
                <w:sz w:val="13"/>
                <w:szCs w:val="13"/>
                <w:color w:val="auto"/>
              </w:rPr>
            </w:pPr>
          </w:p>
        </w:tc>
        <w:tc>
          <w:tcPr>
            <w:tcW w:w="13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(decrease) increase in net assets resulting from operations:</w:t>
            </w: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investment income</w:t>
            </w:r>
          </w:p>
        </w:tc>
        <w:tc>
          <w:tcPr>
            <w:tcW w:w="16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38,730,212</w:t>
            </w:r>
          </w:p>
        </w:tc>
        <w:tc>
          <w:tcPr>
            <w:tcW w:w="260" w:type="dxa"/>
            <w:vAlign w:val="bottom"/>
          </w:tcPr>
          <w:p>
            <w:pPr>
              <w:spacing w:after="0"/>
              <w:rPr>
                <w:sz w:val="14"/>
                <w:szCs w:val="14"/>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44,596,971</w:t>
            </w:r>
          </w:p>
        </w:tc>
        <w:tc>
          <w:tcPr>
            <w:tcW w:w="220" w:type="dxa"/>
            <w:vAlign w:val="bottom"/>
          </w:tcPr>
          <w:p>
            <w:pPr>
              <w:spacing w:after="0"/>
              <w:rPr>
                <w:sz w:val="14"/>
                <w:szCs w:val="14"/>
                <w:color w:val="auto"/>
              </w:rPr>
            </w:pP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53,334,152</w:t>
            </w:r>
          </w:p>
        </w:tc>
        <w:tc>
          <w:tcPr>
            <w:tcW w:w="120" w:type="dxa"/>
            <w:vAlign w:val="bottom"/>
          </w:tcPr>
          <w:p>
            <w:pPr>
              <w:spacing w:after="0"/>
              <w:rPr>
                <w:sz w:val="14"/>
                <w:szCs w:val="14"/>
                <w:color w:val="auto"/>
              </w:rPr>
            </w:pPr>
          </w:p>
        </w:tc>
      </w:tr>
      <w:tr>
        <w:trPr>
          <w:trHeight w:val="162"/>
        </w:trPr>
        <w:tc>
          <w:tcPr>
            <w:tcW w:w="54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(11,577,419)</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(108,515,658)</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45,856,206</w:t>
            </w:r>
          </w:p>
        </w:tc>
        <w:tc>
          <w:tcPr>
            <w:tcW w:w="120" w:type="dxa"/>
            <w:vAlign w:val="bottom"/>
            <w:shd w:val="clear" w:color="auto" w:fill="CCECFF"/>
          </w:tcPr>
          <w:p>
            <w:pPr>
              <w:spacing w:after="0"/>
              <w:rPr>
                <w:sz w:val="14"/>
                <w:szCs w:val="14"/>
                <w:color w:val="auto"/>
              </w:rPr>
            </w:pPr>
          </w:p>
        </w:tc>
      </w:tr>
      <w:tr>
        <w:trPr>
          <w:trHeight w:val="162"/>
        </w:trPr>
        <w:tc>
          <w:tcPr>
            <w:tcW w:w="5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deconsolidation realized loss</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(9,249,833)</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62"/>
        </w:trPr>
        <w:tc>
          <w:tcPr>
            <w:tcW w:w="54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Net change in unrealized (depreciation) appreciation on investments</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(46,176,955)</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74,149,377</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(55,338,007)</w:t>
            </w:r>
          </w:p>
        </w:tc>
      </w:tr>
      <w:tr>
        <w:trPr>
          <w:trHeight w:val="162"/>
        </w:trPr>
        <w:tc>
          <w:tcPr>
            <w:tcW w:w="5480" w:type="dxa"/>
            <w:vAlign w:val="bottom"/>
            <w:tcBorders>
              <w:bottom w:val="single" w:sz="8" w:color="CCECFF"/>
            </w:tcBorders>
          </w:tcPr>
          <w:p>
            <w:pPr>
              <w:ind w:left="260"/>
              <w:spacing w:after="0"/>
              <w:rPr>
                <w:sz w:val="20"/>
                <w:szCs w:val="20"/>
                <w:color w:val="auto"/>
              </w:rPr>
            </w:pPr>
            <w:r>
              <w:rPr>
                <w:rFonts w:ascii="Times New Roman" w:cs="Times New Roman" w:eastAsia="Times New Roman" w:hAnsi="Times New Roman"/>
                <w:sz w:val="14"/>
                <w:szCs w:val="14"/>
                <w:color w:val="auto"/>
              </w:rPr>
              <w:t>Net change in unrealized depreciation on debt</w:t>
            </w:r>
          </w:p>
        </w:tc>
        <w:tc>
          <w:tcPr>
            <w:tcW w:w="13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12,304,242</w:t>
            </w:r>
          </w:p>
        </w:tc>
        <w:tc>
          <w:tcPr>
            <w:tcW w:w="2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5,694,116</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3,861,111</w:t>
            </w:r>
          </w:p>
        </w:tc>
        <w:tc>
          <w:tcPr>
            <w:tcW w:w="120" w:type="dxa"/>
            <w:vAlign w:val="bottom"/>
            <w:tcBorders>
              <w:bottom w:val="single" w:sz="8" w:color="CCECFF"/>
            </w:tcBorders>
          </w:tcPr>
          <w:p>
            <w:pPr>
              <w:spacing w:after="0"/>
              <w:rPr>
                <w:sz w:val="14"/>
                <w:szCs w:val="14"/>
                <w:color w:val="auto"/>
              </w:rPr>
            </w:pPr>
          </w:p>
        </w:tc>
      </w:tr>
      <w:tr>
        <w:trPr>
          <w:trHeight w:val="156"/>
        </w:trPr>
        <w:tc>
          <w:tcPr>
            <w:tcW w:w="5480" w:type="dxa"/>
            <w:vAlign w:val="bottom"/>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(decrease) increase in net assets resulting from operations</w:t>
            </w:r>
          </w:p>
        </w:tc>
        <w:tc>
          <w:tcPr>
            <w:tcW w:w="13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(15,969,753)</w:t>
            </w:r>
          </w:p>
        </w:tc>
        <w:tc>
          <w:tcPr>
            <w:tcW w:w="26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15,924,806</w:t>
            </w: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47,713,462</w:t>
            </w:r>
          </w:p>
        </w:tc>
        <w:tc>
          <w:tcPr>
            <w:tcW w:w="120" w:type="dxa"/>
            <w:vAlign w:val="bottom"/>
            <w:shd w:val="clear" w:color="auto" w:fill="CCECFF"/>
          </w:tcPr>
          <w:p>
            <w:pPr>
              <w:spacing w:after="0"/>
              <w:rPr>
                <w:sz w:val="13"/>
                <w:szCs w:val="13"/>
                <w:color w:val="auto"/>
              </w:rPr>
            </w:pPr>
          </w:p>
        </w:tc>
      </w:tr>
      <w:tr>
        <w:trPr>
          <w:trHeight w:val="155"/>
        </w:trPr>
        <w:tc>
          <w:tcPr>
            <w:tcW w:w="54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Distributions to stockholders:</w:t>
            </w: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4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Distribution of net investment income</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(40,227,063)</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(48,449,313)</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(50,609,467)</w:t>
            </w:r>
          </w:p>
        </w:tc>
      </w:tr>
      <w:tr>
        <w:trPr>
          <w:trHeight w:val="155"/>
        </w:trPr>
        <w:tc>
          <w:tcPr>
            <w:tcW w:w="5480" w:type="dxa"/>
            <w:vAlign w:val="bottom"/>
            <w:tcBorders>
              <w:bottom w:val="single" w:sz="8" w:color="CCECFF"/>
            </w:tcBorders>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distributions to stockholders</w:t>
            </w:r>
          </w:p>
        </w:tc>
        <w:tc>
          <w:tcPr>
            <w:tcW w:w="13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(40,227,063)</w:t>
            </w:r>
          </w:p>
        </w:tc>
        <w:tc>
          <w:tcPr>
            <w:tcW w:w="26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(48,449,313)</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(50,609,467)</w:t>
            </w:r>
          </w:p>
        </w:tc>
        <w:tc>
          <w:tcPr>
            <w:tcW w:w="12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Capital transactions:</w:t>
            </w:r>
          </w:p>
        </w:tc>
        <w:tc>
          <w:tcPr>
            <w:tcW w:w="13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5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(14,471,720)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(15,010,571)</w:t>
            </w:r>
          </w:p>
        </w:tc>
      </w:tr>
      <w:tr>
        <w:trPr>
          <w:trHeight w:val="156"/>
        </w:trPr>
        <w:tc>
          <w:tcPr>
            <w:tcW w:w="548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decrease in net assets</w:t>
            </w:r>
          </w:p>
        </w:tc>
        <w:tc>
          <w:tcPr>
            <w:tcW w:w="13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(56,196,816)</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(46,996,227)</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(17,906,576)</w:t>
            </w:r>
          </w:p>
        </w:tc>
        <w:tc>
          <w:tcPr>
            <w:tcW w:w="120" w:type="dxa"/>
            <w:vAlign w:val="bottom"/>
            <w:tcBorders>
              <w:top w:val="single" w:sz="8" w:color="CCECFF"/>
            </w:tcBorders>
            <w:shd w:val="clear" w:color="auto" w:fill="CCECFF"/>
          </w:tcPr>
          <w:p>
            <w:pPr>
              <w:spacing w:after="0"/>
              <w:rPr>
                <w:sz w:val="13"/>
                <w:szCs w:val="13"/>
                <w:color w:val="auto"/>
              </w:rPr>
            </w:pPr>
          </w:p>
        </w:tc>
      </w:tr>
      <w:tr>
        <w:trPr>
          <w:trHeight w:val="155"/>
        </w:trPr>
        <w:tc>
          <w:tcPr>
            <w:tcW w:w="54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assets:</w:t>
            </w: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480" w:type="dxa"/>
            <w:vAlign w:val="bottom"/>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Beginning of year</w:t>
            </w:r>
          </w:p>
        </w:tc>
        <w:tc>
          <w:tcPr>
            <w:tcW w:w="13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581,905,668</w:t>
            </w:r>
          </w:p>
        </w:tc>
        <w:tc>
          <w:tcPr>
            <w:tcW w:w="26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628,901,895</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646,808,471</w:t>
            </w:r>
          </w:p>
        </w:tc>
        <w:tc>
          <w:tcPr>
            <w:tcW w:w="120" w:type="dxa"/>
            <w:vAlign w:val="bottom"/>
            <w:shd w:val="clear" w:color="auto" w:fill="CCECFF"/>
          </w:tcPr>
          <w:p>
            <w:pPr>
              <w:spacing w:after="0"/>
              <w:rPr>
                <w:sz w:val="14"/>
                <w:szCs w:val="14"/>
                <w:color w:val="auto"/>
              </w:rPr>
            </w:pPr>
          </w:p>
        </w:tc>
      </w:tr>
      <w:tr>
        <w:trPr>
          <w:trHeight w:val="155"/>
        </w:trPr>
        <w:tc>
          <w:tcPr>
            <w:tcW w:w="5480" w:type="dxa"/>
            <w:vAlign w:val="bottom"/>
          </w:tcPr>
          <w:p>
            <w:pPr>
              <w:ind w:left="260"/>
              <w:spacing w:after="0" w:line="155" w:lineRule="exact"/>
              <w:rPr>
                <w:sz w:val="20"/>
                <w:szCs w:val="20"/>
                <w:color w:val="auto"/>
              </w:rPr>
            </w:pPr>
            <w:r>
              <w:rPr>
                <w:rFonts w:ascii="Times New Roman" w:cs="Times New Roman" w:eastAsia="Times New Roman" w:hAnsi="Times New Roman"/>
                <w:sz w:val="14"/>
                <w:szCs w:val="14"/>
                <w:color w:val="auto"/>
              </w:rPr>
              <w:t>End of year</w:t>
            </w:r>
          </w:p>
        </w:tc>
        <w:tc>
          <w:tcPr>
            <w:tcW w:w="132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525,708,852</w:t>
            </w:r>
          </w:p>
        </w:tc>
        <w:tc>
          <w:tcPr>
            <w:tcW w:w="26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581,905,668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628,901,895</w:t>
            </w:r>
          </w:p>
        </w:tc>
        <w:tc>
          <w:tcPr>
            <w:tcW w:w="120" w:type="dxa"/>
            <w:vAlign w:val="bottom"/>
          </w:tcPr>
          <w:p>
            <w:pPr>
              <w:spacing w:after="0"/>
              <w:rPr>
                <w:sz w:val="13"/>
                <w:szCs w:val="13"/>
                <w:color w:val="auto"/>
              </w:rPr>
            </w:pPr>
          </w:p>
        </w:tc>
      </w:tr>
      <w:tr>
        <w:trPr>
          <w:trHeight w:val="162"/>
        </w:trPr>
        <w:tc>
          <w:tcPr>
            <w:tcW w:w="54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b w:val="1"/>
                <w:bCs w:val="1"/>
                <w:color w:val="auto"/>
              </w:rPr>
              <w:t>Capital share activity:</w:t>
            </w:r>
          </w:p>
        </w:tc>
        <w:tc>
          <w:tcPr>
            <w:tcW w:w="13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62"/>
        </w:trPr>
        <w:tc>
          <w:tcPr>
            <w:tcW w:w="5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Shares of common stock repurchased</w:t>
            </w: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(2,008,853)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(2,006,878)</w:t>
            </w:r>
          </w:p>
        </w:tc>
      </w:tr>
      <w:tr>
        <w:trPr>
          <w:trHeight w:val="20"/>
        </w:trPr>
        <w:tc>
          <w:tcPr>
            <w:tcW w:w="5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STEATEMENTS OF CASH FLOWS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120" w:type="dxa"/>
            <w:vAlign w:val="bottom"/>
            <w:tcBorders>
              <w:bottom w:val="single" w:sz="8" w:color="CCECFF"/>
            </w:tcBorders>
          </w:tcPr>
          <w:p>
            <w:pPr>
              <w:spacing w:after="0"/>
              <w:rPr>
                <w:sz w:val="13"/>
                <w:szCs w:val="13"/>
                <w:color w:val="auto"/>
              </w:rPr>
            </w:pPr>
          </w:p>
        </w:tc>
        <w:tc>
          <w:tcPr>
            <w:tcW w:w="3840" w:type="dxa"/>
            <w:vAlign w:val="bottom"/>
            <w:tcBorders>
              <w:bottom w:val="single" w:sz="8" w:color="CCECFF"/>
            </w:tcBorders>
          </w:tcPr>
          <w:p>
            <w:pPr>
              <w:spacing w:after="0"/>
              <w:rPr>
                <w:sz w:val="13"/>
                <w:szCs w:val="13"/>
                <w:color w:val="auto"/>
              </w:rPr>
            </w:pPr>
          </w:p>
        </w:tc>
        <w:tc>
          <w:tcPr>
            <w:tcW w:w="84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96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98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0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(decrease) increase in net assets resulting from operations</w:t>
            </w:r>
          </w:p>
        </w:tc>
        <w:tc>
          <w:tcPr>
            <w:tcW w:w="112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(15,969,753)</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15,924,806</w:t>
            </w:r>
          </w:p>
        </w:tc>
        <w:tc>
          <w:tcPr>
            <w:tcW w:w="220" w:type="dxa"/>
            <w:vAlign w:val="bottom"/>
          </w:tcPr>
          <w:p>
            <w:pPr>
              <w:spacing w:after="0"/>
              <w:rPr>
                <w:sz w:val="14"/>
                <w:szCs w:val="14"/>
                <w:color w:val="auto"/>
              </w:rPr>
            </w:pPr>
          </w:p>
        </w:tc>
        <w:tc>
          <w:tcPr>
            <w:tcW w:w="3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47,713,462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960" w:type="dxa"/>
            <w:vAlign w:val="bottom"/>
            <w:gridSpan w:val="2"/>
            <w:shd w:val="clear" w:color="auto" w:fill="CCECFF"/>
          </w:tcPr>
          <w:p>
            <w:pPr>
              <w:ind w:left="500"/>
              <w:spacing w:after="0" w:line="139" w:lineRule="exact"/>
              <w:rPr>
                <w:sz w:val="20"/>
                <w:szCs w:val="20"/>
                <w:color w:val="auto"/>
              </w:rPr>
            </w:pPr>
            <w:r>
              <w:rPr>
                <w:rFonts w:ascii="Times New Roman" w:cs="Times New Roman" w:eastAsia="Times New Roman" w:hAnsi="Times New Roman"/>
                <w:sz w:val="14"/>
                <w:szCs w:val="14"/>
                <w:color w:val="auto"/>
              </w:rPr>
              <w:t>Adjustments to reconcile net (decrease) increase in net assets resulting from</w:t>
            </w:r>
          </w:p>
        </w:tc>
        <w:tc>
          <w:tcPr>
            <w:tcW w:w="8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8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gridSpan w:val="2"/>
            <w:shd w:val="clear" w:color="auto" w:fill="CCECFF"/>
          </w:tcPr>
          <w:p>
            <w:pPr>
              <w:ind w:left="600"/>
              <w:spacing w:after="0"/>
              <w:rPr>
                <w:sz w:val="20"/>
                <w:szCs w:val="20"/>
                <w:color w:val="auto"/>
              </w:rPr>
            </w:pPr>
            <w:r>
              <w:rPr>
                <w:rFonts w:ascii="Times New Roman" w:cs="Times New Roman" w:eastAsia="Times New Roman" w:hAnsi="Times New Roman"/>
                <w:sz w:val="14"/>
                <w:szCs w:val="14"/>
                <w:color w:val="auto"/>
              </w:rPr>
              <w:t>operations to net cash (used in) provided by operating activities: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Net change in net unrealized depreciation (appreciation) on investments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46,176,955</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(74,149,377)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55,338,007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Net change in unrealized depreciation on debt</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(12,304,242)</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(5,694,116)</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(3,861,111)</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11,577,419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108,515,658</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(45,856,206)</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Deconsolidation realized loss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9,249,833</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Net accretion of discount and amortization of premium</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(2,592,265)</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(2,631,213)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(2,285,720)</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Purchases of investments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(319,307,932)</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(533,619,983)</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(604,740,676)</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Payment-in-kind income</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(14,549,188)</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(12,011,137)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(11,404,966)</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Proceeds from dispositions of investments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162,693,343</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426,498,436</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630,502,386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1,857,349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744,433</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1,730,326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Decrease (increase) in interest receivable</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1,220,824</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1,380,425</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(1,699,988)</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Increase in distribution receivable</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(1,393,716)</w:t>
            </w: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(Increase) decrease in prepaid expenses and other assets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(437,144)</w:t>
            </w: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257,593</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3,589,054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Increase (decrease) in payable for investments purchased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5,461,508</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(1,014,000)</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Decrease in interest payable on debt</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(873,081)</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(3,680,698)</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(300,363)</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(Decrease) increase in base management fee payable, net</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(271,843)</w:t>
            </w: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554,649</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(758,406)</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(Decrease) increase in performance-based incentive fee payable, net</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(2,964,265)</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694,257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Decrease in accrued other expenses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(136,527)</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(248,997)</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(705,253)</w:t>
            </w:r>
          </w:p>
        </w:tc>
        <w:tc>
          <w:tcPr>
            <w:tcW w:w="0" w:type="dxa"/>
            <w:vAlign w:val="bottom"/>
          </w:tcPr>
          <w:p>
            <w:pPr>
              <w:spacing w:after="0"/>
              <w:rPr>
                <w:sz w:val="1"/>
                <w:szCs w:val="1"/>
                <w:color w:val="auto"/>
              </w:rPr>
            </w:pPr>
          </w:p>
        </w:tc>
      </w:tr>
      <w:tr>
        <w:trPr>
          <w:trHeight w:val="155"/>
        </w:trPr>
        <w:tc>
          <w:tcPr>
            <w:tcW w:w="5960" w:type="dxa"/>
            <w:vAlign w:val="bottom"/>
            <w:tcBorders>
              <w:top w:val="single" w:sz="8" w:color="CCECFF"/>
            </w:tcBorders>
            <w:gridSpan w:val="2"/>
            <w:shd w:val="clear" w:color="auto" w:fill="CCECFF"/>
          </w:tcPr>
          <w:p>
            <w:pPr>
              <w:ind w:left="1480"/>
              <w:spacing w:after="0" w:line="155"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8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(129,598,460)</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(81,123,786)</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66,940,803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(14,471,720)</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(15,010,571)</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Distributions paid to stockholders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(44,249,769)</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(48,810,906)</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(50,970,704)</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Borrowings under SBA debentures</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69,278,250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Repayments of SBA debentures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(31,500,000)</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(30,000,000)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(90,000,000)</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Net proceeds from 2024 Notes issuance</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10,912,500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72,250,000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Repayments of 2019 Notes</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(250,000,000)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Borrowings under BNP Credit Facility</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90,000,000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194,000,000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Repayments under BNP Credit Facility</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(16,000,000)</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(23,000,000)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1000"/>
              <w:spacing w:after="0"/>
              <w:rPr>
                <w:sz w:val="20"/>
                <w:szCs w:val="20"/>
                <w:color w:val="auto"/>
              </w:rPr>
            </w:pPr>
            <w:r>
              <w:rPr>
                <w:rFonts w:ascii="Times New Roman" w:cs="Times New Roman" w:eastAsia="Times New Roman" w:hAnsi="Times New Roman"/>
                <w:sz w:val="14"/>
                <w:szCs w:val="14"/>
                <w:color w:val="auto"/>
              </w:rPr>
              <w:t>Borrowings under Truist Credit Facility</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331,000,000</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697,000,000</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235,520,000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Repayments under Truist Credit Facility</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(244,384,000)</w:t>
            </w: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(475,884,000)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(234,392,900)</w:t>
            </w:r>
          </w:p>
        </w:tc>
        <w:tc>
          <w:tcPr>
            <w:tcW w:w="0" w:type="dxa"/>
            <w:vAlign w:val="bottom"/>
          </w:tcPr>
          <w:p>
            <w:pPr>
              <w:spacing w:after="0"/>
              <w:rPr>
                <w:sz w:val="1"/>
                <w:szCs w:val="1"/>
                <w:color w:val="auto"/>
              </w:rPr>
            </w:pPr>
          </w:p>
        </w:tc>
      </w:tr>
      <w:tr>
        <w:trPr>
          <w:trHeight w:val="155"/>
        </w:trPr>
        <w:tc>
          <w:tcPr>
            <w:tcW w:w="5960" w:type="dxa"/>
            <w:vAlign w:val="bottom"/>
            <w:tcBorders>
              <w:top w:val="single" w:sz="8" w:color="CCECFF"/>
            </w:tcBorders>
            <w:gridSpan w:val="2"/>
            <w:shd w:val="clear" w:color="auto" w:fill="CCECFF"/>
          </w:tcPr>
          <w:p>
            <w:pPr>
              <w:ind w:left="1480"/>
              <w:spacing w:after="0" w:line="155"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95,778,731</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121,083,374</w:t>
            </w:r>
          </w:p>
        </w:tc>
        <w:tc>
          <w:tcPr>
            <w:tcW w:w="22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(85,575,925)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(decrease) increase in cash and cash equivalents</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(33,819,729)</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39,959,588</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(18,635,122)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8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109,495</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50,494</w:t>
            </w:r>
          </w:p>
        </w:tc>
        <w:tc>
          <w:tcPr>
            <w:tcW w:w="22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(60,792)</w:t>
            </w:r>
          </w:p>
        </w:tc>
        <w:tc>
          <w:tcPr>
            <w:tcW w:w="0" w:type="dxa"/>
            <w:vAlign w:val="bottom"/>
          </w:tcPr>
          <w:p>
            <w:pPr>
              <w:spacing w:after="0"/>
              <w:rPr>
                <w:sz w:val="1"/>
                <w:szCs w:val="1"/>
                <w:color w:val="auto"/>
              </w:rPr>
            </w:pPr>
          </w:p>
        </w:tc>
      </w:tr>
      <w:tr>
        <w:trPr>
          <w:trHeight w:val="162"/>
        </w:trPr>
        <w:tc>
          <w:tcPr>
            <w:tcW w:w="5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Cash and cash equivalents, beginning of year</w:t>
            </w:r>
          </w:p>
        </w:tc>
        <w:tc>
          <w:tcPr>
            <w:tcW w:w="8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59,516,236</w:t>
            </w:r>
          </w:p>
        </w:tc>
        <w:tc>
          <w:tcPr>
            <w:tcW w:w="2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19,506,154</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38,202,068</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960" w:type="dxa"/>
            <w:vAlign w:val="bottom"/>
            <w:tcBorders>
              <w:bottom w:val="single" w:sz="8" w:color="CCECFF"/>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8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25,806,002</w:t>
            </w:r>
          </w:p>
        </w:tc>
        <w:tc>
          <w:tcPr>
            <w:tcW w:w="26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59,516,236</w:t>
            </w:r>
          </w:p>
        </w:tc>
        <w:tc>
          <w:tcPr>
            <w:tcW w:w="22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19,506,154</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w:t>
            </w: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9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9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paid</w:t>
            </w:r>
          </w:p>
        </w:tc>
        <w:tc>
          <w:tcPr>
            <w:tcW w:w="112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31,183,487</w:t>
            </w:r>
          </w:p>
        </w:tc>
        <w:tc>
          <w:tcPr>
            <w:tcW w:w="26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31,879,577</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21,388,530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CFF"/>
              <w:bottom w:val="single" w:sz="8" w:color="CCECFF"/>
            </w:tcBorders>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Taxes paid</w:t>
            </w:r>
          </w:p>
        </w:tc>
        <w:tc>
          <w:tcPr>
            <w:tcW w:w="84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60" w:type="dxa"/>
            <w:vAlign w:val="bottom"/>
            <w:tcBorders>
              <w:bottom w:val="single" w:sz="8" w:color="CCECFF"/>
            </w:tcBorders>
            <w:gridSpan w:val="2"/>
            <w:vMerge w:val="continue"/>
          </w:tcPr>
          <w:p>
            <w:pPr>
              <w:spacing w:after="0"/>
              <w:rPr>
                <w:sz w:val="15"/>
                <w:szCs w:val="15"/>
                <w:color w:val="auto"/>
              </w:rPr>
            </w:pPr>
          </w:p>
        </w:tc>
        <w:tc>
          <w:tcPr>
            <w:tcW w:w="84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1,049,381</w:t>
            </w:r>
          </w:p>
        </w:tc>
        <w:tc>
          <w:tcPr>
            <w:tcW w:w="26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1,143,380</w:t>
            </w:r>
          </w:p>
        </w:tc>
        <w:tc>
          <w:tcPr>
            <w:tcW w:w="220" w:type="dxa"/>
            <w:vAlign w:val="bottom"/>
            <w:tcBorders>
              <w:bottom w:val="single" w:sz="8" w:color="CCECFF"/>
            </w:tcBorders>
          </w:tcPr>
          <w:p>
            <w:pPr>
              <w:spacing w:after="0"/>
              <w:rPr>
                <w:sz w:val="15"/>
                <w:szCs w:val="15"/>
                <w:color w:val="auto"/>
              </w:rPr>
            </w:pPr>
          </w:p>
        </w:tc>
        <w:tc>
          <w:tcPr>
            <w:tcW w:w="20" w:type="dxa"/>
            <w:vAlign w:val="bottom"/>
            <w:tcBorders>
              <w:bottom w:val="single" w:sz="8" w:color="CCECFF"/>
            </w:tcBorders>
          </w:tcPr>
          <w:p>
            <w:pPr>
              <w:spacing w:after="0"/>
              <w:rPr>
                <w:sz w:val="15"/>
                <w:szCs w:val="15"/>
                <w:color w:val="auto"/>
              </w:rPr>
            </w:pPr>
          </w:p>
        </w:tc>
        <w:tc>
          <w:tcPr>
            <w:tcW w:w="280" w:type="dxa"/>
            <w:vAlign w:val="bottom"/>
            <w:tcBorders>
              <w:bottom w:val="single" w:sz="8" w:color="auto"/>
            </w:tcBorders>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327,253</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960" w:type="dxa"/>
            <w:vAlign w:val="bottom"/>
            <w:tcBorders>
              <w:bottom w:val="single" w:sz="8" w:color="CCECFF"/>
            </w:tcBorders>
            <w:gridSpan w:val="2"/>
            <w:shd w:val="clear" w:color="auto" w:fill="CCECFF"/>
          </w:tcPr>
          <w:p>
            <w:pPr>
              <w:ind w:left="260"/>
              <w:spacing w:after="0" w:line="143" w:lineRule="exact"/>
              <w:rPr>
                <w:sz w:val="20"/>
                <w:szCs w:val="20"/>
                <w:color w:val="auto"/>
              </w:rPr>
            </w:pPr>
            <w:r>
              <w:rPr>
                <w:rFonts w:ascii="Times New Roman" w:cs="Times New Roman" w:eastAsia="Times New Roman" w:hAnsi="Times New Roman"/>
                <w:sz w:val="14"/>
                <w:szCs w:val="14"/>
                <w:color w:val="auto"/>
              </w:rPr>
              <w:t xml:space="preserve">Non-cash exchanges and conversions </w:t>
            </w:r>
            <w:r>
              <w:rPr>
                <w:rFonts w:ascii="Times New Roman" w:cs="Times New Roman" w:eastAsia="Times New Roman" w:hAnsi="Times New Roman"/>
                <w:sz w:val="12"/>
                <w:szCs w:val="12"/>
                <w:color w:val="auto"/>
              </w:rPr>
              <w:t>(1)</w:t>
            </w:r>
          </w:p>
        </w:tc>
        <w:tc>
          <w:tcPr>
            <w:tcW w:w="84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108,812,276</w:t>
            </w:r>
          </w:p>
        </w:tc>
        <w:tc>
          <w:tcPr>
            <w:tcW w:w="26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14,823,909</w:t>
            </w:r>
          </w:p>
        </w:tc>
        <w:tc>
          <w:tcPr>
            <w:tcW w:w="22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31,942,605</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3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both"/>
        <w:ind w:left="380" w:right="40" w:hanging="372"/>
        <w:spacing w:after="0" w:line="206" w:lineRule="auto"/>
        <w:tabs>
          <w:tab w:leader="none" w:pos="380" w:val="left"/>
        </w:tabs>
        <w:numPr>
          <w:ilvl w:val="0"/>
          <w:numId w:val="61"/>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In addition to the “Non-cash exchanges and conversions” reported above, on July 31, 2020 we and Pantheon formed PSLF, an unconsolidated joint venture. Pursuant to the terms of the transaction, Pantheon invested $35.0 million to acquire a 28% stake in PSLF, of which $12.5 million was paid to the Company and is included in “Proceeds from dispositions of investments” on the Statement of Cash Flows. We contributed our formerly wholly-owned subsidiary, Funding I, to PSLF in exchange for a 72% stake in the joint venture which was valued at $96.2 million ($63.0 million of PSLF member notes and 72% of PSLF’s members’ equity). As a result of this non-cash transaction, Funding I was deconsolidated from PennantPark Investment’s financial statements, including Funding I’s portfolio of senior loans valued at $356.1 million as of July 31, 2020.</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2740" w:type="dxa"/>
            <w:vAlign w:val="bottom"/>
          </w:tcPr>
          <w:p>
            <w:pPr>
              <w:spacing w:after="0"/>
              <w:rPr>
                <w:sz w:val="10"/>
                <w:szCs w:val="10"/>
                <w:color w:val="auto"/>
              </w:rPr>
            </w:pPr>
          </w:p>
        </w:tc>
        <w:tc>
          <w:tcPr>
            <w:tcW w:w="116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20" w:type="dxa"/>
            <w:vAlign w:val="bottom"/>
          </w:tcPr>
          <w:p>
            <w:pPr>
              <w:spacing w:after="0"/>
              <w:rPr>
                <w:sz w:val="10"/>
                <w:szCs w:val="10"/>
                <w:color w:val="auto"/>
              </w:rPr>
            </w:pPr>
          </w:p>
        </w:tc>
        <w:tc>
          <w:tcPr>
            <w:tcW w:w="110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9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2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2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20" w:type="dxa"/>
            <w:vAlign w:val="bottom"/>
          </w:tcPr>
          <w:p>
            <w:pPr>
              <w:spacing w:after="0"/>
              <w:rPr>
                <w:sz w:val="11"/>
                <w:szCs w:val="11"/>
                <w:color w:val="auto"/>
              </w:rPr>
            </w:pPr>
          </w:p>
        </w:tc>
        <w:tc>
          <w:tcPr>
            <w:tcW w:w="5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Pr>
          <w:p>
            <w:pPr>
              <w:spacing w:after="0"/>
              <w:rPr>
                <w:sz w:val="11"/>
                <w:szCs w:val="11"/>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(3)</w:t>
            </w:r>
          </w:p>
        </w:tc>
      </w:tr>
      <w:tr>
        <w:trPr>
          <w:trHeight w:val="129"/>
        </w:trPr>
        <w:tc>
          <w:tcPr>
            <w:tcW w:w="390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Non-Affiliated Portfolio Companies—139.9 </w:t>
            </w:r>
            <w:r>
              <w:rPr>
                <w:rFonts w:ascii="Times New Roman" w:cs="Times New Roman" w:eastAsia="Times New Roman" w:hAnsi="Times New Roman"/>
                <w:sz w:val="9"/>
                <w:szCs w:val="9"/>
                <w:b w:val="1"/>
                <w:bCs w:val="1"/>
                <w:color w:val="auto"/>
              </w:rPr>
              <w:t>(1), (2)</w:t>
            </w:r>
          </w:p>
        </w:tc>
        <w:tc>
          <w:tcPr>
            <w:tcW w:w="2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84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Debt—76.5%</w:t>
            </w:r>
          </w:p>
        </w:tc>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18 Freemont Street Acquisition,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08/11/2025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8,302,303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7,543,090</w:t>
            </w:r>
          </w:p>
        </w:tc>
        <w:tc>
          <w:tcPr>
            <w:tcW w:w="340" w:type="dxa"/>
            <w:vAlign w:val="bottom"/>
            <w:gridSpan w:val="2"/>
            <w:shd w:val="clear" w:color="auto" w:fill="CCEC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7,887,188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Altamira Technologies, LLC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07/24/2025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120,625</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07/24/2025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62,500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(2,188)</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12/21/2023</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15,957,113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15,736,757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15,637,971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07/31/2025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178,844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178,844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173,479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Apex Service Partners, LLC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07/31/2021</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(34,963)</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Bottom Line Systems,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02/13/2023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6,722,525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6,674,529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6,580,680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Broder Bros., Co.</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12/02/2022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9.75%</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25,907,420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25,907,420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23,510,984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Compex Legal Services,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02/09/2026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3,605,894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3,539,582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3,539,906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02/08/2021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1,549,743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(12,863)</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Compex Legal Services,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02/07/2025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458,962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458,962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450,563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Compex Legal Services, Inc.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02/07/2025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196,698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(3,600)</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Datalot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01/24/2025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1,788,165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1,788,165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1,790,310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DermaRite Industries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03/03/2022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8,975,884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8,924,948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8,975,884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DRS Holdings III, Inc.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11/03/2025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1,528,102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(27,964)</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ECM Industries, LLC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12/23/2025</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L+450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517,594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517,594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510,761</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12/10/2024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5.50%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2,567,177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2,547,350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2,490,162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12/10/2024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(101,613)</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IMIA Holdings,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10/26/2025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5,572,968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5,461,508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5,517,238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Impact Group,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06/27/2023</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8.37%</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L+737</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19,888,478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19,811,644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19,987,920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08/27/2025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23,574,241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23,403,071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23,338,498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Integrity Marketing Acquisition, LLC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07/15/2021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592,800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(1,482)</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12/22/2021</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13,516,275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13,430,024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13,516,275</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12/20/2023</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11,921,000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11,797,407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11,658,738</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K2 Pure Solutions NoCal, L.P.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12/20/2023</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8.00%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1,453,571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1,453,571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1,421,593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12/20/2023</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484,524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(10,660)</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Kentucky Downs, LLC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03/07/2025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827,586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(12,414)</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10/31/2024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Leisure, Amusement, Motion Pictures, Entertainment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8.50%</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751,480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744,986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692,188</w:t>
            </w:r>
          </w:p>
        </w:tc>
        <w:tc>
          <w:tcPr>
            <w:tcW w:w="100" w:type="dxa"/>
            <w:vAlign w:val="bottom"/>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(PIK 5.00%)</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02/03/2026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6.25%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1,564,213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1,548,989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1,544,661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Lightspeed Buyer Inc.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08/03/2021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882,075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(2,205)</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Lightspeed Buyer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02/03/2026</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1,165,780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1,165,780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1,151,208</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Lombart Brothers, Inc.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04/13/2023</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1,769,912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1,769,912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1,661,947</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05/23/2024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2,901,820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2,868,498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2,763,983</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05/23/2024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2,518,345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(119,621)</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Ox Two,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21,352,147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21,112,545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21,245,386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Ox Two, LLC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02/27/2023</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485,560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02/27/2023</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2,012,000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(10,060)</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Peninsula Pacific Entertainment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11/13/2024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7.40%</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L+725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11,437,714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11,219,222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10,637,074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PRA Events,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08/08/2022</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9"/>
                <w:szCs w:val="9"/>
                <w:color w:val="auto"/>
                <w:w w:val="75"/>
              </w:rPr>
              <w:t>(6)</w:t>
            </w: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19,180,820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18,839,885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16,150,251</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PRA Events, Inc. (Revolver)</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08/08/2022</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75"/>
              </w:rPr>
              <w:t>(6)</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1,684,000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Provation Medical, Inc.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03/11/2024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7.15%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26,527,500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26,094,813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26,179,990</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Questex,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09/09/2024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21,733,659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20,286,000</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Questex, LLC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09/09/2024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1,795,213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1,795,213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1,651,596</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09/09/2024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1,795,213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(143,617)</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Radius Aerospace,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03/31/2025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1,336,285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1,336,285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1,298,602</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03/31/2025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(25,122)</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Research Horizons,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06/28/2022</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7.25%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29,546,453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29,334,375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28,364,595</w:t>
            </w:r>
          </w:p>
        </w:tc>
        <w:tc>
          <w:tcPr>
            <w:tcW w:w="100" w:type="dxa"/>
            <w:vAlign w:val="bottom"/>
            <w:shd w:val="clear" w:color="auto" w:fill="CCECFF"/>
          </w:tcPr>
          <w:p>
            <w:pPr>
              <w:spacing w:after="0"/>
              <w:rPr>
                <w:sz w:val="11"/>
                <w:szCs w:val="11"/>
                <w:color w:val="auto"/>
              </w:rPr>
            </w:pPr>
          </w:p>
        </w:tc>
      </w:tr>
      <w:tr>
        <w:trPr>
          <w:trHeight w:val="121"/>
        </w:trPr>
        <w:tc>
          <w:tcPr>
            <w:tcW w:w="27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11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7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Sampling International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12/20/2024</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2,913,731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2,913,731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2,752,019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06/20/2025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(12,764)</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Riverside Assessments, LLC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03/10/2025</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15,671,250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15,389,332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14,848,509</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Sargent &amp; Greenleaf Inc.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12/20/2024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597,943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(10,763)</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07/07/2021</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1,829,268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(43,902)</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Sales Benchmark Index LLC (Revolver) </w:t>
            </w:r>
            <w:r>
              <w:rPr>
                <w:rFonts w:ascii="Times New Roman" w:cs="Times New Roman" w:eastAsia="Times New Roman" w:hAnsi="Times New Roman"/>
                <w:sz w:val="9"/>
                <w:szCs w:val="9"/>
                <w:color w:val="auto"/>
              </w:rPr>
              <w:t>(7)</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01/03/2025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731,707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(17,561)</w:t>
            </w: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07/14/2025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516,273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510,389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478,844</w:t>
            </w:r>
          </w:p>
        </w:tc>
        <w:tc>
          <w:tcPr>
            <w:tcW w:w="100" w:type="dxa"/>
            <w:vAlign w:val="bottom"/>
          </w:tcPr>
          <w:p>
            <w:pPr>
              <w:spacing w:after="0"/>
              <w:rPr>
                <w:sz w:val="11"/>
                <w:szCs w:val="11"/>
                <w:color w:val="auto"/>
              </w:rPr>
            </w:pP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07/14/2025</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7.00%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15,759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14,617</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07/14/2025</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22,281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(1,615)</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Systems Holding Company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05/03/2024</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7.50%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L+650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1,129,032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1,129,032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1,092,339</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05/03/2024</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887,097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(28,831)</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 (Revolver)</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01/17/2024</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Communications</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6.75%</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1,248,750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1,235,014</w:t>
            </w:r>
          </w:p>
        </w:tc>
        <w:tc>
          <w:tcPr>
            <w:tcW w:w="100" w:type="dxa"/>
            <w:vAlign w:val="bottom"/>
            <w:shd w:val="clear" w:color="auto" w:fill="CCECFF"/>
          </w:tcPr>
          <w:p>
            <w:pPr>
              <w:spacing w:after="0"/>
              <w:rPr>
                <w:sz w:val="11"/>
                <w:szCs w:val="11"/>
                <w:color w:val="auto"/>
              </w:rPr>
            </w:pPr>
          </w:p>
        </w:tc>
      </w:tr>
      <w:tr>
        <w:trPr>
          <w:trHeight w:val="135"/>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01/17/2024</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Communications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1"/>
                <w:szCs w:val="11"/>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(4,579)</w:t>
            </w:r>
          </w:p>
        </w:tc>
      </w:tr>
      <w:tr>
        <w:trPr>
          <w:trHeight w:val="135"/>
        </w:trPr>
        <w:tc>
          <w:tcPr>
            <w:tcW w:w="274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Spear Education, LLC</w:t>
            </w:r>
          </w:p>
        </w:tc>
        <w:tc>
          <w:tcPr>
            <w:tcW w:w="1160" w:type="dxa"/>
            <w:vAlign w:val="bottom"/>
            <w:shd w:val="clear" w:color="auto" w:fill="CCECFF"/>
          </w:tcPr>
          <w:p>
            <w:pPr>
              <w:ind w:left="460"/>
              <w:spacing w:after="0"/>
              <w:rPr>
                <w:sz w:val="20"/>
                <w:szCs w:val="20"/>
                <w:color w:val="auto"/>
              </w:rPr>
            </w:pPr>
            <w:r>
              <w:rPr>
                <w:rFonts w:ascii="Times New Roman" w:cs="Times New Roman" w:eastAsia="Times New Roman" w:hAnsi="Times New Roman"/>
                <w:sz w:val="11"/>
                <w:szCs w:val="11"/>
                <w:color w:val="auto"/>
              </w:rPr>
              <w:t>02/26/2025</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7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1"/>
                <w:szCs w:val="11"/>
                <w:color w:val="auto"/>
              </w:rPr>
              <w:t>6.50%</w:t>
            </w:r>
          </w:p>
        </w:tc>
        <w:tc>
          <w:tcPr>
            <w:tcW w:w="120" w:type="dxa"/>
            <w:vAlign w:val="bottom"/>
            <w:shd w:val="clear" w:color="auto" w:fill="CCECFF"/>
          </w:tcPr>
          <w:p>
            <w:pPr>
              <w:spacing w:after="0"/>
              <w:rPr>
                <w:sz w:val="11"/>
                <w:szCs w:val="11"/>
                <w:color w:val="auto"/>
              </w:rPr>
            </w:pPr>
          </w:p>
        </w:tc>
        <w:tc>
          <w:tcPr>
            <w:tcW w:w="110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15,049,375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14,906,170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14,673,140</w:t>
            </w:r>
          </w:p>
        </w:tc>
        <w:tc>
          <w:tcPr>
            <w:tcW w:w="100" w:type="dxa"/>
            <w:vAlign w:val="bottom"/>
            <w:shd w:val="clear" w:color="auto" w:fill="CCECFF"/>
          </w:tcPr>
          <w:p>
            <w:pPr>
              <w:spacing w:after="0"/>
              <w:rPr>
                <w:sz w:val="11"/>
                <w:szCs w:val="11"/>
                <w:color w:val="auto"/>
              </w:rPr>
            </w:pPr>
          </w:p>
        </w:tc>
      </w:tr>
      <w:tr>
        <w:trPr>
          <w:trHeight w:val="140"/>
        </w:trPr>
        <w:tc>
          <w:tcPr>
            <w:tcW w:w="274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Spear Education, LLC </w:t>
            </w:r>
            <w:r>
              <w:rPr>
                <w:rFonts w:ascii="Times New Roman" w:cs="Times New Roman" w:eastAsia="Times New Roman" w:hAnsi="Times New Roman"/>
                <w:sz w:val="9"/>
                <w:szCs w:val="9"/>
                <w:color w:val="auto"/>
              </w:rPr>
              <w:t>(7)</w:t>
            </w:r>
          </w:p>
        </w:tc>
        <w:tc>
          <w:tcPr>
            <w:tcW w:w="1160" w:type="dxa"/>
            <w:vAlign w:val="bottom"/>
          </w:tcPr>
          <w:p>
            <w:pPr>
              <w:ind w:left="460"/>
              <w:spacing w:after="0"/>
              <w:rPr>
                <w:sz w:val="20"/>
                <w:szCs w:val="20"/>
                <w:color w:val="auto"/>
              </w:rPr>
            </w:pPr>
            <w:r>
              <w:rPr>
                <w:rFonts w:ascii="Times New Roman" w:cs="Times New Roman" w:eastAsia="Times New Roman" w:hAnsi="Times New Roman"/>
                <w:sz w:val="11"/>
                <w:szCs w:val="11"/>
                <w:color w:val="auto"/>
              </w:rPr>
              <w:t>02/26/2022</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6,875,000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(171,875)</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3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900" w:type="dxa"/>
            <w:vAlign w:val="bottom"/>
            <w:gridSpan w:val="2"/>
          </w:tcPr>
          <w:p>
            <w:pPr>
              <w:ind w:left="220"/>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97"/>
              </w:rPr>
              <w:t xml:space="preserve">Fair Value </w:t>
            </w:r>
            <w:r>
              <w:rPr>
                <w:rFonts w:ascii="Times New Roman" w:cs="Times New Roman" w:eastAsia="Times New Roman" w:hAnsi="Times New Roman"/>
                <w:sz w:val="9"/>
                <w:szCs w:val="9"/>
                <w:b w:val="1"/>
                <w:bCs w:val="1"/>
                <w:color w:val="auto"/>
                <w:w w:val="97"/>
              </w:rPr>
              <w:t>(3)</w:t>
            </w:r>
          </w:p>
        </w:tc>
        <w:tc>
          <w:tcPr>
            <w:tcW w:w="100" w:type="dxa"/>
            <w:vAlign w:val="bottom"/>
            <w:tcBorders>
              <w:bottom w:val="single" w:sz="8" w:color="CCECFF"/>
            </w:tcBorders>
          </w:tcPr>
          <w:p>
            <w:pPr>
              <w:spacing w:after="0"/>
              <w:rPr>
                <w:sz w:val="11"/>
                <w:szCs w:val="11"/>
                <w:color w:val="auto"/>
              </w:rPr>
            </w:pPr>
          </w:p>
        </w:tc>
      </w:tr>
      <w:tr>
        <w:trPr>
          <w:trHeight w:val="129"/>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Spectacle Gary Holdings,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w w:val="99"/>
              </w:rPr>
              <w:t>12/23/2025</w:t>
            </w: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1M L+900</w:t>
            </w: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20,478,378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  19,804,843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19,864,027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Spectacle Gary Holdings, LLC </w:t>
            </w:r>
            <w:r>
              <w:rPr>
                <w:rFonts w:ascii="Times New Roman" w:cs="Times New Roman" w:eastAsia="Times New Roman" w:hAnsi="Times New Roman"/>
                <w:sz w:val="9"/>
                <w:szCs w:val="9"/>
                <w:color w:val="auto"/>
              </w:rPr>
              <w:t>(7)</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12/23/2025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1,121,622</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(33,649)</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TPC Canada Parent, Inc. and TPC US Parent, LLC </w:t>
            </w:r>
            <w:r>
              <w:rPr>
                <w:rFonts w:ascii="Times New Roman" w:cs="Times New Roman" w:eastAsia="Times New Roman" w:hAnsi="Times New Roman"/>
                <w:sz w:val="9"/>
                <w:szCs w:val="9"/>
                <w:color w:val="auto"/>
              </w:rPr>
              <w:t>(8),(11)</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11/24/2025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1,789,156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1,789,156</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1,735,482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17,660,607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17,410,805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17,528,153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01/18/2024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2,702,151</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(20,267)</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TWS Acquisition Corporation (Revolver)</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1,137,857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1,137,857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1,115,100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06/16/2025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505,714</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(10,114)</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Tyto Athene, LLC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08/27/2024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6,027,680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5,998,741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6,008,392</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US Med Acquisition,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08/13/2021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8,301,563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8,301,563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8,218,547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09/26/2024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21,515,625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21,203,376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21,515,625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Wildcat Buyerco,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9,145,221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8,970,259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9,053,770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Wildcat Buyerco, Inc. </w:t>
            </w:r>
            <w:r>
              <w:rPr>
                <w:rFonts w:ascii="Times New Roman" w:cs="Times New Roman" w:eastAsia="Times New Roman" w:hAnsi="Times New Roman"/>
                <w:sz w:val="9"/>
                <w:szCs w:val="9"/>
                <w:color w:val="auto"/>
              </w:rPr>
              <w:t>(7)</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02/27/2022</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2,573,529</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3,217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Wildcat Buyerco, Inc. (Revolver) </w:t>
            </w:r>
            <w:r>
              <w:rPr>
                <w:rFonts w:ascii="Times New Roman" w:cs="Times New Roman" w:eastAsia="Times New Roman" w:hAnsi="Times New Roman"/>
                <w:sz w:val="9"/>
                <w:szCs w:val="9"/>
                <w:color w:val="auto"/>
              </w:rPr>
              <w:t>(7)</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02/27/2026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551,471</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(10,037)</w:t>
            </w:r>
          </w:p>
        </w:tc>
      </w:tr>
      <w:tr>
        <w:trPr>
          <w:trHeight w:val="129"/>
        </w:trPr>
        <w:tc>
          <w:tcPr>
            <w:tcW w:w="3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412,081,391</w:t>
            </w:r>
          </w:p>
        </w:tc>
        <w:tc>
          <w:tcPr>
            <w:tcW w:w="220" w:type="dxa"/>
            <w:vAlign w:val="bottom"/>
            <w:tcBorders>
              <w:bottom w:val="single" w:sz="8" w:color="CCECFF"/>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402,168,282</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Debt—32.0%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Confie Seguros Holding Co.</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10/31/2025</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8.66%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14,281,633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13,920,000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DecoPac,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03/31/2025</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19,627,143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19,382,758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19,627,143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Halo Buyer,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07/06/2026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9.25%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L+825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32,062,567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31,460,000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Infogroup,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04/03/2024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rPr>
              <w:t>Other Media</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10.25%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L+925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20,400,000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20,157,649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20,145,000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MailSouth,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10/23/2024</w:t>
            </w:r>
          </w:p>
        </w:tc>
        <w:tc>
          <w:tcPr>
            <w:tcW w:w="2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9"/>
                <w:szCs w:val="9"/>
                <w:color w:val="auto"/>
              </w:rPr>
              <w:t>(6)</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36,828,975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36,224,201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18,782,777</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MBS Holdings,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01/02/2024</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9.59%</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19,623,649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19,359,314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19,329,294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VT Topco,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08/24/2026</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7.15%</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9,956,408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9,800,000</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Winter Park Intermediate, Inc.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04/06/2026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8.65%</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35,300,000</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34,816,687</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35,300,000</w:t>
            </w: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186,241,217</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168,364,214</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Subordinated Debt/Corporate Notes—9.6%</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03/17/2025</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14,051,843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13,842,572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13,665,417</w:t>
            </w: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2.00%)</w:t>
            </w: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Cascade Environmental LLC</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12/30/2023</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13.00%</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37,371,131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36,938,019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36,903,992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13.00%)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8"/>
        </w:trPr>
        <w:tc>
          <w:tcPr>
            <w:tcW w:w="3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50,780,591</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50,569,409</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Interests—4.1%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AH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167,083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Cascade Environmental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16.00%</w:t>
            </w: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178,304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17,607,478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17,652,053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Condor Holdings Limited </w:t>
            </w:r>
            <w:r>
              <w:rPr>
                <w:rFonts w:ascii="Times New Roman" w:cs="Times New Roman" w:eastAsia="Times New Roman" w:hAnsi="Times New Roman"/>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64,277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71,233</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Condor Top Holdco Limited </w:t>
            </w:r>
            <w:r>
              <w:rPr>
                <w:rFonts w:ascii="Times New Roman" w:cs="Times New Roman" w:eastAsia="Times New Roman" w:hAnsi="Times New Roman"/>
                <w:sz w:val="9"/>
                <w:szCs w:val="9"/>
                <w:color w:val="auto"/>
              </w:rPr>
              <w:t>(8),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556,000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491,723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1,308,363</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357,199</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106,823</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129,098</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1,346,530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1,409,711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(8),(11)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219,010</w:t>
            </w: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237,288</w:t>
            </w:r>
          </w:p>
        </w:tc>
        <w:tc>
          <w:tcPr>
            <w:tcW w:w="100" w:type="dxa"/>
            <w:vAlign w:val="bottom"/>
            <w:shd w:val="clear" w:color="auto" w:fill="CCECFF"/>
          </w:tcPr>
          <w:p>
            <w:pPr>
              <w:spacing w:after="0"/>
              <w:rPr>
                <w:sz w:val="11"/>
                <w:szCs w:val="11"/>
                <w:color w:val="auto"/>
              </w:rPr>
            </w:pPr>
          </w:p>
        </w:tc>
      </w:tr>
      <w:tr>
        <w:trPr>
          <w:trHeight w:val="129"/>
        </w:trPr>
        <w:tc>
          <w:tcPr>
            <w:tcW w:w="3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20,875,841</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21,332,028</w:t>
            </w:r>
          </w:p>
        </w:tc>
        <w:tc>
          <w:tcPr>
            <w:tcW w:w="100" w:type="dxa"/>
            <w:vAlign w:val="bottom"/>
            <w:tcBorders>
              <w:bottom w:val="single" w:sz="8" w:color="CCECFF"/>
            </w:tcBorders>
          </w:tcPr>
          <w:p>
            <w:pPr>
              <w:spacing w:after="0"/>
              <w:rPr>
                <w:sz w:val="11"/>
                <w:szCs w:val="11"/>
                <w:color w:val="auto"/>
              </w:rPr>
            </w:pPr>
          </w:p>
        </w:tc>
      </w:tr>
      <w:tr>
        <w:trPr>
          <w:trHeight w:val="128"/>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Interests/Warrants—17.7%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9"/>
              </w:rPr>
              <w:t>04/10/2024</w:t>
            </w:r>
          </w:p>
        </w:tc>
        <w:tc>
          <w:tcPr>
            <w:tcW w:w="2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2,126,399</w:t>
            </w:r>
          </w:p>
        </w:tc>
        <w:tc>
          <w:tcPr>
            <w:tcW w:w="2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805,164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1,002,599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194,836</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AH Holdings, Inc. (Warrants)</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03/23/2021</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81,148</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ASP LCG Holdings, Inc. (Warrants)</w:t>
            </w:r>
          </w:p>
        </w:tc>
        <w:tc>
          <w:tcPr>
            <w:tcW w:w="64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9"/>
              </w:rPr>
              <w:t>05/05/2026</w:t>
            </w:r>
          </w:p>
        </w:tc>
        <w:tc>
          <w:tcPr>
            <w:tcW w:w="2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586,975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2,236,540</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Cascade Environmental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2,852,080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696,346</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1,243,217</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CI (Summit) Investment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Buildings and Real Estate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122,870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1,270,646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1,647,095</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(SFP Holdings, Inc.)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2,250,000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1,165,785</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DecoPac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3,448,658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5,072,041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ECM Investors,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Electronics</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167,537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254,307</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1,004,625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1,029,685</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Faraday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4,277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217,635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1,408,259</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Gauge Lash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889,376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1,053,800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1,565,301</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8,896</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8,662</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999,520</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GCOM InvestCo LP </w:t>
            </w:r>
            <w:r>
              <w:rPr>
                <w:rFonts w:ascii="Times New Roman" w:cs="Times New Roman" w:eastAsia="Times New Roman" w:hAnsi="Times New Roman"/>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111,574</w:t>
            </w:r>
          </w:p>
        </w:tc>
        <w:tc>
          <w:tcPr>
            <w:tcW w:w="240" w:type="dxa"/>
            <w:vAlign w:val="bottom"/>
            <w:shd w:val="clear" w:color="auto" w:fill="CCECFF"/>
          </w:tcPr>
          <w:p>
            <w:pPr>
              <w:spacing w:after="0"/>
              <w:rPr>
                <w:sz w:val="11"/>
                <w:szCs w:val="11"/>
                <w:color w:val="auto"/>
              </w:rPr>
            </w:pP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2,886,104</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Infogroup Parent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Other 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2,522,594</w:t>
            </w: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375,675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4,317,307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18,761,506</w:t>
            </w:r>
          </w:p>
        </w:tc>
        <w:tc>
          <w:tcPr>
            <w:tcW w:w="100" w:type="dxa"/>
            <w:vAlign w:val="bottom"/>
            <w:shd w:val="clear" w:color="auto" w:fill="CCECFF"/>
          </w:tcPr>
          <w:p>
            <w:pPr>
              <w:spacing w:after="0"/>
              <w:rPr>
                <w:sz w:val="11"/>
                <w:szCs w:val="11"/>
                <w:color w:val="auto"/>
              </w:rPr>
            </w:pPr>
          </w:p>
        </w:tc>
      </w:tr>
      <w:tr>
        <w:trPr>
          <w:trHeight w:val="135"/>
        </w:trPr>
        <w:tc>
          <w:tcPr>
            <w:tcW w:w="3020" w:type="dxa"/>
            <w:vAlign w:val="bottom"/>
          </w:tcPr>
          <w:p>
            <w:pPr>
              <w:spacing w:after="0"/>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1,906,433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1,906,433</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12,010,531</w:t>
            </w:r>
          </w:p>
        </w:tc>
        <w:tc>
          <w:tcPr>
            <w:tcW w:w="100" w:type="dxa"/>
            <w:vAlign w:val="bottom"/>
          </w:tcPr>
          <w:p>
            <w:pPr>
              <w:spacing w:after="0"/>
              <w:rPr>
                <w:sz w:val="11"/>
                <w:szCs w:val="11"/>
                <w:color w:val="auto"/>
              </w:rPr>
            </w:pPr>
          </w:p>
        </w:tc>
      </w:tr>
      <w:tr>
        <w:trPr>
          <w:trHeight w:val="135"/>
        </w:trPr>
        <w:tc>
          <w:tcPr>
            <w:tcW w:w="30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(Walker Edison Furniture Company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Kadmon Holdings, Inc. </w:t>
            </w:r>
            <w:r>
              <w:rPr>
                <w:rFonts w:ascii="Times New Roman" w:cs="Times New Roman" w:eastAsia="Times New Roman" w:hAnsi="Times New Roman"/>
                <w:sz w:val="9"/>
                <w:szCs w:val="9"/>
                <w:color w:val="auto"/>
              </w:rPr>
              <w:t>(5)</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252,014</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2,265,639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987,895</w:t>
            </w:r>
          </w:p>
        </w:tc>
        <w:tc>
          <w:tcPr>
            <w:tcW w:w="100" w:type="dxa"/>
            <w:vAlign w:val="bottom"/>
            <w:shd w:val="clear" w:color="auto" w:fill="CCECFF"/>
          </w:tcPr>
          <w:p>
            <w:pPr>
              <w:spacing w:after="0"/>
              <w:rPr>
                <w:sz w:val="11"/>
                <w:szCs w:val="1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2"/>
        </w:trPr>
        <w:tc>
          <w:tcPr>
            <w:tcW w:w="2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Maturity /</w:t>
            </w:r>
          </w:p>
        </w:tc>
        <w:tc>
          <w:tcPr>
            <w:tcW w:w="2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8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ind w:right="166"/>
              <w:spacing w:after="0" w:line="122" w:lineRule="exact"/>
              <w:rPr>
                <w:sz w:val="20"/>
                <w:szCs w:val="20"/>
                <w:color w:val="auto"/>
              </w:rPr>
            </w:pPr>
            <w:r>
              <w:rPr>
                <w:rFonts w:ascii="Times New Roman" w:cs="Times New Roman" w:eastAsia="Times New Roman" w:hAnsi="Times New Roman"/>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7"/>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12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Expiration</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(3)</w:t>
            </w:r>
          </w:p>
        </w:tc>
      </w:tr>
      <w:tr>
        <w:trPr>
          <w:trHeight w:val="129"/>
        </w:trPr>
        <w:tc>
          <w:tcPr>
            <w:tcW w:w="2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1"/>
                <w:szCs w:val="11"/>
                <w:color w:val="auto"/>
              </w:rPr>
              <w:t>Kentucky Racing Holdco, LLC (Warrants)</w:t>
            </w:r>
          </w:p>
        </w:tc>
        <w:tc>
          <w:tcPr>
            <w:tcW w:w="120" w:type="dxa"/>
            <w:vAlign w:val="bottom"/>
          </w:tcPr>
          <w:p>
            <w:pPr>
              <w:spacing w:after="0"/>
              <w:rPr>
                <w:sz w:val="11"/>
                <w:szCs w:val="11"/>
                <w:color w:val="auto"/>
              </w:rPr>
            </w:pPr>
          </w:p>
        </w:tc>
        <w:tc>
          <w:tcPr>
            <w:tcW w:w="5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1"/>
                <w:szCs w:val="1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4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417,910</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593,924</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Lightspeed Investment Holdco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273,143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313,596</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MeritDirect Holdings, LP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5,432</w:t>
            </w:r>
          </w:p>
        </w:tc>
        <w:tc>
          <w:tcPr>
            <w:tcW w:w="100" w:type="dxa"/>
            <w:vAlign w:val="bottom"/>
          </w:tcPr>
          <w:p>
            <w:pPr>
              <w:spacing w:after="0"/>
              <w:rPr>
                <w:sz w:val="11"/>
                <w:szCs w:val="11"/>
                <w:color w:val="auto"/>
              </w:rPr>
            </w:pP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OceanSound Discovery Equity,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982,857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987,611</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 xml:space="preserve">(Holdco Sands Intermediate,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103,995</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QuantiTech InvestCo LP </w:t>
            </w:r>
            <w:r>
              <w:rPr>
                <w:rFonts w:ascii="Times New Roman" w:cs="Times New Roman" w:eastAsia="Times New Roman" w:hAnsi="Times New Roman"/>
                <w:sz w:val="9"/>
                <w:szCs w:val="9"/>
                <w:color w:val="auto"/>
              </w:rPr>
              <w:t>(7),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96,667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SBI Holdings Investments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365,854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259,298</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(Sales Benchmark Index LLC)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70,870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1,749,600</w:t>
            </w:r>
          </w:p>
        </w:tc>
        <w:tc>
          <w:tcPr>
            <w:tcW w:w="100" w:type="dxa"/>
            <w:vAlign w:val="bottom"/>
          </w:tcPr>
          <w:p>
            <w:pPr>
              <w:spacing w:after="0"/>
              <w:rPr>
                <w:sz w:val="11"/>
                <w:szCs w:val="11"/>
                <w:color w:val="auto"/>
              </w:rPr>
            </w:pP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Class A (US Dominion, Inc.)</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4,756,165</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TPC Holding Company, LP </w:t>
            </w:r>
            <w:r>
              <w:rPr>
                <w:rFonts w:ascii="Times New Roman" w:cs="Times New Roman" w:eastAsia="Times New Roman" w:hAnsi="Times New Roman"/>
                <w:sz w:val="9"/>
                <w:szCs w:val="9"/>
                <w:color w:val="auto"/>
              </w:rPr>
              <w:t>(8).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Food</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11,527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56,482</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9"/>
                <w:szCs w:val="9"/>
                <w:color w:val="auto"/>
              </w:rPr>
              <w:t>(5), (11)</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1,261,201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3,021,880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341,029</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WBB Equity,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628,571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2,753,143</w:t>
            </w:r>
          </w:p>
        </w:tc>
        <w:tc>
          <w:tcPr>
            <w:tcW w:w="100" w:type="dxa"/>
            <w:vAlign w:val="bottom"/>
          </w:tcPr>
          <w:p>
            <w:pPr>
              <w:spacing w:after="0"/>
              <w:rPr>
                <w:sz w:val="11"/>
                <w:szCs w:val="11"/>
                <w:color w:val="auto"/>
              </w:rPr>
            </w:pP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 xml:space="preserve">(Whitney, Bradley &amp; Brown, Inc.)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Wheel Pros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3,778,704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4,450,000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23,022,380</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(Winter Park Intermediate, Inc.)</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Wildcat Parent, LP (Wildcat Buyerco, Inc.)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231,400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254,847</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ZS Juniper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1,056,250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2,614,078</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(Juniper Landscaping of Florida,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29"/>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43,704,169</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93,240,733</w:t>
            </w:r>
          </w:p>
        </w:tc>
        <w:tc>
          <w:tcPr>
            <w:tcW w:w="100" w:type="dxa"/>
            <w:vAlign w:val="bottom"/>
            <w:tcBorders>
              <w:bottom w:val="single" w:sz="8" w:color="CCECFF"/>
            </w:tcBorders>
          </w:tcPr>
          <w:p>
            <w:pPr>
              <w:spacing w:after="0"/>
              <w:rPr>
                <w:sz w:val="11"/>
                <w:szCs w:val="11"/>
                <w:color w:val="auto"/>
              </w:rPr>
            </w:pPr>
          </w:p>
        </w:tc>
      </w:tr>
      <w:tr>
        <w:trPr>
          <w:trHeight w:val="128"/>
        </w:trPr>
        <w:tc>
          <w:tcPr>
            <w:tcW w:w="3820" w:type="dxa"/>
            <w:vAlign w:val="bottom"/>
            <w:gridSpan w:val="5"/>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713,683,209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735,674,666</w:t>
            </w:r>
          </w:p>
        </w:tc>
        <w:tc>
          <w:tcPr>
            <w:tcW w:w="100" w:type="dxa"/>
            <w:vAlign w:val="bottom"/>
            <w:shd w:val="clear" w:color="auto" w:fill="CCECFF"/>
          </w:tcPr>
          <w:p>
            <w:pPr>
              <w:spacing w:after="0"/>
              <w:rPr>
                <w:sz w:val="11"/>
                <w:szCs w:val="11"/>
                <w:color w:val="auto"/>
              </w:rPr>
            </w:pPr>
          </w:p>
        </w:tc>
      </w:tr>
      <w:tr>
        <w:trPr>
          <w:trHeight w:val="128"/>
        </w:trPr>
        <w:tc>
          <w:tcPr>
            <w:tcW w:w="382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Companies—5.3% </w:t>
            </w:r>
            <w:r>
              <w:rPr>
                <w:rFonts w:ascii="Times New Roman" w:cs="Times New Roman" w:eastAsia="Times New Roman" w:hAnsi="Times New Roman"/>
                <w:sz w:val="9"/>
                <w:szCs w:val="9"/>
                <w:b w:val="1"/>
                <w:bCs w:val="1"/>
                <w:color w:val="auto"/>
              </w:rPr>
              <w:t>(1), (2)</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Interests—5.1%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5,055,851</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153,922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15,392,189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21,795,244</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21,565,389</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26,851,095</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Interests/Warrants—0.2%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29,711,576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ETX Energy Management Company,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1,754,104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1,562,020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MidOcean JF Holdings Corp.</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24,789,935</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902,798</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56,063,531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902,798</w:t>
            </w:r>
          </w:p>
        </w:tc>
        <w:tc>
          <w:tcPr>
            <w:tcW w:w="100" w:type="dxa"/>
            <w:vAlign w:val="bottom"/>
            <w:shd w:val="clear" w:color="auto" w:fill="CCECFF"/>
          </w:tcPr>
          <w:p>
            <w:pPr>
              <w:spacing w:after="0"/>
              <w:rPr>
                <w:sz w:val="11"/>
                <w:szCs w:val="11"/>
                <w:color w:val="auto"/>
              </w:rPr>
            </w:pPr>
          </w:p>
        </w:tc>
      </w:tr>
      <w:tr>
        <w:trPr>
          <w:trHeight w:val="129"/>
        </w:trPr>
        <w:tc>
          <w:tcPr>
            <w:tcW w:w="3820" w:type="dxa"/>
            <w:vAlign w:val="bottom"/>
            <w:tcBorders>
              <w:bottom w:val="single" w:sz="8" w:color="CCECFF"/>
            </w:tcBorders>
            <w:gridSpan w:val="5"/>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77,628,920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27,753,893</w:t>
            </w:r>
          </w:p>
        </w:tc>
        <w:tc>
          <w:tcPr>
            <w:tcW w:w="100" w:type="dxa"/>
            <w:vAlign w:val="bottom"/>
            <w:tcBorders>
              <w:bottom w:val="single" w:sz="8" w:color="CCECFF"/>
            </w:tcBorders>
          </w:tcPr>
          <w:p>
            <w:pPr>
              <w:spacing w:after="0"/>
              <w:rPr>
                <w:sz w:val="11"/>
                <w:szCs w:val="11"/>
                <w:color w:val="auto"/>
              </w:rPr>
            </w:pPr>
          </w:p>
        </w:tc>
      </w:tr>
      <w:tr>
        <w:trPr>
          <w:trHeight w:val="128"/>
        </w:trPr>
        <w:tc>
          <w:tcPr>
            <w:tcW w:w="3820" w:type="dxa"/>
            <w:vAlign w:val="bottom"/>
            <w:gridSpan w:val="5"/>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Companies—60.6% </w:t>
            </w:r>
            <w:r>
              <w:rPr>
                <w:rFonts w:ascii="Times New Roman" w:cs="Times New Roman" w:eastAsia="Times New Roman" w:hAnsi="Times New Roman"/>
                <w:sz w:val="9"/>
                <w:szCs w:val="9"/>
                <w:b w:val="1"/>
                <w:bCs w:val="1"/>
                <w:color w:val="auto"/>
              </w:rPr>
              <w:t>(1), (2)</w:t>
            </w: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9"/>
                <w:szCs w:val="9"/>
                <w:color w:val="auto"/>
              </w:rPr>
              <w:t>(8), (10), (11)</w:t>
            </w:r>
          </w:p>
        </w:tc>
        <w:tc>
          <w:tcPr>
            <w:tcW w:w="62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5"/>
              </w:rPr>
              <w:t>03/13/2024</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L+600</w:t>
            </w:r>
          </w:p>
        </w:tc>
        <w:tc>
          <w:tcPr>
            <w:tcW w:w="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39,682,375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36,844,800</w:t>
            </w:r>
          </w:p>
        </w:tc>
        <w:tc>
          <w:tcPr>
            <w:tcW w:w="100" w:type="dxa"/>
            <w:vAlign w:val="bottom"/>
            <w:shd w:val="clear" w:color="auto" w:fill="CCECFF"/>
          </w:tcPr>
          <w:p>
            <w:pPr>
              <w:spacing w:after="0"/>
              <w:rPr>
                <w:sz w:val="11"/>
                <w:szCs w:val="11"/>
                <w:color w:val="auto"/>
              </w:rPr>
            </w:pPr>
          </w:p>
        </w:tc>
      </w:tr>
      <w:tr>
        <w:trPr>
          <w:trHeight w:val="129"/>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39,682,375</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36,844,800</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Debt—10.0%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PT Network Intermediate Holdings, LLC</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w w:val="95"/>
              </w:rPr>
              <w:t>11/30/2024</w:t>
            </w:r>
          </w:p>
        </w:tc>
        <w:tc>
          <w:tcPr>
            <w:tcW w:w="240" w:type="dxa"/>
            <w:vAlign w:val="bottom"/>
          </w:tcPr>
          <w:p>
            <w:pPr>
              <w:spacing w:after="0"/>
              <w:rPr>
                <w:sz w:val="11"/>
                <w:szCs w:val="11"/>
                <w:color w:val="auto"/>
              </w:rPr>
            </w:pP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52,479,266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52,094,291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52,479,266</w:t>
            </w:r>
          </w:p>
        </w:tc>
        <w:tc>
          <w:tcPr>
            <w:tcW w:w="100" w:type="dxa"/>
            <w:vAlign w:val="bottom"/>
          </w:tcPr>
          <w:p>
            <w:pPr>
              <w:spacing w:after="0"/>
              <w:rPr>
                <w:sz w:val="11"/>
                <w:szCs w:val="11"/>
                <w:color w:val="auto"/>
              </w:rPr>
            </w:pPr>
          </w:p>
        </w:tc>
      </w:tr>
      <w:tr>
        <w:trPr>
          <w:trHeight w:val="135"/>
        </w:trPr>
        <w:tc>
          <w:tcPr>
            <w:tcW w:w="212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11.00%)</w:t>
            </w: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52,094,291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52,479,266</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Subordinated Debt—12.0%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9"/>
                <w:szCs w:val="9"/>
                <w:color w:val="auto"/>
              </w:rPr>
              <w:t>(11)</w:t>
            </w:r>
          </w:p>
        </w:tc>
        <w:tc>
          <w:tcPr>
            <w:tcW w:w="620" w:type="dxa"/>
            <w:vAlign w:val="bottom"/>
            <w:gridSpan w:val="2"/>
            <w:shd w:val="clear" w:color="auto" w:fill="CCECFF"/>
          </w:tcPr>
          <w:p>
            <w:pPr>
              <w:ind w:left="120"/>
              <w:spacing w:after="0"/>
              <w:rPr>
                <w:sz w:val="20"/>
                <w:szCs w:val="20"/>
                <w:color w:val="auto"/>
              </w:rPr>
            </w:pPr>
            <w:r>
              <w:rPr>
                <w:rFonts w:ascii="Times New Roman" w:cs="Times New Roman" w:eastAsia="Times New Roman" w:hAnsi="Times New Roman"/>
                <w:sz w:val="11"/>
                <w:szCs w:val="11"/>
                <w:color w:val="auto"/>
                <w:w w:val="95"/>
              </w:rPr>
              <w:t>07/31/2027</w:t>
            </w: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9.00%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L+800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63,000,000</w:t>
            </w: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Equity—2.3%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546,750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11.00%</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10,725,000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12,215,888</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11,271,750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12,215,888</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Equity—29.3%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9"/>
                <w:szCs w:val="9"/>
                <w:color w:val="auto"/>
              </w:rPr>
              <w:t>(8), (10), (11)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132,497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927,315</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29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PennantPark Senior Loan Fund, LLC </w:t>
            </w:r>
            <w:r>
              <w:rPr>
                <w:rFonts w:ascii="Times New Roman" w:cs="Times New Roman" w:eastAsia="Times New Roman" w:hAnsi="Times New Roman"/>
                <w:sz w:val="9"/>
                <w:szCs w:val="9"/>
                <w:color w:val="auto"/>
              </w:rPr>
              <w:t>(11)</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33,221,176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33,221,176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36,262,577</w:t>
            </w: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70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7,150,000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26,689,495</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RAM Energy Holdings LLC</w:t>
            </w:r>
          </w:p>
        </w:tc>
        <w:tc>
          <w:tcPr>
            <w:tcW w:w="120" w:type="dxa"/>
            <w:vAlign w:val="bottom"/>
            <w:tcBorders>
              <w:bottom w:val="single" w:sz="8" w:color="CCECFF"/>
            </w:tcBorders>
          </w:tcPr>
          <w:p>
            <w:pPr>
              <w:spacing w:after="0"/>
              <w:rPr>
                <w:sz w:val="11"/>
                <w:szCs w:val="11"/>
                <w:color w:val="auto"/>
              </w:rPr>
            </w:pPr>
          </w:p>
        </w:tc>
        <w:tc>
          <w:tcPr>
            <w:tcW w:w="740" w:type="dxa"/>
            <w:vAlign w:val="bottom"/>
            <w:tcBorders>
              <w:bottom w:val="single" w:sz="8" w:color="CCECFF"/>
            </w:tcBorders>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2700" w:type="dxa"/>
            <w:vAlign w:val="bottom"/>
            <w:tcBorders>
              <w:bottom w:val="single" w:sz="8" w:color="CCECFF"/>
            </w:tcBorders>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Energy and Utilities</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180,805</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162,708,073</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89,923,518</w:t>
            </w:r>
          </w:p>
        </w:tc>
        <w:tc>
          <w:tcPr>
            <w:tcW w:w="100" w:type="dxa"/>
            <w:vAlign w:val="bottom"/>
            <w:tcBorders>
              <w:bottom w:val="single" w:sz="8" w:color="CCECFF"/>
            </w:tcBorders>
          </w:tcPr>
          <w:p>
            <w:pPr>
              <w:spacing w:after="0"/>
              <w:rPr>
                <w:sz w:val="11"/>
                <w:szCs w:val="11"/>
                <w:color w:val="auto"/>
              </w:rPr>
            </w:pPr>
          </w:p>
        </w:tc>
      </w:tr>
      <w:tr>
        <w:trPr>
          <w:trHeight w:val="129"/>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208,211,746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153,802,905</w:t>
            </w:r>
          </w:p>
        </w:tc>
        <w:tc>
          <w:tcPr>
            <w:tcW w:w="100" w:type="dxa"/>
            <w:vAlign w:val="bottom"/>
            <w:shd w:val="clear" w:color="auto" w:fill="CCECFF"/>
          </w:tcPr>
          <w:p>
            <w:pPr>
              <w:spacing w:after="0"/>
              <w:rPr>
                <w:sz w:val="11"/>
                <w:szCs w:val="11"/>
                <w:color w:val="auto"/>
              </w:rPr>
            </w:pPr>
          </w:p>
        </w:tc>
      </w:tr>
      <w:tr>
        <w:trPr>
          <w:trHeight w:val="12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Total Investments in Controlled, Affiliated Portfolio Companies</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374,260,162</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318,342,859</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Investments—205.8%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7"/>
              </w:rPr>
              <w:t>1,165,572,291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1,081,771,418</w:t>
            </w:r>
          </w:p>
        </w:tc>
        <w:tc>
          <w:tcPr>
            <w:tcW w:w="100" w:type="dxa"/>
            <w:vAlign w:val="bottom"/>
            <w:shd w:val="clear" w:color="auto" w:fill="CCECFF"/>
          </w:tcPr>
          <w:p>
            <w:pPr>
              <w:spacing w:after="0"/>
              <w:rPr>
                <w:sz w:val="11"/>
                <w:szCs w:val="11"/>
                <w:color w:val="auto"/>
              </w:rPr>
            </w:pPr>
          </w:p>
        </w:tc>
      </w:tr>
      <w:tr>
        <w:trPr>
          <w:trHeight w:val="129"/>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Equivalents—4.9%</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2,277,244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2,277,244</w:t>
            </w:r>
          </w:p>
        </w:tc>
        <w:tc>
          <w:tcPr>
            <w:tcW w:w="100" w:type="dxa"/>
            <w:vAlign w:val="bottom"/>
            <w:shd w:val="clear" w:color="auto" w:fill="CCECFF"/>
          </w:tcPr>
          <w:p>
            <w:pPr>
              <w:spacing w:after="0"/>
              <w:rPr>
                <w:sz w:val="11"/>
                <w:szCs w:val="11"/>
                <w:color w:val="auto"/>
              </w:rPr>
            </w:pPr>
          </w:p>
        </w:tc>
      </w:tr>
      <w:tr>
        <w:trPr>
          <w:trHeight w:val="135"/>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5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23,523,843</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23,528,758</w:t>
            </w:r>
          </w:p>
        </w:tc>
        <w:tc>
          <w:tcPr>
            <w:tcW w:w="100" w:type="dxa"/>
            <w:vAlign w:val="bottom"/>
            <w:tcBorders>
              <w:bottom w:val="single" w:sz="8" w:color="CCECFF"/>
            </w:tcBorders>
          </w:tcPr>
          <w:p>
            <w:pPr>
              <w:spacing w:after="0"/>
              <w:rPr>
                <w:sz w:val="11"/>
                <w:szCs w:val="11"/>
                <w:color w:val="auto"/>
              </w:rPr>
            </w:pPr>
          </w:p>
        </w:tc>
      </w:tr>
      <w:tr>
        <w:trPr>
          <w:trHeight w:val="128"/>
        </w:trPr>
        <w:tc>
          <w:tcPr>
            <w:tcW w:w="29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5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25,801,087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4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25,806,002</w:t>
            </w:r>
          </w:p>
        </w:tc>
        <w:tc>
          <w:tcPr>
            <w:tcW w:w="100" w:type="dxa"/>
            <w:vAlign w:val="bottom"/>
            <w:shd w:val="clear" w:color="auto" w:fill="CCECFF"/>
          </w:tcPr>
          <w:p>
            <w:pPr>
              <w:spacing w:after="0"/>
              <w:rPr>
                <w:sz w:val="11"/>
                <w:szCs w:val="11"/>
                <w:color w:val="auto"/>
              </w:rPr>
            </w:pPr>
          </w:p>
        </w:tc>
      </w:tr>
      <w:tr>
        <w:trPr>
          <w:trHeight w:val="168"/>
        </w:trPr>
        <w:tc>
          <w:tcPr>
            <w:tcW w:w="296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Equivalents—210.7%</w:t>
            </w:r>
          </w:p>
        </w:tc>
        <w:tc>
          <w:tcPr>
            <w:tcW w:w="120" w:type="dxa"/>
            <w:vAlign w:val="bottom"/>
            <w:tcBorders>
              <w:bottom w:val="single" w:sz="8" w:color="CCECFF"/>
            </w:tcBorders>
          </w:tcPr>
          <w:p>
            <w:pPr>
              <w:spacing w:after="0"/>
              <w:rPr>
                <w:sz w:val="14"/>
                <w:szCs w:val="14"/>
                <w:color w:val="auto"/>
              </w:rPr>
            </w:pPr>
          </w:p>
        </w:tc>
        <w:tc>
          <w:tcPr>
            <w:tcW w:w="50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5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6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84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1,191,373,378</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1,107,577,420</w:t>
            </w:r>
          </w:p>
        </w:tc>
        <w:tc>
          <w:tcPr>
            <w:tcW w:w="100" w:type="dxa"/>
            <w:vAlign w:val="bottom"/>
            <w:tcBorders>
              <w:bottom w:val="single" w:sz="8" w:color="CCECFF"/>
            </w:tcBorders>
          </w:tcPr>
          <w:p>
            <w:pPr>
              <w:spacing w:after="0"/>
              <w:rPr>
                <w:sz w:val="14"/>
                <w:szCs w:val="14"/>
                <w:color w:val="auto"/>
              </w:rPr>
            </w:pPr>
          </w:p>
        </w:tc>
      </w:tr>
      <w:tr>
        <w:trPr>
          <w:trHeight w:val="116"/>
        </w:trPr>
        <w:tc>
          <w:tcPr>
            <w:tcW w:w="2960" w:type="dxa"/>
            <w:vAlign w:val="bottom"/>
            <w:gridSpan w:val="2"/>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Assets—(110.7%)</w:t>
            </w:r>
          </w:p>
        </w:tc>
        <w:tc>
          <w:tcPr>
            <w:tcW w:w="120" w:type="dxa"/>
            <w:vAlign w:val="bottom"/>
            <w:shd w:val="clear" w:color="auto" w:fill="CCECFF"/>
          </w:tcPr>
          <w:p>
            <w:pPr>
              <w:spacing w:after="0"/>
              <w:rPr>
                <w:sz w:val="10"/>
                <w:szCs w:val="10"/>
                <w:color w:val="auto"/>
              </w:rPr>
            </w:pPr>
          </w:p>
        </w:tc>
        <w:tc>
          <w:tcPr>
            <w:tcW w:w="50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5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40" w:type="dxa"/>
            <w:vAlign w:val="bottom"/>
            <w:shd w:val="clear" w:color="auto" w:fill="CCECFF"/>
          </w:tcPr>
          <w:p>
            <w:pPr>
              <w:spacing w:after="0"/>
              <w:rPr>
                <w:sz w:val="10"/>
                <w:szCs w:val="10"/>
                <w:color w:val="auto"/>
              </w:rPr>
            </w:pPr>
          </w:p>
        </w:tc>
        <w:tc>
          <w:tcPr>
            <w:tcW w:w="700" w:type="dxa"/>
            <w:vAlign w:val="bottom"/>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(581,868,568)</w:t>
            </w:r>
          </w:p>
        </w:tc>
        <w:tc>
          <w:tcPr>
            <w:tcW w:w="100" w:type="dxa"/>
            <w:vAlign w:val="bottom"/>
            <w:shd w:val="clear" w:color="auto" w:fill="CCECFF"/>
          </w:tcPr>
          <w:p>
            <w:pPr>
              <w:spacing w:after="0"/>
              <w:rPr>
                <w:sz w:val="10"/>
                <w:szCs w:val="10"/>
                <w:color w:val="auto"/>
              </w:rPr>
            </w:pPr>
          </w:p>
        </w:tc>
      </w:tr>
      <w:tr>
        <w:trPr>
          <w:trHeight w:val="135"/>
        </w:trPr>
        <w:tc>
          <w:tcPr>
            <w:tcW w:w="29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525,708,852</w:t>
            </w:r>
          </w:p>
        </w:tc>
        <w:tc>
          <w:tcPr>
            <w:tcW w:w="10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r>
    </w:tbl>
    <w:p>
      <w:pPr>
        <w:spacing w:after="0" w:line="32" w:lineRule="exact"/>
        <w:rPr>
          <w:sz w:val="20"/>
          <w:szCs w:val="20"/>
          <w:color w:val="auto"/>
        </w:rPr>
      </w:pPr>
    </w:p>
    <w:p>
      <w:pPr>
        <w:ind w:left="380" w:hanging="372"/>
        <w:spacing w:after="0" w:line="255" w:lineRule="auto"/>
        <w:tabs>
          <w:tab w:leader="none" w:pos="3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37" w:lineRule="exact"/>
        <w:rPr>
          <w:rFonts w:ascii="Times New Roman" w:cs="Times New Roman" w:eastAsia="Times New Roman" w:hAnsi="Times New Roman"/>
          <w:sz w:val="12"/>
          <w:szCs w:val="12"/>
          <w:color w:val="auto"/>
        </w:rPr>
      </w:pPr>
    </w:p>
    <w:p>
      <w:pPr>
        <w:ind w:left="380" w:right="120" w:hanging="372"/>
        <w:spacing w:after="0" w:line="241" w:lineRule="auto"/>
        <w:tabs>
          <w:tab w:leader="none" w:pos="3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6"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4" w:name="page65"/>
    <w:bookmarkEnd w:id="64"/>
    <w:p>
      <w:pPr>
        <w:ind w:left="372" w:hanging="372"/>
        <w:spacing w:after="0"/>
        <w:tabs>
          <w:tab w:leader="none" w:pos="372"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Subsidiaries (See Note 1).</w:t>
      </w:r>
    </w:p>
    <w:p>
      <w:pPr>
        <w:spacing w:after="0" w:line="37" w:lineRule="exact"/>
        <w:rPr>
          <w:rFonts w:ascii="Times New Roman" w:cs="Times New Roman" w:eastAsia="Times New Roman" w:hAnsi="Times New Roman"/>
          <w:sz w:val="12"/>
          <w:szCs w:val="12"/>
          <w:color w:val="auto"/>
        </w:rPr>
      </w:pPr>
    </w:p>
    <w:p>
      <w:pPr>
        <w:ind w:left="372" w:hanging="372"/>
        <w:spacing w:after="0"/>
        <w:tabs>
          <w:tab w:leader="none" w:pos="372"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37" w:lineRule="exact"/>
        <w:rPr>
          <w:rFonts w:ascii="Times New Roman" w:cs="Times New Roman" w:eastAsia="Times New Roman" w:hAnsi="Times New Roman"/>
          <w:sz w:val="12"/>
          <w:szCs w:val="12"/>
          <w:color w:val="auto"/>
        </w:rPr>
      </w:pPr>
    </w:p>
    <w:p>
      <w:pPr>
        <w:ind w:left="372" w:hanging="372"/>
        <w:spacing w:after="0" w:line="255" w:lineRule="auto"/>
        <w:tabs>
          <w:tab w:leader="none" w:pos="372"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2020, qualifying assets represent 87% of the Company’s total assets and non-qualifying assets represent 13% of the Company’s total assets.</w:t>
      </w:r>
    </w:p>
    <w:p>
      <w:pPr>
        <w:spacing w:after="0" w:line="178"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185"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00" w:type="dxa"/>
            <w:vAlign w:val="bottom"/>
          </w:tcPr>
          <w:p>
            <w:pPr>
              <w:spacing w:after="0"/>
              <w:rPr>
                <w:sz w:val="11"/>
                <w:szCs w:val="11"/>
                <w:color w:val="auto"/>
              </w:rPr>
            </w:pPr>
          </w:p>
        </w:tc>
        <w:tc>
          <w:tcPr>
            <w:tcW w:w="1300" w:type="dxa"/>
            <w:vAlign w:val="bottom"/>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Maturity /</w:t>
            </w: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Current</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5"/>
              </w:rPr>
              <w:t>Par /</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7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Issuer Name</w:t>
            </w:r>
          </w:p>
        </w:tc>
        <w:tc>
          <w:tcPr>
            <w:tcW w:w="1300" w:type="dxa"/>
            <w:vAlign w:val="bottom"/>
            <w:vMerge w:val="continue"/>
          </w:tcPr>
          <w:p>
            <w:pPr>
              <w:spacing w:after="0"/>
              <w:rPr>
                <w:sz w:val="9"/>
                <w:szCs w:val="9"/>
                <w:color w:val="auto"/>
              </w:rPr>
            </w:pPr>
          </w:p>
        </w:tc>
        <w:tc>
          <w:tcPr>
            <w:tcW w:w="26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Industry</w:t>
            </w:r>
          </w:p>
        </w:tc>
        <w:tc>
          <w:tcPr>
            <w:tcW w:w="900" w:type="dxa"/>
            <w:vAlign w:val="bottom"/>
            <w:gridSpan w:val="2"/>
            <w:vMerge w:val="continue"/>
          </w:tcPr>
          <w:p>
            <w:pPr>
              <w:spacing w:after="0"/>
              <w:rPr>
                <w:sz w:val="9"/>
                <w:szCs w:val="9"/>
                <w:color w:val="auto"/>
              </w:rPr>
            </w:pPr>
          </w:p>
        </w:tc>
        <w:tc>
          <w:tcPr>
            <w:tcW w:w="1100" w:type="dxa"/>
            <w:vAlign w:val="bottom"/>
            <w:gridSpan w:val="2"/>
          </w:tcPr>
          <w:p>
            <w:pPr>
              <w:jc w:val="center"/>
              <w:ind w:right="240"/>
              <w:spacing w:after="0" w:line="114"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Cost</w:t>
            </w:r>
          </w:p>
        </w:tc>
        <w:tc>
          <w:tcPr>
            <w:tcW w:w="240" w:type="dxa"/>
            <w:vAlign w:val="bottom"/>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Fair Value </w:t>
            </w:r>
            <w:r>
              <w:rPr>
                <w:rFonts w:ascii="Times New Roman" w:cs="Times New Roman" w:eastAsia="Times New Roman" w:hAnsi="Times New Roman"/>
                <w:sz w:val="19"/>
                <w:szCs w:val="19"/>
                <w:b w:val="1"/>
                <w:bCs w:val="1"/>
                <w:color w:val="auto"/>
                <w:vertAlign w:val="superscript"/>
              </w:rPr>
              <w:t>(3)</w:t>
            </w:r>
          </w:p>
        </w:tc>
        <w:tc>
          <w:tcPr>
            <w:tcW w:w="0" w:type="dxa"/>
            <w:vAlign w:val="bottom"/>
          </w:tcPr>
          <w:p>
            <w:pPr>
              <w:spacing w:after="0"/>
              <w:rPr>
                <w:sz w:val="1"/>
                <w:szCs w:val="1"/>
                <w:color w:val="auto"/>
              </w:rPr>
            </w:pPr>
          </w:p>
        </w:tc>
      </w:tr>
      <w:tr>
        <w:trPr>
          <w:trHeight w:val="145"/>
        </w:trPr>
        <w:tc>
          <w:tcPr>
            <w:tcW w:w="2700" w:type="dxa"/>
            <w:vAlign w:val="bottom"/>
            <w:vMerge w:val="continue"/>
          </w:tcPr>
          <w:p>
            <w:pPr>
              <w:spacing w:after="0"/>
              <w:rPr>
                <w:sz w:val="12"/>
                <w:szCs w:val="12"/>
                <w:color w:val="auto"/>
              </w:rPr>
            </w:pPr>
          </w:p>
        </w:tc>
        <w:tc>
          <w:tcPr>
            <w:tcW w:w="1300" w:type="dxa"/>
            <w:vAlign w:val="bottom"/>
          </w:tcPr>
          <w:p>
            <w:pPr>
              <w:ind w:left="460"/>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2620" w:type="dxa"/>
            <w:vAlign w:val="bottom"/>
            <w:gridSpan w:val="2"/>
            <w:vMerge w:val="continue"/>
          </w:tcPr>
          <w:p>
            <w:pPr>
              <w:spacing w:after="0"/>
              <w:rPr>
                <w:sz w:val="12"/>
                <w:szCs w:val="12"/>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Coupon</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0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Non-Affiliated Portfolio Companies—161.0 </w:t>
            </w:r>
            <w:r>
              <w:rPr>
                <w:rFonts w:ascii="Times New Roman" w:cs="Times New Roman" w:eastAsia="Times New Roman" w:hAnsi="Times New Roman"/>
                <w:sz w:val="9"/>
                <w:szCs w:val="9"/>
                <w:b w:val="1"/>
                <w:bCs w:val="1"/>
                <w:color w:val="auto"/>
              </w:rPr>
              <w:t>(1), (2)</w:t>
            </w:r>
          </w:p>
        </w:tc>
        <w:tc>
          <w:tcPr>
            <w:tcW w:w="25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Debt—100.7%</w:t>
            </w:r>
          </w:p>
        </w:tc>
        <w:tc>
          <w:tcPr>
            <w:tcW w:w="1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Altamira Technologies, LLC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07/24/2025</w:t>
            </w:r>
          </w:p>
        </w:tc>
        <w:tc>
          <w:tcPr>
            <w:tcW w:w="262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8.28%</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985,250</w:t>
            </w:r>
          </w:p>
        </w:tc>
        <w:tc>
          <w:tcPr>
            <w:tcW w:w="340" w:type="dxa"/>
            <w:vAlign w:val="bottom"/>
            <w:gridSpan w:val="2"/>
            <w:shd w:val="clear" w:color="auto" w:fill="CCEC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Altamira Technologies, LLC (Revolver) </w:t>
            </w:r>
            <w:r>
              <w:rPr>
                <w:rFonts w:ascii="Times New Roman" w:cs="Times New Roman" w:eastAsia="Times New Roman" w:hAnsi="Times New Roman"/>
                <w:sz w:val="9"/>
                <w:szCs w:val="9"/>
                <w:color w:val="auto"/>
              </w:rPr>
              <w:t>(7)</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07/24/2025</w:t>
            </w:r>
          </w:p>
        </w:tc>
        <w:tc>
          <w:tcPr>
            <w:tcW w:w="26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12/21/2023</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8.10%</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31,044,000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30,504,462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30,578,340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9"/>
                <w:szCs w:val="9"/>
                <w:color w:val="auto"/>
              </w:rPr>
              <w:t>(7)</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12/21/2023</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1,350,649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(20,260)</w:t>
            </w: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Bazaarvoice, Inc.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02/01/2024</w:t>
            </w:r>
          </w:p>
        </w:tc>
        <w:tc>
          <w:tcPr>
            <w:tcW w:w="262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7.79%</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14,775,844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14,652,557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14,628,085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Bottom Line Systems, LLC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02/13/2023</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8.04%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21,722,525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21,510,208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21,718,181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Broder Bros., Co.</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12/02/2022</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10.60%</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27,218,672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27,219,280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27,218,672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Cano Health, LLC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12/23/2021</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8.36%</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29,073,557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28,790,688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29,073,557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DermaRite Industries LLC</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03/03/2022</w:t>
            </w:r>
          </w:p>
        </w:tc>
        <w:tc>
          <w:tcPr>
            <w:tcW w:w="262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9.04%</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9,750,000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9,663,494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9,255,675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Deva Holdings, Inc.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10/31/2023</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7.54%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4,486,071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4,421,743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4,486,071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Deva Holdings, Inc.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10/31/2022</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385,000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HW Holdco, LLC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12/10/2024</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9"/>
              </w:rPr>
              <w:t>Media</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8.39%</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17,480,806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17,317,655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17,480,806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HW Holdco, LLC (Revolver)</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12/10/2024</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9"/>
              </w:rPr>
              <w:t>Media</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8.39%</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487,742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487,742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487,742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HW Holdco, LLC (Revolver) </w:t>
            </w:r>
            <w:r>
              <w:rPr>
                <w:rFonts w:ascii="Times New Roman" w:cs="Times New Roman" w:eastAsia="Times New Roman" w:hAnsi="Times New Roman"/>
                <w:sz w:val="9"/>
                <w:szCs w:val="9"/>
                <w:color w:val="auto"/>
              </w:rPr>
              <w:t>(7)</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12/10/2024</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9"/>
              </w:rPr>
              <w:t>Media</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2,899,355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Impact Group, LLC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06/27/2023</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8.72%</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20,101,907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20,001,084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19,900,888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Juniper Landscaping of Florida, LLC</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12/22/2021</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10.61%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14,627,202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14,463,765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14,627,202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K2 Pure Solutions NoCal, L.P.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12/20/2023</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7.33%</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L+475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26,929,833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26,577,555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26,603,982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K2 Pure Solutions NoCal, L.P. (Revolver)</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12/20/2023</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7.30%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678,333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670,125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K2 Pure Solutions NoCal, L.P. (Revolver)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12/20/2023</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1,259,762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(15,243)</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Kentucky Downs, LLC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03/07/2025</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10.60%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10,024,046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9,831,274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10,024,046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Kentucky Downs, LLC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03/07/2025</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2,482,759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Lombart Brothers, Inc.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04/13/2023</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8.35%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17,093,818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16,900,562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16,922,880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Lombart Brothers, Inc. (Revolver)</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04/13/2023</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10.00%</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P+500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624,675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624,675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621,551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Lombart Brothers, Inc. (Revolver) </w:t>
            </w:r>
            <w:r>
              <w:rPr>
                <w:rFonts w:ascii="Times New Roman" w:cs="Times New Roman" w:eastAsia="Times New Roman" w:hAnsi="Times New Roman"/>
                <w:sz w:val="9"/>
                <w:szCs w:val="9"/>
                <w:color w:val="auto"/>
              </w:rPr>
              <w:t>(7)</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04/13/2023</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1,145,237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(5,726)</w:t>
            </w: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MeritDirect, LLC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05/23/2024</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9"/>
              </w:rPr>
              <w:t>Media</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8.06%</w:t>
            </w:r>
          </w:p>
        </w:tc>
        <w:tc>
          <w:tcPr>
            <w:tcW w:w="1100" w:type="dxa"/>
            <w:vAlign w:val="bottom"/>
            <w:gridSpan w:val="2"/>
            <w:shd w:val="clear" w:color="auto" w:fill="CCECFF"/>
          </w:tcPr>
          <w:p>
            <w:pPr>
              <w:ind w:left="340"/>
              <w:spacing w:after="0"/>
              <w:rPr>
                <w:sz w:val="20"/>
                <w:szCs w:val="20"/>
                <w:color w:val="auto"/>
              </w:rPr>
            </w:pPr>
            <w:r>
              <w:rPr>
                <w:rFonts w:ascii="Times New Roman" w:cs="Times New Roman" w:eastAsia="Times New Roman" w:hAnsi="Times New Roman"/>
                <w:sz w:val="11"/>
                <w:szCs w:val="11"/>
                <w:color w:val="auto"/>
              </w:rPr>
              <w:t>3ML+550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19,539,663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19,263,565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19,246,568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MeritDirect, LLC (Revolver) </w:t>
            </w:r>
            <w:r>
              <w:rPr>
                <w:rFonts w:ascii="Times New Roman" w:cs="Times New Roman" w:eastAsia="Times New Roman" w:hAnsi="Times New Roman"/>
                <w:sz w:val="9"/>
                <w:szCs w:val="9"/>
                <w:color w:val="auto"/>
              </w:rPr>
              <w:t>(7)</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05/23/2024</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9"/>
              </w:rPr>
              <w:t>Media</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2,518,345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(37,775)</w:t>
            </w: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Ox Two, LLC</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02/27/2023</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8.29%</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21,785,448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21,461,501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21,785,448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Ox Two, LLC (Revolver)</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02/27/2023</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12.25%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P+725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2,288,000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2,288,000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2,288,000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Ox Two, LLC (Revolver)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02/27/2023</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6"/>
              </w:rPr>
              <w:t>Building Materials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212,000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Peninsula Pacific Entertainment LLC</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11/13/2024</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9.35%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L+725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8,495,190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8,480,683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8,495,190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Pestell Minerals and Ingredients Inc. </w:t>
            </w:r>
            <w:r>
              <w:rPr>
                <w:rFonts w:ascii="Times New Roman" w:cs="Times New Roman" w:eastAsia="Times New Roman" w:hAnsi="Times New Roman"/>
                <w:sz w:val="9"/>
                <w:szCs w:val="9"/>
                <w:color w:val="auto"/>
              </w:rPr>
              <w:t>(5), (8), (11)</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06/01/2023</w:t>
            </w:r>
          </w:p>
        </w:tc>
        <w:tc>
          <w:tcPr>
            <w:tcW w:w="262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7.57%</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5,458,750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5,411,313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5,404,163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PlayPower, Inc.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05/08/2026</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7.60%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4,189,500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4,148,451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4,184,263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PRA Events, Inc.</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08/08/2022</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9.11%</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19,380,021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19,137,807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19,380,021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PRA Events, Inc. (Revolver) </w:t>
            </w:r>
            <w:r>
              <w:rPr>
                <w:rFonts w:ascii="Times New Roman" w:cs="Times New Roman" w:eastAsia="Times New Roman" w:hAnsi="Times New Roman"/>
                <w:sz w:val="9"/>
                <w:szCs w:val="9"/>
                <w:color w:val="auto"/>
              </w:rPr>
              <w:t>(7)</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08/08/2022</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Provation Medical, Inc.</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03/11/2024</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6"/>
              </w:rPr>
              <w:t>Electronics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9.34%</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26,797,500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26,265,386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26,422,335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Quantum Spatial, Inc.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09/04/2024</w:t>
            </w:r>
          </w:p>
        </w:tc>
        <w:tc>
          <w:tcPr>
            <w:tcW w:w="26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7.32%</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14,777,156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Questex, LLC</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09/09/2024</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9"/>
              </w:rPr>
              <w:t>Media</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7.11%</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22,275,000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21,892,186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22,052,250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Questex, LLC (Revolver) </w:t>
            </w:r>
            <w:r>
              <w:rPr>
                <w:rFonts w:ascii="Times New Roman" w:cs="Times New Roman" w:eastAsia="Times New Roman" w:hAnsi="Times New Roman"/>
                <w:sz w:val="9"/>
                <w:szCs w:val="9"/>
                <w:color w:val="auto"/>
              </w:rPr>
              <w:t>(7)</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09/09/2024</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9"/>
              </w:rPr>
              <w:t>Media</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3,590,426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(35,904)</w:t>
            </w: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Radius Aerospace, Inc.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03/31/2025</w:t>
            </w:r>
          </w:p>
        </w:tc>
        <w:tc>
          <w:tcPr>
            <w:tcW w:w="262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7.85%</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8,528,572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8,408,418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8,464,608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Radius Aerospace, Inc. (Revolver)</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03/31/2025</w:t>
            </w:r>
          </w:p>
        </w:tc>
        <w:tc>
          <w:tcPr>
            <w:tcW w:w="26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8.61%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428,571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425,358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Radius Aerospace, Inc. (Revolver)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03/31/2025</w:t>
            </w:r>
          </w:p>
        </w:tc>
        <w:tc>
          <w:tcPr>
            <w:tcW w:w="262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(7,498)</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Research Horizons, LLC</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06/28/2022</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9"/>
              </w:rPr>
              <w:t>Media</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8.36%</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31,036,318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30,707,239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30,415,591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700" w:type="dxa"/>
            <w:vAlign w:val="bottom"/>
            <w:shd w:val="clear" w:color="auto" w:fill="CCECFF"/>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1300" w:type="dxa"/>
            <w:vAlign w:val="bottom"/>
            <w:shd w:val="clear" w:color="auto" w:fill="CCECFF"/>
          </w:tcPr>
          <w:p>
            <w:pPr>
              <w:spacing w:after="0"/>
              <w:rPr>
                <w:sz w:val="10"/>
                <w:szCs w:val="10"/>
                <w:color w:val="auto"/>
              </w:rPr>
            </w:pPr>
          </w:p>
        </w:tc>
        <w:tc>
          <w:tcPr>
            <w:tcW w:w="25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1"/>
                <w:szCs w:val="11"/>
                <w:color w:val="auto"/>
              </w:rPr>
              <w:t>Sampling International LLC (5)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12/20/2024</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7.75%</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9,924,242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9,782,674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9,939,724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Riverpoint Medical, LLC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06/20/2025</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7.39%</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1,975,739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1,984,626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Riverpoint Medical, LLC (Revolver)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06/20/2025</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363,636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(1,891)</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Schlesinger Global, Inc.</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07/14/2025</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7.10%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371,318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365,869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371,318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Schlesinger Global, Inc.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07/14/2025</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81,514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Schlesinger Global, Inc. (Revolver)</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07/14/2025</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7.82%</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13,586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Schlesinger Global, Inc. (Revolver)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07/14/2025</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5"/>
              </w:rPr>
              <w:t>Business Services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24,454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Signature Systems Holding Company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05/03/2024</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8.60%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P+650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14,906,271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14,699,927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14,906,271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Signature Systems Holding Company (Revolver)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05/03/2024</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2,016,129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Solutionreach, Inc. </w:t>
            </w:r>
            <w:r>
              <w:rPr>
                <w:rFonts w:ascii="Times New Roman" w:cs="Times New Roman" w:eastAsia="Times New Roman" w:hAnsi="Times New Roman"/>
                <w:sz w:val="9"/>
                <w:szCs w:val="9"/>
                <w:color w:val="auto"/>
              </w:rPr>
              <w:t>(5)</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01/17/2024</w:t>
            </w:r>
          </w:p>
        </w:tc>
        <w:tc>
          <w:tcPr>
            <w:tcW w:w="26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8"/>
              </w:rPr>
              <w:t>Communications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7.79%</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13,253,400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13,015,745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13,082,432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Solutionreach, Inc. (Revolver)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01/17/2024</w:t>
            </w:r>
          </w:p>
        </w:tc>
        <w:tc>
          <w:tcPr>
            <w:tcW w:w="262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1"/>
                <w:szCs w:val="11"/>
                <w:color w:val="auto"/>
                <w:w w:val="98"/>
              </w:rPr>
              <w:t>Communications</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1,665,000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(21,478)</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Triad Manufacturing, Inc.</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12/28/2020</w:t>
            </w:r>
          </w:p>
        </w:tc>
        <w:tc>
          <w:tcPr>
            <w:tcW w:w="26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8"/>
              </w:rPr>
              <w:t>Manufacturing / Basic Industries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13.29%</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L+1,125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21,589,610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21,447,963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21,373,714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TVC Enterprises, LLC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01/18/2024</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7.55%</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32,960,373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32,378,623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32,960,373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TVC Enterprises, LLC </w:t>
            </w:r>
            <w:r>
              <w:rPr>
                <w:rFonts w:ascii="Times New Roman" w:cs="Times New Roman" w:eastAsia="Times New Roman" w:hAnsi="Times New Roman"/>
                <w:sz w:val="9"/>
                <w:szCs w:val="9"/>
                <w:color w:val="auto"/>
              </w:rPr>
              <w:t>(7)</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01/18/2024</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4,053,227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TVC Enterprises, LLC (Revolver)</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01/18/2024</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7.61%</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L+550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967,902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967,902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967,902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TVC Enterprises, LLC (Revolver) </w:t>
            </w:r>
            <w:r>
              <w:rPr>
                <w:rFonts w:ascii="Times New Roman" w:cs="Times New Roman" w:eastAsia="Times New Roman" w:hAnsi="Times New Roman"/>
                <w:sz w:val="9"/>
                <w:szCs w:val="9"/>
                <w:color w:val="auto"/>
              </w:rPr>
              <w:t>(7)</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01/18/2024</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1,734,249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TWS Acquisition Corporation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06/16/2025</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8"/>
              </w:rPr>
              <w:t>Education</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8.28%</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8,850,000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8,640,294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8,673,000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TWS Acquisition Corporation (Revolver)</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06/16/2025</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Education</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8.28%</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505,714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505,714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495,600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TWS Acquisition Corporation (Revolver) </w:t>
            </w:r>
            <w:r>
              <w:rPr>
                <w:rFonts w:ascii="Times New Roman" w:cs="Times New Roman" w:eastAsia="Times New Roman" w:hAnsi="Times New Roman"/>
                <w:sz w:val="9"/>
                <w:szCs w:val="9"/>
                <w:color w:val="auto"/>
              </w:rPr>
              <w:t>(7)</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06/16/2025</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8"/>
              </w:rPr>
              <w:t>Education</w:t>
            </w:r>
          </w:p>
        </w:tc>
        <w:tc>
          <w:tcPr>
            <w:tcW w:w="9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1,137,857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72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1"/>
                <w:szCs w:val="11"/>
                <w:color w:val="auto"/>
              </w:rPr>
              <w:t>(22,757)</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Tyto Athene, LLC</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08/27/2024</w:t>
            </w:r>
          </w:p>
        </w:tc>
        <w:tc>
          <w:tcPr>
            <w:tcW w:w="26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7.80%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L+575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6,203,031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6,175,004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6,018,180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UBEO, LLC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04/03/2024</w:t>
            </w:r>
          </w:p>
        </w:tc>
        <w:tc>
          <w:tcPr>
            <w:tcW w:w="262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6.78%</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L+450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2,300,400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2,279,160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2,277,396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US Med Acquisition, Inc.</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08/13/2021</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11.10%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L+900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8,389,063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8,389,063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8,389,063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Vision Purchaser Corporation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06/10/2025</w:t>
            </w:r>
          </w:p>
        </w:tc>
        <w:tc>
          <w:tcPr>
            <w:tcW w:w="2620" w:type="dxa"/>
            <w:vAlign w:val="bottom"/>
            <w:gridSpan w:val="2"/>
            <w:shd w:val="clear" w:color="auto" w:fill="CCECFF"/>
          </w:tcPr>
          <w:p>
            <w:pPr>
              <w:jc w:val="center"/>
              <w:ind w:right="260"/>
              <w:spacing w:after="0"/>
              <w:rPr>
                <w:sz w:val="20"/>
                <w:szCs w:val="20"/>
                <w:color w:val="auto"/>
              </w:rPr>
            </w:pPr>
            <w:r>
              <w:rPr>
                <w:rFonts w:ascii="Times New Roman" w:cs="Times New Roman" w:eastAsia="Times New Roman" w:hAnsi="Times New Roman"/>
                <w:sz w:val="11"/>
                <w:szCs w:val="11"/>
                <w:color w:val="auto"/>
                <w:w w:val="99"/>
              </w:rPr>
              <w:t>Media</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8.30%</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L+625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3,440,998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3,374,373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3,406,588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1300" w:type="dxa"/>
            <w:vAlign w:val="bottom"/>
          </w:tcPr>
          <w:p>
            <w:pPr>
              <w:ind w:left="480"/>
              <w:spacing w:after="0"/>
              <w:rPr>
                <w:sz w:val="20"/>
                <w:szCs w:val="20"/>
                <w:color w:val="auto"/>
              </w:rPr>
            </w:pPr>
            <w:r>
              <w:rPr>
                <w:rFonts w:ascii="Times New Roman" w:cs="Times New Roman" w:eastAsia="Times New Roman" w:hAnsi="Times New Roman"/>
                <w:sz w:val="11"/>
                <w:szCs w:val="11"/>
                <w:color w:val="auto"/>
              </w:rPr>
              <w:t>09/26/2024</w:t>
            </w:r>
          </w:p>
        </w:tc>
        <w:tc>
          <w:tcPr>
            <w:tcW w:w="26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8.83%</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L+650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22,078,125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21,695,009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22,243,711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Whitney, Bradley &amp; Brown, Inc. </w:t>
            </w:r>
            <w:r>
              <w:rPr>
                <w:rFonts w:ascii="Times New Roman" w:cs="Times New Roman" w:eastAsia="Times New Roman" w:hAnsi="Times New Roman"/>
                <w:sz w:val="9"/>
                <w:szCs w:val="9"/>
                <w:color w:val="auto"/>
              </w:rPr>
              <w:t>(5)</w:t>
            </w:r>
          </w:p>
        </w:tc>
        <w:tc>
          <w:tcPr>
            <w:tcW w:w="1300" w:type="dxa"/>
            <w:vAlign w:val="bottom"/>
            <w:shd w:val="clear" w:color="auto" w:fill="CCECFF"/>
          </w:tcPr>
          <w:p>
            <w:pPr>
              <w:ind w:left="480"/>
              <w:spacing w:after="0"/>
              <w:rPr>
                <w:sz w:val="20"/>
                <w:szCs w:val="20"/>
                <w:color w:val="auto"/>
              </w:rPr>
            </w:pPr>
            <w:r>
              <w:rPr>
                <w:rFonts w:ascii="Times New Roman" w:cs="Times New Roman" w:eastAsia="Times New Roman" w:hAnsi="Times New Roman"/>
                <w:sz w:val="11"/>
                <w:szCs w:val="11"/>
                <w:color w:val="auto"/>
              </w:rPr>
              <w:t>10/18/2022</w:t>
            </w:r>
          </w:p>
        </w:tc>
        <w:tc>
          <w:tcPr>
            <w:tcW w:w="2620" w:type="dxa"/>
            <w:vAlign w:val="bottom"/>
            <w:gridSpan w:val="2"/>
            <w:shd w:val="clear" w:color="auto" w:fill="CCECFF"/>
          </w:tcPr>
          <w:p>
            <w:pPr>
              <w:jc w:val="center"/>
              <w:ind w:right="28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9.55%</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L+750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10,204,866</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10,061,266</w:t>
            </w:r>
          </w:p>
        </w:tc>
        <w:tc>
          <w:tcPr>
            <w:tcW w:w="24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10,204,866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13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583,068,514</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585,776,415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Maturity /</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Current</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Par /</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0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Issuer Name</w:t>
            </w: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7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Industry</w:t>
            </w:r>
          </w:p>
        </w:tc>
        <w:tc>
          <w:tcPr>
            <w:tcW w:w="940" w:type="dxa"/>
            <w:vAlign w:val="bottom"/>
            <w:gridSpan w:val="2"/>
            <w:vMerge w:val="continue"/>
          </w:tcPr>
          <w:p>
            <w:pPr>
              <w:spacing w:after="0"/>
              <w:rPr>
                <w:sz w:val="10"/>
                <w:szCs w:val="10"/>
                <w:color w:val="auto"/>
              </w:rPr>
            </w:pPr>
          </w:p>
        </w:tc>
        <w:tc>
          <w:tcPr>
            <w:tcW w:w="11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restart"/>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Cost</w:t>
            </w:r>
          </w:p>
        </w:tc>
        <w:tc>
          <w:tcPr>
            <w:tcW w:w="22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35"/>
        </w:trPr>
        <w:tc>
          <w:tcPr>
            <w:tcW w:w="30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Expiration</w:t>
            </w:r>
          </w:p>
        </w:tc>
        <w:tc>
          <w:tcPr>
            <w:tcW w:w="2740" w:type="dxa"/>
            <w:vAlign w:val="bottom"/>
            <w:gridSpan w:val="2"/>
            <w:vMerge w:val="continue"/>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Times New Roman" w:cs="Times New Roman" w:eastAsia="Times New Roman" w:hAnsi="Times New Roman"/>
                <w:sz w:val="12"/>
                <w:szCs w:val="12"/>
                <w:b w:val="1"/>
                <w:bCs w:val="1"/>
                <w:color w:val="auto"/>
              </w:rPr>
              <w:t>Coupon</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660" w:type="dxa"/>
            <w:vAlign w:val="bottom"/>
          </w:tcPr>
          <w:p>
            <w:pPr>
              <w:jc w:val="right"/>
              <w:ind w:right="106"/>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900" w:type="dxa"/>
            <w:vAlign w:val="bottom"/>
            <w:gridSpan w:val="2"/>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Debt—38.4%</w:t>
            </w:r>
          </w:p>
        </w:tc>
        <w:tc>
          <w:tcPr>
            <w:tcW w:w="120" w:type="dxa"/>
            <w:vAlign w:val="bottom"/>
            <w:tcBorders>
              <w:top w:val="single" w:sz="8" w:color="CCECFF"/>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Condor Borrower, LLC</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04/25/2025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11.01%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L+875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10,344,828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10,176,236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  10,241,379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Confie Seguros Holding Co.</w:t>
            </w:r>
          </w:p>
        </w:tc>
        <w:tc>
          <w:tcPr>
            <w:tcW w:w="6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w w:val="99"/>
              </w:rPr>
              <w:t>10/31/2025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Insurance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11.02%</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14,500,000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14,244,005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13,593,750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DecoPac, Inc.</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03/31/2025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10.35%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L+825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19,627,143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19,345,304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19,627,143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Halo Buyer, Inc.</w:t>
            </w:r>
          </w:p>
        </w:tc>
        <w:tc>
          <w:tcPr>
            <w:tcW w:w="6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w w:val="99"/>
              </w:rPr>
              <w:t>07/06/2026</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10.29%</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32,500,000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32,034,317</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32,012,500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Infogroup, Inc.</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04/03/2024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Other Media</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11.35%</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L+925</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20,400,000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20,103,563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20,094,000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MailSouth, Inc.</w:t>
            </w:r>
          </w:p>
        </w:tc>
        <w:tc>
          <w:tcPr>
            <w:tcW w:w="6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w w:val="99"/>
              </w:rPr>
              <w:t>10/23/2024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12M L+925</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36,828,975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36,207,203</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35,724,106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MBS Holdings, Inc.</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01/02/2024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10.60%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19,623,649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19,288,817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19,623,649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Shift4 Payments, LLC</w:t>
            </w:r>
          </w:p>
        </w:tc>
        <w:tc>
          <w:tcPr>
            <w:tcW w:w="6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w w:val="99"/>
              </w:rPr>
              <w:t>11/28/2025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10.76%</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3M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27,000,000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26,945,207</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27,000,000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VT Topco, Inc.</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08/24/2026</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9.10%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3M L+700</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9,953,252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9,950,000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Winter Park Intermediate, Inc.</w:t>
            </w:r>
          </w:p>
        </w:tc>
        <w:tc>
          <w:tcPr>
            <w:tcW w:w="6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w w:val="99"/>
              </w:rPr>
              <w:t>04/06/2026</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10.54%</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1M L+850</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35,300,000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34,742,373</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35,300,000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223,040,278</w:t>
            </w:r>
          </w:p>
        </w:tc>
        <w:tc>
          <w:tcPr>
            <w:tcW w:w="22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223,166,527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Subordinated Debt/Corporate Notes—10.5%</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03/17/2025</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13,773,533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13,529,203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13,773,533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2.00%)</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Cascade Environmental LLC</w:t>
            </w:r>
          </w:p>
        </w:tc>
        <w:tc>
          <w:tcPr>
            <w:tcW w:w="6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w w:val="99"/>
              </w:rPr>
              <w:t>08/20/2021</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15.00%</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48,381,773</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47,992,863</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47,414,137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(PIK 15.00%)</w:t>
            </w: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Subordinated Debt/Corporate Notes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61,522,066</w:t>
            </w:r>
          </w:p>
        </w:tc>
        <w:tc>
          <w:tcPr>
            <w:tcW w:w="2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61,187,670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Interests—0.5%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AH Holdings,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6.00%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322,850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Condor Holdings Limited </w:t>
            </w:r>
            <w:r>
              <w:rPr>
                <w:rFonts w:ascii="Times New Roman" w:cs="Times New Roman" w:eastAsia="Times New Roman" w:hAnsi="Times New Roman"/>
                <w:sz w:val="9"/>
                <w:szCs w:val="9"/>
                <w:color w:val="auto"/>
              </w:rPr>
              <w:t>(8), (11)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556,000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64,277</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71,556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Condor Top Holdco Limited </w:t>
            </w:r>
            <w:r>
              <w:rPr>
                <w:rFonts w:ascii="Times New Roman" w:cs="Times New Roman" w:eastAsia="Times New Roman" w:hAnsi="Times New Roman"/>
                <w:sz w:val="9"/>
                <w:szCs w:val="9"/>
                <w:color w:val="auto"/>
              </w:rPr>
              <w:t>(8), (11)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491,723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547,406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Holdings, LP</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540,000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563,657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NXOF Holdings, Inc. (Tyto Athene, LLC)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106,823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79,190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12.00%</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1,347</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1,346,530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1,413,300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3,049,353</w:t>
            </w:r>
          </w:p>
        </w:tc>
        <w:tc>
          <w:tcPr>
            <w:tcW w:w="220" w:type="dxa"/>
            <w:vAlign w:val="bottom"/>
            <w:tcBorders>
              <w:bottom w:val="single" w:sz="8" w:color="CCEC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2,997,959</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Interests/Warrants—10.9% </w:t>
            </w:r>
            <w:r>
              <w:rPr>
                <w:rFonts w:ascii="Times New Roman" w:cs="Times New Roman" w:eastAsia="Times New Roman" w:hAnsi="Times New Roman"/>
                <w:sz w:val="9"/>
                <w:szCs w:val="9"/>
                <w:b w:val="1"/>
                <w:bCs w:val="1"/>
                <w:color w:val="auto"/>
              </w:rPr>
              <w:t>(6)</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Affinion Group Holdings, Inc. (Warrants)</w:t>
            </w: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w w:val="99"/>
              </w:rPr>
              <w:t>04/10/2024</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Consumer Products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77,190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2,126,399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817,028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714,652</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714,652</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714,652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AG Investco LP </w:t>
            </w:r>
            <w:r>
              <w:rPr>
                <w:rFonts w:ascii="Times New Roman" w:cs="Times New Roman" w:eastAsia="Times New Roman" w:hAnsi="Times New Roman"/>
                <w:sz w:val="9"/>
                <w:szCs w:val="9"/>
                <w:color w:val="auto"/>
              </w:rPr>
              <w:t>(7), (9)</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285,348</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AH Holdings, Inc. (Warrants)</w:t>
            </w:r>
          </w:p>
        </w:tc>
        <w:tc>
          <w:tcPr>
            <w:tcW w:w="6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w w:val="99"/>
              </w:rPr>
              <w:t>03/23/2021</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w:t>
            </w: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Altamira Intermediate Company II,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125,000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ASP LCG Holdings, Inc. (Warrants)</w:t>
            </w:r>
          </w:p>
        </w:tc>
        <w:tc>
          <w:tcPr>
            <w:tcW w:w="66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w w:val="99"/>
              </w:rPr>
              <w:t>05/05/2026</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Education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933</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586,975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2,260,044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Autumn Games, LLC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Broadcasting and Entertainment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1,333,330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3,000,000</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Cascade Environmental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33,901</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2,852,080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469,430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CI (Allied) Investment Holdings, LLC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120,962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1,243,217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1,260,269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(PRA Events, Inc.)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CI (Summit) Investment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114,646</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1,171,206</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1,504,587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(SFP Holdings, Inc.)</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Cowboy Parent LLC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2,250,000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2,278,089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(Blackhawk Industrial Distribution, Inc.)</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DecoPac Holdings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Beverage, Food and Tobacco</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3,449</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3,448,658</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6,651,822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eCommission Holding Corporation </w:t>
            </w:r>
            <w:r>
              <w:rPr>
                <w:rFonts w:ascii="Times New Roman" w:cs="Times New Roman" w:eastAsia="Times New Roman" w:hAnsi="Times New Roman"/>
                <w:sz w:val="9"/>
                <w:szCs w:val="9"/>
                <w:color w:val="auto"/>
              </w:rPr>
              <w:t>(11)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1,004,625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1,481,743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Faraday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4,277</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217,635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1,243,208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Gauge Schlesinger Coinvest, LLC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8,197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8,197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Gauge TVC Coinvest,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Transportation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810,645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828,333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(TVC Enterprises, LLC)</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Go Dawgs Capital III, LP</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675,325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688,831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 xml:space="preserve">(American Insulated Glass, LLC)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Green Veracity Holdings, LP - Class A</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2,367,746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(VT Topco, Inc.)</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Infogroup Parent Holdings,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Other 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181,495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2,040,000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2,119,257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ITC Rumba, LLC (Cano Health,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252,176</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2,993,665</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7,110,734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JWC-WE Holdings, L.P.</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Home and Office Furnishings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1,906,433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1,906,433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4,961,006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(Walker Edison Furniture Company LLC)</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Kadmon Holdings, Inc. </w:t>
            </w:r>
            <w:r>
              <w:rPr>
                <w:rFonts w:ascii="Times New Roman" w:cs="Times New Roman" w:eastAsia="Times New Roman" w:hAnsi="Times New Roman"/>
                <w:sz w:val="9"/>
                <w:szCs w:val="9"/>
                <w:color w:val="auto"/>
              </w:rPr>
              <w:t>(12)</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252,014</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2,265,639</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635,075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Kentucky Racing Holdco, LLC (Warrants) </w:t>
            </w:r>
            <w:r>
              <w:rPr>
                <w:rFonts w:ascii="Times New Roman" w:cs="Times New Roman" w:eastAsia="Times New Roman" w:hAnsi="Times New Roman"/>
                <w:sz w:val="9"/>
                <w:szCs w:val="9"/>
                <w:color w:val="auto"/>
              </w:rPr>
              <w:t>(9)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Hotels, Motels, Inns and Gaming</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161,252</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307,888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Lariat ecoserv Co-Invest Holdings, LLC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Environmental Services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363,656</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451,341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MeritDirect Holdings, LP</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Media</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55,482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NXOF Holdings, Inc.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2,180</w:t>
            </w:r>
          </w:p>
        </w:tc>
        <w:tc>
          <w:tcPr>
            <w:tcW w:w="22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(Tyto Athene, LLC)</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Signature CR Intermediate Holdco,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Chemicals, Plastics and Rubber</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70,870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34,484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1,620,000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Class A (US Dominion, Inc.)</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SSC Dominion Holdings, LLC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Electronics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2,185,803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Class B (US Dominion, Inc.)</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U.S. Well Services, Inc. - Class A </w:t>
            </w:r>
            <w:r>
              <w:rPr>
                <w:rFonts w:ascii="Times New Roman" w:cs="Times New Roman" w:eastAsia="Times New Roman" w:hAnsi="Times New Roman"/>
                <w:sz w:val="9"/>
                <w:szCs w:val="9"/>
                <w:color w:val="auto"/>
              </w:rPr>
              <w:t>(11), (12)</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72,833</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728,330</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159,504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USWS Holdings, LLC </w:t>
            </w:r>
            <w:r>
              <w:rPr>
                <w:rFonts w:ascii="Times New Roman" w:cs="Times New Roman" w:eastAsia="Times New Roman" w:hAnsi="Times New Roman"/>
                <w:sz w:val="9"/>
                <w:szCs w:val="9"/>
                <w:color w:val="auto"/>
              </w:rPr>
              <w:t>(9), (11)</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1,188,368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11,883,680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2,472,400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color w:val="auto"/>
              </w:rPr>
              <w:t>WBB Equity, LLC</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C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628,571</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628,571</w:t>
            </w:r>
          </w:p>
        </w:tc>
        <w:tc>
          <w:tcPr>
            <w:tcW w:w="9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2,193,714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(Whitney, Bradley &amp; Brown, Inc.) </w:t>
            </w:r>
            <w:r>
              <w:rPr>
                <w:rFonts w:ascii="Times New Roman" w:cs="Times New Roman" w:eastAsia="Times New Roman" w:hAnsi="Times New Roman"/>
                <w:sz w:val="9"/>
                <w:szCs w:val="9"/>
                <w:color w:val="auto"/>
              </w:rPr>
              <w:t>(9)</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Wheel Pros Holdings, L.P.</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Auto Sector</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3,778,704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4,450,000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14,655,027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(Winter Park Intermediate, Inc.)</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20"/>
                <w:szCs w:val="20"/>
                <w:color w:val="auto"/>
              </w:rPr>
            </w:pPr>
            <w:r>
              <w:rPr>
                <w:rFonts w:ascii="Times New Roman" w:cs="Times New Roman" w:eastAsia="Times New Roman" w:hAnsi="Times New Roman"/>
                <w:sz w:val="11"/>
                <w:szCs w:val="11"/>
                <w:color w:val="auto"/>
              </w:rPr>
              <w:t>ZS Juniper L.P.</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w:t>
            </w:r>
          </w:p>
        </w:tc>
        <w:tc>
          <w:tcPr>
            <w:tcW w:w="27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1,056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1,056,250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1,842,833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bottom w:val="single" w:sz="8" w:color="CCECFF"/>
            </w:tcBorders>
          </w:tcPr>
          <w:p>
            <w:pPr>
              <w:ind w:left="140"/>
              <w:spacing w:after="0"/>
              <w:rPr>
                <w:sz w:val="20"/>
                <w:szCs w:val="20"/>
                <w:color w:val="auto"/>
              </w:rPr>
            </w:pPr>
            <w:r>
              <w:rPr>
                <w:rFonts w:ascii="Times New Roman" w:cs="Times New Roman" w:eastAsia="Times New Roman" w:hAnsi="Times New Roman"/>
                <w:sz w:val="11"/>
                <w:szCs w:val="11"/>
                <w:color w:val="auto"/>
              </w:rPr>
              <w:t xml:space="preserve">(Juniper Landscaping of Florida, LLC) </w:t>
            </w:r>
            <w:r>
              <w:rPr>
                <w:rFonts w:ascii="Times New Roman" w:cs="Times New Roman" w:eastAsia="Times New Roman" w:hAnsi="Times New Roman"/>
                <w:sz w:val="9"/>
                <w:szCs w:val="9"/>
                <w:color w:val="auto"/>
              </w:rPr>
              <w:t>(9)</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00" w:type="dxa"/>
            <w:vAlign w:val="bottom"/>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51,623,889</w:t>
            </w:r>
          </w:p>
        </w:tc>
        <w:tc>
          <w:tcPr>
            <w:tcW w:w="22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63,503,528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Non-Affiliated Portfolio Companies</w:t>
            </w: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922,304,099</w:t>
            </w:r>
          </w:p>
        </w:tc>
        <w:tc>
          <w:tcPr>
            <w:tcW w:w="22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936,632,099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CONSOLIDATED SCHEDULE OF INVESTMENTS—(Continued)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4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Maturity /</w:t>
            </w: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Current</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Basis Point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vMerge w:val="restart"/>
          </w:tcPr>
          <w:p>
            <w:pPr>
              <w:jc w:val="center"/>
              <w:ind w:right="386"/>
              <w:spacing w:after="0"/>
              <w:rPr>
                <w:sz w:val="20"/>
                <w:szCs w:val="20"/>
                <w:color w:val="auto"/>
              </w:rPr>
            </w:pPr>
            <w:r>
              <w:rPr>
                <w:rFonts w:ascii="Times New Roman" w:cs="Times New Roman" w:eastAsia="Times New Roman" w:hAnsi="Times New Roman"/>
                <w:sz w:val="12"/>
                <w:szCs w:val="12"/>
                <w:b w:val="1"/>
                <w:bCs w:val="1"/>
                <w:color w:val="auto"/>
              </w:rPr>
              <w:t>Par /</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Issuer Name</w:t>
            </w:r>
          </w:p>
        </w:tc>
        <w:tc>
          <w:tcPr>
            <w:tcW w:w="940" w:type="dxa"/>
            <w:vAlign w:val="bottom"/>
            <w:vMerge w:val="continue"/>
          </w:tcPr>
          <w:p>
            <w:pPr>
              <w:spacing w:after="0"/>
              <w:rPr>
                <w:sz w:val="9"/>
                <w:szCs w:val="9"/>
                <w:color w:val="auto"/>
              </w:rPr>
            </w:pPr>
          </w:p>
        </w:tc>
        <w:tc>
          <w:tcPr>
            <w:tcW w:w="2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8"/>
              </w:rPr>
              <w:t>Industry</w:t>
            </w:r>
          </w:p>
        </w:tc>
        <w:tc>
          <w:tcPr>
            <w:tcW w:w="940" w:type="dxa"/>
            <w:vAlign w:val="bottom"/>
            <w:gridSpan w:val="2"/>
            <w:vMerge w:val="continue"/>
          </w:tcPr>
          <w:p>
            <w:pPr>
              <w:spacing w:after="0"/>
              <w:rPr>
                <w:sz w:val="9"/>
                <w:szCs w:val="9"/>
                <w:color w:val="auto"/>
              </w:rPr>
            </w:pPr>
          </w:p>
        </w:tc>
        <w:tc>
          <w:tcPr>
            <w:tcW w:w="88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w w:val="99"/>
              </w:rPr>
              <w:t>Spread Above</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 w:type="dxa"/>
            <w:vAlign w:val="bottom"/>
          </w:tcPr>
          <w:p>
            <w:pPr>
              <w:spacing w:after="0"/>
              <w:rPr>
                <w:sz w:val="9"/>
                <w:szCs w:val="9"/>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Fair Value </w:t>
            </w:r>
            <w:r>
              <w:rPr>
                <w:rFonts w:ascii="Times New Roman" w:cs="Times New Roman" w:eastAsia="Times New Roman" w:hAnsi="Times New Roman"/>
                <w:sz w:val="19"/>
                <w:szCs w:val="19"/>
                <w:b w:val="1"/>
                <w:bCs w:val="1"/>
                <w:color w:val="auto"/>
                <w:vertAlign w:val="superscript"/>
              </w:rPr>
              <w:t>(3)</w:t>
            </w:r>
          </w:p>
        </w:tc>
        <w:tc>
          <w:tcPr>
            <w:tcW w:w="0" w:type="dxa"/>
            <w:vAlign w:val="bottom"/>
          </w:tcPr>
          <w:p>
            <w:pPr>
              <w:spacing w:after="0"/>
              <w:rPr>
                <w:sz w:val="1"/>
                <w:szCs w:val="1"/>
                <w:color w:val="auto"/>
              </w:rPr>
            </w:pPr>
          </w:p>
        </w:tc>
      </w:tr>
      <w:tr>
        <w:trPr>
          <w:trHeight w:val="145"/>
        </w:trPr>
        <w:tc>
          <w:tcPr>
            <w:tcW w:w="2980" w:type="dxa"/>
            <w:vAlign w:val="bottom"/>
            <w:gridSpan w:val="2"/>
            <w:vMerge w:val="continue"/>
          </w:tcPr>
          <w:p>
            <w:pPr>
              <w:spacing w:after="0"/>
              <w:rPr>
                <w:sz w:val="12"/>
                <w:szCs w:val="12"/>
                <w:color w:val="auto"/>
              </w:rPr>
            </w:pPr>
          </w:p>
        </w:tc>
        <w:tc>
          <w:tcPr>
            <w:tcW w:w="9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Expiration</w:t>
            </w:r>
          </w:p>
        </w:tc>
        <w:tc>
          <w:tcPr>
            <w:tcW w:w="2560" w:type="dxa"/>
            <w:vAlign w:val="bottom"/>
            <w:gridSpan w:val="2"/>
            <w:vMerge w:val="continue"/>
          </w:tcPr>
          <w:p>
            <w:pPr>
              <w:spacing w:after="0"/>
              <w:rPr>
                <w:sz w:val="12"/>
                <w:szCs w:val="12"/>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Coupon</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386"/>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Non-Controlled, Affiliated Portfolio Companies—8.5% </w:t>
            </w:r>
            <w:r>
              <w:rPr>
                <w:rFonts w:ascii="Times New Roman" w:cs="Times New Roman" w:eastAsia="Times New Roman" w:hAnsi="Times New Roman"/>
                <w:sz w:val="9"/>
                <w:szCs w:val="9"/>
                <w:b w:val="1"/>
                <w:bCs w:val="1"/>
                <w:color w:val="auto"/>
              </w:rPr>
              <w:t>(1), (2)</w:t>
            </w:r>
          </w:p>
        </w:tc>
        <w:tc>
          <w:tcPr>
            <w:tcW w:w="24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Equity/Partnership Interests—8.1% </w:t>
            </w:r>
            <w:r>
              <w:rPr>
                <w:rFonts w:ascii="Times New Roman" w:cs="Times New Roman" w:eastAsia="Times New Roman" w:hAnsi="Times New Roman"/>
                <w:sz w:val="9"/>
                <w:szCs w:val="9"/>
                <w:b w:val="1"/>
                <w:bCs w:val="1"/>
                <w:color w:val="auto"/>
              </w:rPr>
              <w:t>(6)</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ETX Energy, LLC</w:t>
            </w:r>
          </w:p>
        </w:tc>
        <w:tc>
          <w:tcPr>
            <w:tcW w:w="94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6,173,200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22,717,376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MidOcean JF Holdings Corp.</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153,922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15,392,188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24,549,408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Equity/Partnership Interests</w:t>
            </w:r>
          </w:p>
        </w:tc>
        <w:tc>
          <w:tcPr>
            <w:tcW w:w="940" w:type="dxa"/>
            <w:vAlign w:val="bottom"/>
            <w:tcBorders>
              <w:bottom w:val="single" w:sz="8" w:color="CCECFF"/>
            </w:tcBorders>
          </w:tcPr>
          <w:p>
            <w:pPr>
              <w:spacing w:after="0"/>
              <w:rPr>
                <w:sz w:val="11"/>
                <w:szCs w:val="11"/>
                <w:color w:val="auto"/>
              </w:rPr>
            </w:pPr>
          </w:p>
        </w:tc>
        <w:tc>
          <w:tcPr>
            <w:tcW w:w="24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21,565,388</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47,266,784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Equity/Partnership Interests/Warrants—0.4% </w:t>
            </w:r>
            <w:r>
              <w:rPr>
                <w:rFonts w:ascii="Times New Roman" w:cs="Times New Roman" w:eastAsia="Times New Roman" w:hAnsi="Times New Roman"/>
                <w:sz w:val="9"/>
                <w:szCs w:val="9"/>
                <w:b w:val="1"/>
                <w:bCs w:val="1"/>
                <w:color w:val="auto"/>
              </w:rPr>
              <w:t>(6)</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 xml:space="preserve">ETX Energy, LLC </w:t>
            </w:r>
            <w:r>
              <w:rPr>
                <w:rFonts w:ascii="Times New Roman" w:cs="Times New Roman" w:eastAsia="Times New Roman" w:hAnsi="Times New Roman"/>
                <w:sz w:val="9"/>
                <w:szCs w:val="9"/>
                <w:color w:val="auto"/>
              </w:rPr>
              <w:t>(9)</w:t>
            </w:r>
          </w:p>
        </w:tc>
        <w:tc>
          <w:tcPr>
            <w:tcW w:w="94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1,658,389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29,711,576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ETX Energy Management Company, LLC</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1"/>
                <w:szCs w:val="11"/>
                <w:color w:val="auto"/>
                <w:w w:val="98"/>
              </w:rPr>
              <w:t>Oil and Gas</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1,754,104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1,562,020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MidOcean JF Holdings Corp.</w:t>
            </w:r>
          </w:p>
        </w:tc>
        <w:tc>
          <w:tcPr>
            <w:tcW w:w="940" w:type="dxa"/>
            <w:vAlign w:val="bottom"/>
            <w:tcBorders>
              <w:bottom w:val="single" w:sz="8" w:color="CCECFF"/>
            </w:tcBorders>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tcBorders>
              <w:bottom w:val="single" w:sz="8" w:color="CCECFF"/>
            </w:tcBorders>
            <w:gridSpan w:val="2"/>
          </w:tcPr>
          <w:p>
            <w:pPr>
              <w:jc w:val="center"/>
              <w:ind w:right="240"/>
              <w:spacing w:after="0"/>
              <w:rPr>
                <w:sz w:val="20"/>
                <w:szCs w:val="20"/>
                <w:color w:val="auto"/>
              </w:rPr>
            </w:pPr>
            <w:r>
              <w:rPr>
                <w:rFonts w:ascii="Times New Roman" w:cs="Times New Roman" w:eastAsia="Times New Roman" w:hAnsi="Times New Roman"/>
                <w:sz w:val="11"/>
                <w:szCs w:val="11"/>
                <w:color w:val="auto"/>
                <w:w w:val="97"/>
              </w:rPr>
              <w:t>Distribution</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65,933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24,761,831</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2,082,554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Equity/Partnership Interests/Warrants</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56,035,427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2,082,554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92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in Non-Controlled, Affiliated Portfolio Companies</w:t>
            </w:r>
          </w:p>
        </w:tc>
        <w:tc>
          <w:tcPr>
            <w:tcW w:w="24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77,600,816</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49,349,338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 xml:space="preserve">Investments in Controlled, Affiliated Portfolio Companies—40.1% </w:t>
            </w:r>
            <w:r>
              <w:rPr>
                <w:rFonts w:ascii="Times New Roman" w:cs="Times New Roman" w:eastAsia="Times New Roman" w:hAnsi="Times New Roman"/>
                <w:sz w:val="9"/>
                <w:szCs w:val="9"/>
                <w:b w:val="1"/>
                <w:bCs w:val="1"/>
                <w:color w:val="auto"/>
              </w:rPr>
              <w:t>(1), (2)</w:t>
            </w: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Debt—18.8%</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9"/>
                <w:szCs w:val="9"/>
                <w:color w:val="auto"/>
              </w:rPr>
              <w:t>(8), (10), (11)</w:t>
            </w:r>
          </w:p>
        </w:tc>
        <w:tc>
          <w:tcPr>
            <w:tcW w:w="9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1"/>
                <w:szCs w:val="11"/>
                <w:color w:val="auto"/>
              </w:rPr>
              <w:t>03/13/2024</w:t>
            </w:r>
          </w:p>
        </w:tc>
        <w:tc>
          <w:tcPr>
            <w:tcW w:w="2560" w:type="dxa"/>
            <w:vAlign w:val="bottom"/>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6.54%</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3M L+575</w:t>
            </w:r>
          </w:p>
        </w:tc>
        <w:tc>
          <w:tcPr>
            <w:tcW w:w="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39,051,600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34,504,400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RAM Energy LLC</w:t>
            </w:r>
          </w:p>
        </w:tc>
        <w:tc>
          <w:tcPr>
            <w:tcW w:w="9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07/01/2022</w:t>
            </w: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color w:val="auto"/>
                <w:w w:val="99"/>
              </w:rPr>
              <w:t>Energy and Utilities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35,000,000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RAM Energy LLC (Revolver)</w:t>
            </w:r>
          </w:p>
        </w:tc>
        <w:tc>
          <w:tcPr>
            <w:tcW w:w="94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1"/>
                <w:szCs w:val="11"/>
                <w:color w:val="auto"/>
              </w:rPr>
              <w:t>07/01/2022</w:t>
            </w:r>
          </w:p>
        </w:tc>
        <w:tc>
          <w:tcPr>
            <w:tcW w:w="2560" w:type="dxa"/>
            <w:vAlign w:val="bottom"/>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1"/>
                <w:szCs w:val="11"/>
                <w:color w:val="auto"/>
                <w:w w:val="99"/>
              </w:rPr>
              <w:t>Energy and Utilities</w:t>
            </w:r>
          </w:p>
        </w:tc>
        <w:tc>
          <w:tcPr>
            <w:tcW w:w="94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40,000,000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40,000,000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40,000,000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940" w:type="dxa"/>
            <w:vAlign w:val="bottom"/>
            <w:tcBorders>
              <w:bottom w:val="single" w:sz="8" w:color="CCECFF"/>
            </w:tcBorders>
          </w:tcPr>
          <w:p>
            <w:pPr>
              <w:spacing w:after="0"/>
              <w:rPr>
                <w:sz w:val="11"/>
                <w:szCs w:val="11"/>
                <w:color w:val="auto"/>
              </w:rPr>
            </w:pPr>
          </w:p>
        </w:tc>
        <w:tc>
          <w:tcPr>
            <w:tcW w:w="24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114,051,600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109,504,400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Second Lien Secured Debt—7.9%</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PT Network Intermediate Holdings, LLC</w:t>
            </w:r>
          </w:p>
        </w:tc>
        <w:tc>
          <w:tcPr>
            <w:tcW w:w="9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11/30/2024</w:t>
            </w: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12.30%</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46,610,223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46,163,881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46,144,120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20" w:type="dxa"/>
            <w:vAlign w:val="bottom"/>
            <w:tcBorders>
              <w:bottom w:val="single" w:sz="8" w:color="CCECFF"/>
            </w:tcBorders>
          </w:tcPr>
          <w:p>
            <w:pPr>
              <w:spacing w:after="0"/>
              <w:rPr>
                <w:sz w:val="11"/>
                <w:szCs w:val="11"/>
                <w:color w:val="auto"/>
              </w:rPr>
            </w:pPr>
          </w:p>
        </w:tc>
        <w:tc>
          <w:tcPr>
            <w:tcW w:w="86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tcPr>
          <w:p>
            <w:pPr>
              <w:spacing w:after="0"/>
              <w:rPr>
                <w:sz w:val="11"/>
                <w:szCs w:val="11"/>
                <w:color w:val="auto"/>
              </w:rPr>
            </w:pPr>
          </w:p>
        </w:tc>
        <w:tc>
          <w:tcPr>
            <w:tcW w:w="24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(PIK 12.30%)</w:t>
            </w: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Second Lien Secured Debt</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46,163,881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46,144,120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Preferred Equity—1.6% </w:t>
            </w:r>
            <w:r>
              <w:rPr>
                <w:rFonts w:ascii="Times New Roman" w:cs="Times New Roman" w:eastAsia="Times New Roman" w:hAnsi="Times New Roman"/>
                <w:sz w:val="9"/>
                <w:szCs w:val="9"/>
                <w:b w:val="1"/>
                <w:bCs w:val="1"/>
                <w:color w:val="auto"/>
              </w:rPr>
              <w:t>(6)</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36,450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546,750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11,251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(9)</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(9)</w:t>
            </w:r>
          </w:p>
        </w:tc>
        <w:tc>
          <w:tcPr>
            <w:tcW w:w="940" w:type="dxa"/>
            <w:vAlign w:val="bottom"/>
            <w:tcBorders>
              <w:bottom w:val="single" w:sz="8" w:color="CCECFF"/>
            </w:tcBorders>
          </w:tcPr>
          <w:p>
            <w:pPr>
              <w:spacing w:after="0"/>
              <w:rPr>
                <w:sz w:val="11"/>
                <w:szCs w:val="11"/>
                <w:color w:val="auto"/>
              </w:rPr>
            </w:pPr>
          </w:p>
        </w:tc>
        <w:tc>
          <w:tcPr>
            <w:tcW w:w="2560" w:type="dxa"/>
            <w:vAlign w:val="bottom"/>
            <w:tcBorders>
              <w:bottom w:val="single" w:sz="8" w:color="CCECFF"/>
            </w:tcBorders>
            <w:gridSpan w:val="2"/>
          </w:tcPr>
          <w:p>
            <w:pPr>
              <w:jc w:val="center"/>
              <w:ind w:right="2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12.14%</w:t>
            </w:r>
          </w:p>
        </w:tc>
        <w:tc>
          <w:tcPr>
            <w:tcW w:w="8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3M L+1,000</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833</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8,975,000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9,264,347</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Preferred Equity</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9,521,750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9,275,598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 xml:space="preserve">Common Equity—11.8% </w:t>
            </w:r>
            <w:r>
              <w:rPr>
                <w:rFonts w:ascii="Times New Roman" w:cs="Times New Roman" w:eastAsia="Times New Roman" w:hAnsi="Times New Roman"/>
                <w:sz w:val="9"/>
                <w:szCs w:val="9"/>
                <w:b w:val="1"/>
                <w:bCs w:val="1"/>
                <w:color w:val="auto"/>
              </w:rPr>
              <w:t>(6)</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AKW Holdings Limited </w:t>
            </w:r>
            <w:r>
              <w:rPr>
                <w:rFonts w:ascii="Times New Roman" w:cs="Times New Roman" w:eastAsia="Times New Roman" w:hAnsi="Times New Roman"/>
                <w:sz w:val="9"/>
                <w:szCs w:val="9"/>
                <w:color w:val="auto"/>
              </w:rPr>
              <w:t>(8), (10), (11)</w:t>
            </w:r>
          </w:p>
        </w:tc>
        <w:tc>
          <w:tcPr>
            <w:tcW w:w="940" w:type="dxa"/>
            <w:vAlign w:val="bottom"/>
            <w:shd w:val="clear" w:color="auto" w:fill="CCECFF"/>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132,497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2,554,804</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CI (PTN) Investment Holdings II, LLC</w:t>
            </w:r>
          </w:p>
        </w:tc>
        <w:tc>
          <w:tcPr>
            <w:tcW w:w="94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 xml:space="preserve">(PT Network, LLC) </w:t>
            </w:r>
            <w:r>
              <w:rPr>
                <w:rFonts w:ascii="Times New Roman" w:cs="Times New Roman" w:eastAsia="Times New Roman" w:hAnsi="Times New Roman"/>
                <w:sz w:val="9"/>
                <w:szCs w:val="9"/>
                <w:color w:val="auto"/>
              </w:rPr>
              <w:t>(9)</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 xml:space="preserve">PT Network Intermediate Holdings, LLC </w:t>
            </w:r>
            <w:r>
              <w:rPr>
                <w:rFonts w:ascii="Times New Roman" w:cs="Times New Roman" w:eastAsia="Times New Roman" w:hAnsi="Times New Roman"/>
                <w:sz w:val="9"/>
                <w:szCs w:val="9"/>
                <w:color w:val="auto"/>
              </w:rPr>
              <w:t>(9)</w:t>
            </w:r>
          </w:p>
        </w:tc>
        <w:tc>
          <w:tcPr>
            <w:tcW w:w="940" w:type="dxa"/>
            <w:vAlign w:val="bottom"/>
            <w:shd w:val="clear" w:color="auto" w:fill="CCECFF"/>
          </w:tcPr>
          <w:p>
            <w:pPr>
              <w:spacing w:after="0"/>
              <w:rPr>
                <w:sz w:val="11"/>
                <w:szCs w:val="11"/>
                <w:color w:val="auto"/>
              </w:rPr>
            </w:pPr>
          </w:p>
        </w:tc>
        <w:tc>
          <w:tcPr>
            <w:tcW w:w="2560" w:type="dxa"/>
            <w:vAlign w:val="bottom"/>
            <w:gridSpan w:val="2"/>
            <w:shd w:val="clear" w:color="auto" w:fill="CCECFF"/>
          </w:tcPr>
          <w:p>
            <w:pPr>
              <w:jc w:val="center"/>
              <w:ind w:right="240"/>
              <w:spacing w:after="0"/>
              <w:rPr>
                <w:sz w:val="20"/>
                <w:szCs w:val="20"/>
                <w:color w:val="auto"/>
              </w:rPr>
            </w:pPr>
            <w:r>
              <w:rPr>
                <w:rFonts w:ascii="Times New Roman" w:cs="Times New Roman" w:eastAsia="Times New Roman" w:hAnsi="Times New Roman"/>
                <w:sz w:val="11"/>
                <w:szCs w:val="11"/>
                <w:color w:val="auto"/>
                <w:w w:val="98"/>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621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5,983,333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17,014,720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RAM Energy Holdings LLC</w:t>
            </w:r>
          </w:p>
        </w:tc>
        <w:tc>
          <w:tcPr>
            <w:tcW w:w="940" w:type="dxa"/>
            <w:vAlign w:val="bottom"/>
            <w:tcBorders>
              <w:bottom w:val="single" w:sz="8" w:color="CCECFF"/>
            </w:tcBorders>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2560" w:type="dxa"/>
            <w:vAlign w:val="bottom"/>
            <w:tcBorders>
              <w:bottom w:val="single" w:sz="8" w:color="CCECFF"/>
            </w:tcBorders>
            <w:gridSpan w:val="2"/>
          </w:tcPr>
          <w:p>
            <w:pPr>
              <w:jc w:val="center"/>
              <w:ind w:right="240"/>
              <w:spacing w:after="0"/>
              <w:rPr>
                <w:sz w:val="20"/>
                <w:szCs w:val="20"/>
                <w:color w:val="auto"/>
              </w:rPr>
            </w:pPr>
            <w:r>
              <w:rPr>
                <w:rFonts w:ascii="Times New Roman" w:cs="Times New Roman" w:eastAsia="Times New Roman" w:hAnsi="Times New Roman"/>
                <w:sz w:val="11"/>
                <w:szCs w:val="11"/>
                <w:color w:val="auto"/>
                <w:w w:val="99"/>
              </w:rPr>
              <w:t>Energy and Utilities</w:t>
            </w:r>
          </w:p>
        </w:tc>
        <w:tc>
          <w:tcPr>
            <w:tcW w:w="940" w:type="dxa"/>
            <w:vAlign w:val="bottom"/>
            <w:tcBorders>
              <w:bottom w:val="single" w:sz="8" w:color="CCECFF"/>
            </w:tcBorders>
            <w:gridSpan w:val="2"/>
          </w:tcPr>
          <w:p>
            <w:pPr>
              <w:jc w:val="right"/>
              <w:ind w:right="28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84,747</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76,264,739</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48,957,717</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Common Equity</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87,380,569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68,527,241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w w:val="98"/>
              </w:rPr>
              <w:t>Total Investments in Controlled, Affiliated Portfolio Companies</w:t>
            </w:r>
          </w:p>
        </w:tc>
        <w:tc>
          <w:tcPr>
            <w:tcW w:w="940" w:type="dxa"/>
            <w:vAlign w:val="bottom"/>
            <w:tcBorders>
              <w:bottom w:val="single" w:sz="8" w:color="CCECFF"/>
            </w:tcBorders>
          </w:tcPr>
          <w:p>
            <w:pPr>
              <w:spacing w:after="0"/>
              <w:rPr>
                <w:sz w:val="11"/>
                <w:szCs w:val="11"/>
                <w:color w:val="auto"/>
              </w:rPr>
            </w:pPr>
          </w:p>
        </w:tc>
        <w:tc>
          <w:tcPr>
            <w:tcW w:w="24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257,117,800</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233,451,359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Investments—209.6%</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7"/>
              </w:rPr>
              <w:t>1,257,022,715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7"/>
              </w:rPr>
              <w:t>1,219,432,796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Equivalents—10.2%</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47,640,291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97"/>
              </w:rPr>
              <w:t>47,640,291.72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color w:val="auto"/>
              </w:rPr>
              <w:t>BNY Mellon Cash Reserve and Cash</w:t>
            </w:r>
          </w:p>
        </w:tc>
        <w:tc>
          <w:tcPr>
            <w:tcW w:w="940" w:type="dxa"/>
            <w:vAlign w:val="bottom"/>
            <w:tcBorders>
              <w:bottom w:val="single" w:sz="8" w:color="CCECFF"/>
            </w:tcBorders>
          </w:tcPr>
          <w:p>
            <w:pPr>
              <w:spacing w:after="0"/>
              <w:rPr>
                <w:sz w:val="11"/>
                <w:szCs w:val="11"/>
                <w:color w:val="auto"/>
              </w:rPr>
            </w:pPr>
          </w:p>
        </w:tc>
        <w:tc>
          <w:tcPr>
            <w:tcW w:w="24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11,906,147</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11,875,944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9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940" w:type="dxa"/>
            <w:vAlign w:val="bottom"/>
            <w:shd w:val="clear" w:color="auto" w:fill="CCECFF"/>
          </w:tcPr>
          <w:p>
            <w:pPr>
              <w:spacing w:after="0"/>
              <w:rPr>
                <w:sz w:val="11"/>
                <w:szCs w:val="11"/>
                <w:color w:val="auto"/>
              </w:rPr>
            </w:pPr>
          </w:p>
        </w:tc>
        <w:tc>
          <w:tcPr>
            <w:tcW w:w="2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59,546,438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59,516,236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9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Equivalents—219.8%</w:t>
            </w:r>
          </w:p>
        </w:tc>
        <w:tc>
          <w:tcPr>
            <w:tcW w:w="940" w:type="dxa"/>
            <w:vAlign w:val="bottom"/>
            <w:tcBorders>
              <w:bottom w:val="single" w:sz="8" w:color="CCECFF"/>
            </w:tcBorders>
          </w:tcPr>
          <w:p>
            <w:pPr>
              <w:spacing w:after="0"/>
              <w:rPr>
                <w:sz w:val="14"/>
                <w:szCs w:val="14"/>
                <w:color w:val="auto"/>
              </w:rPr>
            </w:pPr>
          </w:p>
        </w:tc>
        <w:tc>
          <w:tcPr>
            <w:tcW w:w="24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6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880" w:type="dxa"/>
            <w:vAlign w:val="bottom"/>
            <w:tcBorders>
              <w:bottom w:val="single" w:sz="8" w:color="CCECFF"/>
            </w:tcBorders>
          </w:tcPr>
          <w:p>
            <w:pPr>
              <w:spacing w:after="0"/>
              <w:rPr>
                <w:sz w:val="14"/>
                <w:szCs w:val="14"/>
                <w:color w:val="auto"/>
              </w:rPr>
            </w:pPr>
          </w:p>
        </w:tc>
        <w:tc>
          <w:tcPr>
            <w:tcW w:w="22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54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1,316,569,153</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97"/>
              </w:rPr>
              <w:t>1,278,949,032</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980" w:type="dxa"/>
            <w:vAlign w:val="bottom"/>
            <w:gridSpan w:val="2"/>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Assets—(119.8%)</w:t>
            </w:r>
          </w:p>
        </w:tc>
        <w:tc>
          <w:tcPr>
            <w:tcW w:w="940" w:type="dxa"/>
            <w:vAlign w:val="bottom"/>
            <w:shd w:val="clear" w:color="auto" w:fill="CCECFF"/>
          </w:tcPr>
          <w:p>
            <w:pPr>
              <w:spacing w:after="0"/>
              <w:rPr>
                <w:sz w:val="10"/>
                <w:szCs w:val="10"/>
                <w:color w:val="auto"/>
              </w:rPr>
            </w:pPr>
          </w:p>
        </w:tc>
        <w:tc>
          <w:tcPr>
            <w:tcW w:w="24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rPr>
              <w:t>(697,043,364)</w:t>
            </w: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Net Assets—100.0%</w:t>
            </w:r>
          </w:p>
        </w:tc>
        <w:tc>
          <w:tcPr>
            <w:tcW w:w="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581,905,668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80" w:hanging="372"/>
        <w:spacing w:after="0" w:line="255" w:lineRule="auto"/>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17" w:lineRule="exact"/>
        <w:rPr>
          <w:rFonts w:ascii="Times New Roman" w:cs="Times New Roman" w:eastAsia="Times New Roman" w:hAnsi="Times New Roman"/>
          <w:sz w:val="12"/>
          <w:szCs w:val="12"/>
          <w:color w:val="auto"/>
        </w:rPr>
      </w:pPr>
    </w:p>
    <w:p>
      <w:pPr>
        <w:ind w:left="380" w:hanging="372"/>
        <w:spacing w:after="0" w:line="255" w:lineRule="auto"/>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Valued based on our accounting policy (See Note 2).</w:t>
      </w:r>
    </w:p>
    <w:p>
      <w:pPr>
        <w:spacing w:after="0" w:line="37" w:lineRule="exact"/>
        <w:rPr>
          <w:rFonts w:ascii="Times New Roman" w:cs="Times New Roman" w:eastAsia="Times New Roman" w:hAnsi="Times New Roman"/>
          <w:sz w:val="12"/>
          <w:szCs w:val="12"/>
          <w:color w:val="auto"/>
        </w:rPr>
      </w:pPr>
    </w:p>
    <w:p>
      <w:pPr>
        <w:ind w:left="380" w:right="120" w:hanging="372"/>
        <w:spacing w:after="0" w:line="241" w:lineRule="auto"/>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6"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securities, or a portion thereof, are pledged as collateral under the BNP Credit Facility and held through Funding I.</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Non-income producing securities.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company or principal place of business outside the United States.</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 is held through our Taxable Subsidiaries (See Note 1).</w:t>
      </w:r>
    </w:p>
    <w:p>
      <w:pPr>
        <w:spacing w:after="0" w:line="3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 / Shares amount is denominated in British Pounds (£) as denoted.</w:t>
      </w:r>
    </w:p>
    <w:p>
      <w:pPr>
        <w:spacing w:after="0" w:line="37" w:lineRule="exact"/>
        <w:rPr>
          <w:rFonts w:ascii="Times New Roman" w:cs="Times New Roman" w:eastAsia="Times New Roman" w:hAnsi="Times New Roman"/>
          <w:sz w:val="12"/>
          <w:szCs w:val="12"/>
          <w:color w:val="auto"/>
        </w:rPr>
      </w:pPr>
    </w:p>
    <w:p>
      <w:pPr>
        <w:ind w:left="380" w:right="20" w:hanging="372"/>
        <w:spacing w:after="0" w:line="255" w:lineRule="auto"/>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96% of the Company’s total assets and non-qualifying assets represent 4% of the Company’s total assets.</w:t>
      </w:r>
    </w:p>
    <w:p>
      <w:pPr>
        <w:spacing w:after="0" w:line="17"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CONSOLIDATED FINANCIAL STATEMENTS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8" w:right="339" w:bottom="1440" w:gutter="0" w:footer="0" w:header="0"/>
        </w:sectPr>
      </w:pPr>
    </w:p>
    <w:bookmarkStart w:id="68" w:name="page69"/>
    <w:bookmarkEnd w:id="6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w:t>
      </w:r>
    </w:p>
    <w:p>
      <w:pPr>
        <w:spacing w:after="0" w:line="125" w:lineRule="exact"/>
        <w:rPr>
          <w:sz w:val="20"/>
          <w:szCs w:val="20"/>
          <w:color w:val="auto"/>
        </w:rPr>
      </w:pPr>
    </w:p>
    <w:p>
      <w:pPr>
        <w:ind w:right="120" w:firstLine="438"/>
        <w:spacing w:after="0" w:line="236" w:lineRule="auto"/>
        <w:rPr>
          <w:sz w:val="20"/>
          <w:szCs w:val="20"/>
          <w:color w:val="auto"/>
        </w:rPr>
      </w:pPr>
      <w:r>
        <w:rPr>
          <w:rFonts w:ascii="Times New Roman" w:cs="Times New Roman" w:eastAsia="Times New Roman" w:hAnsi="Times New Roman"/>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subordinated debt and, to a lesser extent, equity investments. On April 24, 2007, we closed our initial public offering and our common stock trades on The Nasdaq Global Select Market under the symbol “PNNT.”</w:t>
      </w:r>
    </w:p>
    <w:p>
      <w:pPr>
        <w:spacing w:after="0" w:line="109" w:lineRule="exact"/>
        <w:rPr>
          <w:sz w:val="20"/>
          <w:szCs w:val="20"/>
          <w:color w:val="auto"/>
        </w:rPr>
      </w:pPr>
    </w:p>
    <w:p>
      <w:pPr>
        <w:jc w:val="both"/>
        <w:ind w:right="100" w:firstLine="438"/>
        <w:spacing w:after="0" w:line="236" w:lineRule="auto"/>
        <w:rPr>
          <w:sz w:val="20"/>
          <w:szCs w:val="20"/>
          <w:color w:val="auto"/>
        </w:rPr>
      </w:pPr>
      <w:r>
        <w:rPr>
          <w:rFonts w:ascii="Times New Roman" w:cs="Times New Roman" w:eastAsia="Times New Roman" w:hAnsi="Times New Roman"/>
          <w:sz w:val="14"/>
          <w:szCs w:val="14"/>
          <w:color w:val="auto"/>
        </w:rPr>
        <w:t>We have entered into the Investment Management Agreement with the Investment Adviser, an external adviser that manages our day-to-day operations. PennantPark Investment, through the Investment Adviser, manages day-to-day operations of and provides investment advisory services to SBIC II under a separate investment management agreement. We have also entered into the Administration Agreement with the Administrator, which provides the administrative services necessary for us to operate. PennantPark Investment, through the Administrator, also provides similar services to SBIC II under a separate administration agreement. See Note 3.</w:t>
      </w:r>
    </w:p>
    <w:p>
      <w:pPr>
        <w:spacing w:after="0" w:line="109"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SBIC II, our wholly-owned subsidiary, was organized as a Delaware limited partnership in 2012. SBIC II received a license from the SBA to operate as a SBIC under Section 301(c) of the 1958 Act. SBIC II’s objectives are to generate both current income and capital appreciation through debt and equity investments generally by investing with us in SBA eligible businesses that meet the investment selection criteria used by PennantPark Investment. During the year ended September 30, 2019, we liquidated and dissolved SBIC I.</w:t>
      </w:r>
    </w:p>
    <w:p>
      <w:pPr>
        <w:spacing w:after="0" w:line="109" w:lineRule="exact"/>
        <w:rPr>
          <w:sz w:val="20"/>
          <w:szCs w:val="20"/>
          <w:color w:val="auto"/>
        </w:rPr>
      </w:pPr>
    </w:p>
    <w:p>
      <w:pPr>
        <w:ind w:right="40" w:firstLine="438"/>
        <w:spacing w:after="0" w:line="233" w:lineRule="auto"/>
        <w:rPr>
          <w:sz w:val="20"/>
          <w:szCs w:val="20"/>
          <w:color w:val="auto"/>
        </w:rPr>
      </w:pPr>
      <w:r>
        <w:rPr>
          <w:rFonts w:ascii="Times New Roman" w:cs="Times New Roman" w:eastAsia="Times New Roman" w:hAnsi="Times New Roman"/>
          <w:sz w:val="14"/>
          <w:szCs w:val="14"/>
          <w:color w:val="auto"/>
        </w:rPr>
        <w:t>Funding I, a wholly-owned subsidiary and a special purpose entity of the Company prior to July 31, 2020, was organized in Delaware as a limited liability company in February 2019. We formed Funding I in order to establish the BNP Credit Facility. The Investment Adviser serves as the servicer to Funding I and has irrevocably directed that the management fee owed to it with respect to such services be paid to us so long as the Investment Adviser remains the servicer. This arrangement did not increase our consolidated management fee. The BNP Credit Facility allows Funding I to borrow up to $250 million at LIBOR (or an alternative risk-free floating interest rate index) plus 260 basis points during the reinvestment period. The BNP Credit Facility is secured by all of the assets held by Funding I. Funding I is no longer a subsidiary of PennantPark Investment as result of the joint venture described below.</w:t>
      </w:r>
    </w:p>
    <w:p>
      <w:pPr>
        <w:spacing w:after="0" w:line="110" w:lineRule="exact"/>
        <w:rPr>
          <w:sz w:val="20"/>
          <w:szCs w:val="20"/>
          <w:color w:val="auto"/>
        </w:rPr>
      </w:pPr>
    </w:p>
    <w:p>
      <w:pPr>
        <w:ind w:right="240" w:firstLine="438"/>
        <w:spacing w:after="0" w:line="236" w:lineRule="auto"/>
        <w:rPr>
          <w:sz w:val="20"/>
          <w:szCs w:val="20"/>
          <w:color w:val="auto"/>
        </w:rPr>
      </w:pPr>
      <w:r>
        <w:rPr>
          <w:rFonts w:ascii="Times New Roman" w:cs="Times New Roman" w:eastAsia="Times New Roman" w:hAnsi="Times New Roman"/>
          <w:sz w:val="14"/>
          <w:szCs w:val="14"/>
          <w:color w:val="auto"/>
        </w:rPr>
        <w:t>On July 31, 2020, we and certain entities and managed accounts of the private credit investment manager of Pantheon Ventures (UK) LLP (“Pantheon”) entered into a limited liability company agreement to co-manage PSLF, a newly-formed unconsolidated joint venture. In connection with this transaction, we contributed in-kind our formerly wholly-owned subsidiary, Funding I. As a result of this transaction, Funding I became a wholly-owned subsidiary of PSLF and has been deconsolidated from our financial statements. PSLF invests primarily in middle-market and other corporate debt securities consistent with our strategy. PSLF was formed as a Delaware limited liability company. See Note 4.</w:t>
      </w:r>
    </w:p>
    <w:p>
      <w:pPr>
        <w:spacing w:after="0" w:line="96"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We have formed and expect to continue to form certain taxable subsidiaries, including the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95"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SIGNIFICANT ACCOUNTING POLICIES</w:t>
      </w:r>
    </w:p>
    <w:p>
      <w:pPr>
        <w:spacing w:after="0" w:line="125" w:lineRule="exact"/>
        <w:rPr>
          <w:sz w:val="20"/>
          <w:szCs w:val="20"/>
          <w:color w:val="auto"/>
        </w:rPr>
      </w:pPr>
    </w:p>
    <w:p>
      <w:pPr>
        <w:ind w:right="20" w:firstLine="438"/>
        <w:spacing w:after="0" w:line="228"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Changes in the economic and regulatory environment, financial markets, the credit worthiness of our portfolio companies, the global outbreak of COVID-19 during the first quarter of 2020,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w:t>
      </w:r>
    </w:p>
    <w:p>
      <w:pPr>
        <w:spacing w:after="0" w:line="113" w:lineRule="exact"/>
        <w:rPr>
          <w:sz w:val="20"/>
          <w:szCs w:val="20"/>
          <w:color w:val="auto"/>
        </w:rPr>
      </w:pPr>
    </w:p>
    <w:p>
      <w:pPr>
        <w:ind w:right="280" w:firstLine="438"/>
        <w:spacing w:after="0" w:line="241"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significant accounting policies consistently applied are as follows:</w:t>
      </w:r>
    </w:p>
    <w:p>
      <w:pPr>
        <w:spacing w:after="0" w:line="119" w:lineRule="exact"/>
        <w:rPr>
          <w:sz w:val="20"/>
          <w:szCs w:val="20"/>
          <w:color w:val="auto"/>
        </w:rPr>
      </w:pPr>
    </w:p>
    <w:p>
      <w:pPr>
        <w:ind w:left="620" w:hanging="369"/>
        <w:spacing w:after="0"/>
        <w:tabs>
          <w:tab w:leader="none" w:pos="620" w:val="left"/>
        </w:tabs>
        <w:numPr>
          <w:ilvl w:val="0"/>
          <w:numId w:val="6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Investment Valuations</w:t>
      </w:r>
    </w:p>
    <w:p>
      <w:pPr>
        <w:spacing w:after="0" w:line="140"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3" w:lineRule="exact"/>
        <w:rPr>
          <w:sz w:val="20"/>
          <w:szCs w:val="20"/>
          <w:color w:val="auto"/>
        </w:rPr>
      </w:pPr>
    </w:p>
    <w:p>
      <w:pPr>
        <w:ind w:right="380" w:firstLine="438"/>
        <w:spacing w:after="0" w:line="261" w:lineRule="auto"/>
        <w:rPr>
          <w:sz w:val="20"/>
          <w:szCs w:val="20"/>
          <w:color w:val="auto"/>
        </w:rPr>
      </w:pPr>
      <w:r>
        <w:rPr>
          <w:rFonts w:ascii="Times New Roman" w:cs="Times New Roman" w:eastAsia="Times New Roman" w:hAnsi="Times New Roman"/>
          <w:sz w:val="14"/>
          <w:szCs w:val="14"/>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95" w:lineRule="exact"/>
        <w:rPr>
          <w:sz w:val="20"/>
          <w:szCs w:val="20"/>
          <w:color w:val="auto"/>
        </w:rPr>
      </w:pPr>
    </w:p>
    <w:p>
      <w:pPr>
        <w:ind w:left="920" w:right="20" w:hanging="359"/>
        <w:spacing w:after="0" w:line="261" w:lineRule="auto"/>
        <w:tabs>
          <w:tab w:leader="none" w:pos="9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95"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Preliminary valuation conclusions are then documented and discussed with the management of the Investment Adviser;</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39"/>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50" w:lineRule="exact"/>
        <w:rPr>
          <w:sz w:val="20"/>
          <w:szCs w:val="20"/>
          <w:color w:val="auto"/>
        </w:rPr>
      </w:pPr>
    </w:p>
    <w:p>
      <w:pPr>
        <w:ind w:left="920" w:right="40" w:hanging="359"/>
        <w:spacing w:after="0" w:line="241" w:lineRule="auto"/>
        <w:tabs>
          <w:tab w:leader="none" w:pos="9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9" w:lineRule="exact"/>
        <w:rPr>
          <w:rFonts w:ascii="Times New Roman" w:cs="Times New Roman" w:eastAsia="Times New Roman" w:hAnsi="Times New Roman"/>
          <w:sz w:val="14"/>
          <w:szCs w:val="14"/>
          <w:color w:val="auto"/>
        </w:rPr>
      </w:pPr>
    </w:p>
    <w:p>
      <w:pPr>
        <w:ind w:left="920" w:right="300" w:hanging="359"/>
        <w:spacing w:after="0" w:line="241" w:lineRule="auto"/>
        <w:tabs>
          <w:tab w:leader="none" w:pos="9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09" w:lineRule="exact"/>
        <w:rPr>
          <w:rFonts w:ascii="Times New Roman" w:cs="Times New Roman" w:eastAsia="Times New Roman" w:hAnsi="Times New Roman"/>
          <w:sz w:val="14"/>
          <w:szCs w:val="14"/>
          <w:color w:val="auto"/>
        </w:rPr>
      </w:pPr>
    </w:p>
    <w:p>
      <w:pPr>
        <w:ind w:left="920" w:right="60" w:hanging="359"/>
        <w:spacing w:after="0" w:line="261" w:lineRule="auto"/>
        <w:tabs>
          <w:tab w:leader="none" w:pos="9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95" w:lineRule="exact"/>
        <w:rPr>
          <w:sz w:val="20"/>
          <w:szCs w:val="20"/>
          <w:color w:val="auto"/>
        </w:rPr>
      </w:pPr>
    </w:p>
    <w:p>
      <w:pPr>
        <w:ind w:right="20" w:firstLine="248"/>
        <w:spacing w:after="0" w:line="236" w:lineRule="auto"/>
        <w:rPr>
          <w:sz w:val="20"/>
          <w:szCs w:val="20"/>
          <w:color w:val="auto"/>
        </w:rPr>
      </w:pPr>
      <w:r>
        <w:rPr>
          <w:rFonts w:ascii="Times New Roman" w:cs="Times New Roman" w:eastAsia="Times New Roman" w:hAnsi="Times New Roman"/>
          <w:sz w:val="14"/>
          <w:szCs w:val="14"/>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92" w:lineRule="exact"/>
        <w:rPr>
          <w:sz w:val="20"/>
          <w:szCs w:val="20"/>
          <w:color w:val="auto"/>
        </w:rPr>
      </w:pPr>
    </w:p>
    <w:p>
      <w:pPr>
        <w:ind w:left="620" w:hanging="369"/>
        <w:spacing w:after="0"/>
        <w:tabs>
          <w:tab w:leader="none" w:pos="620" w:val="left"/>
        </w:tabs>
        <w:numPr>
          <w:ilvl w:val="0"/>
          <w:numId w:val="6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Security Transactions, Revenue Recognition, and Realized/Unrealized Gains or Losses</w:t>
      </w:r>
    </w:p>
    <w:p>
      <w:pPr>
        <w:spacing w:after="0" w:line="140" w:lineRule="exact"/>
        <w:rPr>
          <w:sz w:val="20"/>
          <w:szCs w:val="20"/>
          <w:color w:val="auto"/>
        </w:rPr>
      </w:pPr>
    </w:p>
    <w:p>
      <w:pPr>
        <w:ind w:right="60" w:firstLine="438"/>
        <w:spacing w:after="0" w:line="236" w:lineRule="auto"/>
        <w:rPr>
          <w:sz w:val="20"/>
          <w:szCs w:val="20"/>
          <w:color w:val="auto"/>
        </w:rPr>
      </w:pPr>
      <w:r>
        <w:rPr>
          <w:rFonts w:ascii="Times New Roman" w:cs="Times New Roman" w:eastAsia="Times New Roman" w:hAnsi="Times New Roman"/>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Facilities and, prior to their redemption, the 2019 Notes during the reporting period, including any reversal of previously recorded unrealized appreciation or depreciation, when gains or losses are realized.</w:t>
      </w:r>
    </w:p>
    <w:p>
      <w:pPr>
        <w:spacing w:after="0" w:line="109" w:lineRule="exact"/>
        <w:rPr>
          <w:sz w:val="20"/>
          <w:szCs w:val="20"/>
          <w:color w:val="auto"/>
        </w:rPr>
      </w:pPr>
    </w:p>
    <w:p>
      <w:pPr>
        <w:ind w:right="40" w:firstLine="438"/>
        <w:spacing w:after="0" w:line="229" w:lineRule="auto"/>
        <w:rPr>
          <w:sz w:val="20"/>
          <w:szCs w:val="20"/>
          <w:color w:val="auto"/>
        </w:rPr>
      </w:pPr>
      <w:r>
        <w:rPr>
          <w:rFonts w:ascii="Times New Roman" w:cs="Times New Roman" w:eastAsia="Times New Roman" w:hAnsi="Times New Roman"/>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3" w:lineRule="exact"/>
        <w:rPr>
          <w:sz w:val="20"/>
          <w:szCs w:val="20"/>
          <w:color w:val="auto"/>
        </w:rPr>
      </w:pPr>
    </w:p>
    <w:p>
      <w:pPr>
        <w:ind w:right="320" w:firstLine="438"/>
        <w:spacing w:after="0" w:line="233" w:lineRule="auto"/>
        <w:rPr>
          <w:sz w:val="20"/>
          <w:szCs w:val="20"/>
          <w:color w:val="auto"/>
        </w:rPr>
      </w:pPr>
      <w:r>
        <w:rPr>
          <w:rFonts w:ascii="Times New Roman" w:cs="Times New Roman" w:eastAsia="Times New Roman" w:hAnsi="Times New Roman"/>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September 30, 2020, we had two portfolio companies on non-accrual, representing 4.9% and 3.4% of our overall portfolio on a cost and fair value basis, respectively. As of September 30, 2019, we had no portfolio companies on non-accrual.</w:t>
      </w:r>
    </w:p>
    <w:p>
      <w:pPr>
        <w:spacing w:after="0" w:line="92" w:lineRule="exact"/>
        <w:rPr>
          <w:sz w:val="20"/>
          <w:szCs w:val="20"/>
          <w:color w:val="auto"/>
        </w:rPr>
      </w:pPr>
    </w:p>
    <w:p>
      <w:pPr>
        <w:ind w:left="620" w:hanging="369"/>
        <w:spacing w:after="0"/>
        <w:tabs>
          <w:tab w:leader="none" w:pos="620" w:val="left"/>
        </w:tabs>
        <w:numPr>
          <w:ilvl w:val="0"/>
          <w:numId w:val="69"/>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Income Taxes</w:t>
      </w:r>
    </w:p>
    <w:p>
      <w:pPr>
        <w:spacing w:after="0" w:line="140" w:lineRule="exact"/>
        <w:rPr>
          <w:sz w:val="20"/>
          <w:szCs w:val="20"/>
          <w:color w:val="auto"/>
        </w:rPr>
      </w:pPr>
    </w:p>
    <w:p>
      <w:pPr>
        <w:ind w:firstLine="438"/>
        <w:spacing w:after="0" w:line="228" w:lineRule="auto"/>
        <w:rPr>
          <w:sz w:val="20"/>
          <w:szCs w:val="20"/>
          <w:color w:val="auto"/>
        </w:rPr>
      </w:pPr>
      <w:r>
        <w:rPr>
          <w:rFonts w:ascii="Times New Roman" w:cs="Times New Roman" w:eastAsia="Times New Roman" w:hAnsi="Times New Roman"/>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the years ended September 30, 2020, 2019 and 2018, we recorded a provision for taxes of $1.2 million (approximately one-half of which was for U.S. federal excise tax and the remainder for U.S. federal and state income taxes and franchise taxes related to the Taxable Subsidiaries), $1.2 million (approximately one-half of which was for U.S. federal excise tax and the remainder for U.S. federal and state income taxes related to Taxable Subsidiaries) and zero, respectively.</w:t>
      </w:r>
    </w:p>
    <w:p>
      <w:pPr>
        <w:spacing w:after="0" w:line="113" w:lineRule="exact"/>
        <w:rPr>
          <w:sz w:val="20"/>
          <w:szCs w:val="20"/>
          <w:color w:val="auto"/>
        </w:rPr>
      </w:pPr>
    </w:p>
    <w:p>
      <w:pPr>
        <w:jc w:val="both"/>
        <w:ind w:right="200" w:firstLine="438"/>
        <w:spacing w:after="0" w:line="231" w:lineRule="auto"/>
        <w:rPr>
          <w:sz w:val="20"/>
          <w:szCs w:val="20"/>
          <w:color w:val="auto"/>
        </w:rPr>
      </w:pPr>
      <w:r>
        <w:rPr>
          <w:rFonts w:ascii="Times New Roman" w:cs="Times New Roman" w:eastAsia="Times New Roman" w:hAnsi="Times New Roman"/>
          <w:sz w:val="14"/>
          <w:szCs w:val="14"/>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0" w:lineRule="exact"/>
        <w:rPr>
          <w:sz w:val="20"/>
          <w:szCs w:val="20"/>
          <w:color w:val="auto"/>
        </w:rPr>
      </w:pPr>
    </w:p>
    <w:p>
      <w:pPr>
        <w:ind w:right="100" w:firstLine="438"/>
        <w:spacing w:after="0" w:line="241" w:lineRule="auto"/>
        <w:rPr>
          <w:sz w:val="20"/>
          <w:szCs w:val="20"/>
          <w:color w:val="auto"/>
        </w:rPr>
      </w:pPr>
      <w:r>
        <w:rPr>
          <w:rFonts w:ascii="Times New Roman" w:cs="Times New Roman" w:eastAsia="Times New Roman" w:hAnsi="Times New Roman"/>
          <w:sz w:val="14"/>
          <w:szCs w:val="14"/>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92" w:lineRule="exact"/>
        <w:rPr>
          <w:sz w:val="20"/>
          <w:szCs w:val="20"/>
          <w:color w:val="auto"/>
        </w:rPr>
      </w:pPr>
    </w:p>
    <w:p>
      <w:pPr>
        <w:ind w:left="620" w:hanging="369"/>
        <w:spacing w:after="0"/>
        <w:tabs>
          <w:tab w:leader="none" w:pos="620" w:val="left"/>
        </w:tabs>
        <w:numPr>
          <w:ilvl w:val="0"/>
          <w:numId w:val="70"/>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Distributions and Capital Transactions</w:t>
      </w:r>
    </w:p>
    <w:p>
      <w:pPr>
        <w:spacing w:after="0" w:line="140"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return of capital.</w:t>
      </w:r>
    </w:p>
    <w:p>
      <w:pPr>
        <w:spacing w:after="0" w:line="109" w:lineRule="exact"/>
        <w:rPr>
          <w:sz w:val="20"/>
          <w:szCs w:val="20"/>
          <w:color w:val="auto"/>
        </w:rPr>
      </w:pPr>
    </w:p>
    <w:p>
      <w:pPr>
        <w:ind w:right="80" w:firstLine="438"/>
        <w:spacing w:after="0" w:line="261" w:lineRule="auto"/>
        <w:rPr>
          <w:sz w:val="20"/>
          <w:szCs w:val="20"/>
          <w:color w:val="auto"/>
        </w:rPr>
      </w:pPr>
      <w:r>
        <w:rPr>
          <w:rFonts w:ascii="Times New Roman" w:cs="Times New Roman" w:eastAsia="Times New Roman" w:hAnsi="Times New Roman"/>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19"/>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46" w:lineRule="exact"/>
        <w:rPr>
          <w:sz w:val="20"/>
          <w:szCs w:val="20"/>
          <w:color w:val="auto"/>
        </w:rPr>
      </w:pPr>
    </w:p>
    <w:p>
      <w:pPr>
        <w:ind w:left="620" w:hanging="369"/>
        <w:spacing w:after="0"/>
        <w:tabs>
          <w:tab w:leader="none" w:pos="620" w:val="left"/>
        </w:tabs>
        <w:numPr>
          <w:ilvl w:val="0"/>
          <w:numId w:val="7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Foreign Currency Translation</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books and records are maintained in U.S. dollars. Any foreign currency amounts are translated into U.S. dollars on the following basis:</w:t>
      </w:r>
    </w:p>
    <w:p>
      <w:pPr>
        <w:spacing w:after="0" w:line="123" w:lineRule="exact"/>
        <w:rPr>
          <w:sz w:val="20"/>
          <w:szCs w:val="20"/>
          <w:color w:val="auto"/>
        </w:rPr>
      </w:pPr>
    </w:p>
    <w:p>
      <w:pPr>
        <w:ind w:left="920" w:hanging="359"/>
        <w:spacing w:after="0"/>
        <w:tabs>
          <w:tab w:leader="none" w:pos="9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Fair value of investment securities, other assets and liabilities – at the exchange rates prevailing at the end of the applicable period; and</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80" w:firstLine="438"/>
        <w:spacing w:after="0" w:line="241" w:lineRule="auto"/>
        <w:rPr>
          <w:sz w:val="20"/>
          <w:szCs w:val="20"/>
          <w:color w:val="auto"/>
        </w:rPr>
      </w:pPr>
      <w:r>
        <w:rPr>
          <w:rFonts w:ascii="Times New Roman" w:cs="Times New Roman" w:eastAsia="Times New Roman" w:hAnsi="Times New Roman"/>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the fair value of investments and liabilities held. Such fluctuations are included with the net realized and unrealized gain or loss from investments and liabilities.</w:t>
      </w:r>
    </w:p>
    <w:p>
      <w:pPr>
        <w:spacing w:after="0" w:line="109" w:lineRule="exact"/>
        <w:rPr>
          <w:sz w:val="20"/>
          <w:szCs w:val="20"/>
          <w:color w:val="auto"/>
        </w:rPr>
      </w:pPr>
    </w:p>
    <w:p>
      <w:pPr>
        <w:jc w:val="both"/>
        <w:ind w:right="160" w:firstLine="438"/>
        <w:spacing w:after="0" w:line="241" w:lineRule="auto"/>
        <w:rPr>
          <w:sz w:val="20"/>
          <w:szCs w:val="20"/>
          <w:color w:val="auto"/>
        </w:rPr>
      </w:pPr>
      <w:r>
        <w:rPr>
          <w:rFonts w:ascii="Times New Roman" w:cs="Times New Roman" w:eastAsia="Times New Roman" w:hAnsi="Times New Roman"/>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05" w:lineRule="exact"/>
        <w:rPr>
          <w:sz w:val="20"/>
          <w:szCs w:val="20"/>
          <w:color w:val="auto"/>
        </w:rPr>
      </w:pPr>
    </w:p>
    <w:p>
      <w:pPr>
        <w:ind w:left="1040" w:hanging="784"/>
        <w:spacing w:after="0"/>
        <w:tabs>
          <w:tab w:leader="none" w:pos="1040" w:val="left"/>
        </w:tabs>
        <w:numPr>
          <w:ilvl w:val="0"/>
          <w:numId w:val="73"/>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Consolidation</w:t>
      </w:r>
    </w:p>
    <w:p>
      <w:pPr>
        <w:spacing w:after="0" w:line="127" w:lineRule="exact"/>
        <w:rPr>
          <w:sz w:val="20"/>
          <w:szCs w:val="20"/>
          <w:color w:val="auto"/>
        </w:rPr>
      </w:pPr>
    </w:p>
    <w:p>
      <w:pPr>
        <w:ind w:right="160" w:firstLine="438"/>
        <w:spacing w:after="0" w:line="236" w:lineRule="auto"/>
        <w:rPr>
          <w:sz w:val="20"/>
          <w:szCs w:val="20"/>
          <w:color w:val="auto"/>
        </w:rPr>
      </w:pPr>
      <w:r>
        <w:rPr>
          <w:rFonts w:ascii="Times New Roman" w:cs="Times New Roman" w:eastAsia="Times New Roman" w:hAnsi="Times New Roman"/>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our formerly wholly-owned subsidiary, Funding I, and our Taxable Subsidiaries in our Consolidated Financial Statements. We do not consolidate our non-controlling interest in PSLF. See further description of our investment in PSLF in Note 4.</w:t>
      </w:r>
    </w:p>
    <w:p>
      <w:pPr>
        <w:spacing w:after="0" w:line="105" w:lineRule="exact"/>
        <w:rPr>
          <w:sz w:val="20"/>
          <w:szCs w:val="20"/>
          <w:color w:val="auto"/>
        </w:rPr>
      </w:pPr>
    </w:p>
    <w:p>
      <w:pPr>
        <w:ind w:left="1080" w:hanging="824"/>
        <w:spacing w:after="0"/>
        <w:tabs>
          <w:tab w:leader="none" w:pos="1080" w:val="left"/>
        </w:tabs>
        <w:numPr>
          <w:ilvl w:val="0"/>
          <w:numId w:val="74"/>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Asset Transfers and Servicing</w:t>
      </w:r>
    </w:p>
    <w:p>
      <w:pPr>
        <w:spacing w:after="0" w:line="140" w:lineRule="exact"/>
        <w:rPr>
          <w:sz w:val="20"/>
          <w:szCs w:val="20"/>
          <w:color w:val="auto"/>
        </w:rPr>
      </w:pPr>
    </w:p>
    <w:p>
      <w:pPr>
        <w:ind w:right="80" w:firstLine="438"/>
        <w:spacing w:after="0" w:line="241" w:lineRule="auto"/>
        <w:rPr>
          <w:sz w:val="20"/>
          <w:szCs w:val="20"/>
          <w:color w:val="auto"/>
        </w:rPr>
      </w:pPr>
      <w:r>
        <w:rPr>
          <w:rFonts w:ascii="Times New Roman" w:cs="Times New Roman" w:eastAsia="Times New Roman" w:hAnsi="Times New Roman"/>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its assets and such assets are not intended to be available to the creditors of PennantPark Investment or any of its affiliates.</w:t>
      </w:r>
    </w:p>
    <w:p>
      <w:pPr>
        <w:spacing w:after="0" w:line="92" w:lineRule="exact"/>
        <w:rPr>
          <w:sz w:val="20"/>
          <w:szCs w:val="20"/>
          <w:color w:val="auto"/>
        </w:rPr>
      </w:pPr>
    </w:p>
    <w:p>
      <w:pPr>
        <w:ind w:left="1080" w:hanging="824"/>
        <w:spacing w:after="0"/>
        <w:tabs>
          <w:tab w:leader="none" w:pos="1080" w:val="left"/>
        </w:tabs>
        <w:numPr>
          <w:ilvl w:val="0"/>
          <w:numId w:val="75"/>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40" w:lineRule="exact"/>
        <w:rPr>
          <w:sz w:val="20"/>
          <w:szCs w:val="20"/>
          <w:color w:val="auto"/>
        </w:rPr>
      </w:pPr>
    </w:p>
    <w:p>
      <w:pPr>
        <w:ind w:right="100" w:firstLine="248"/>
        <w:spacing w:after="0" w:line="227" w:lineRule="auto"/>
        <w:rPr>
          <w:sz w:val="20"/>
          <w:szCs w:val="20"/>
          <w:color w:val="auto"/>
        </w:rPr>
      </w:pPr>
      <w:r>
        <w:rPr>
          <w:rFonts w:ascii="Times New Roman" w:cs="Times New Roman" w:eastAsia="Times New Roman" w:hAnsi="Times New Roman"/>
          <w:sz w:val="14"/>
          <w:szCs w:val="14"/>
          <w:color w:val="auto"/>
        </w:rPr>
        <w:t>In May 2020, the SEC adopted rule amendments that will impact the requirement of investment companies, including BDCs, to disclose the financial statements of certain of their portfolio companies or certain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new definition of “significant subsidiary” under Rule 1-02(w)(2) of Regulation S-X, which is tailored to investment companies, (i) modifies the investment test and the income test, and (ii) eliminates the asset test currently in the definition of “significant subsidiary.” The new Rule 1-02(w)(2) of Regulation S-X is intended to more accurately capture those portfolio companies that are more likely to materially impact the financial condition of an investment company. The Final Rules will be effective on January 1, 2021, but voluntary compliance is permitted in advance of the effective date. We evaluated the impact of adopting the Final Rules on our consolidated financial statements and because the new definition of “significant subsidiary” contained therein is specific to investment companies, we elected to early adopt the Final Rules for our year ended September 30, 2020. The adoption of the Final Rules did not have a material impact on our financial statements.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AGREEMENTS AND RELATED PARTY TRANSACTIONS</w:t>
      </w:r>
    </w:p>
    <w:p>
      <w:pPr>
        <w:spacing w:after="0" w:line="138" w:lineRule="exact"/>
        <w:rPr>
          <w:sz w:val="20"/>
          <w:szCs w:val="20"/>
          <w:color w:val="auto"/>
        </w:rPr>
      </w:pPr>
    </w:p>
    <w:p>
      <w:pPr>
        <w:ind w:right="20" w:firstLine="438"/>
        <w:spacing w:after="0" w:line="229" w:lineRule="auto"/>
        <w:rPr>
          <w:sz w:val="20"/>
          <w:szCs w:val="20"/>
          <w:color w:val="auto"/>
        </w:rPr>
      </w:pPr>
      <w:r>
        <w:rPr>
          <w:rFonts w:ascii="Times New Roman" w:cs="Times New Roman" w:eastAsia="Times New Roman" w:hAnsi="Times New Roman"/>
          <w:sz w:val="14"/>
          <w:szCs w:val="14"/>
          <w:color w:val="auto"/>
        </w:rPr>
        <w:t>Under the Investment Management Agreement,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2020. Under the Investment Management Agreement, the Investment Adviser, subject to the overall supervision of our board of directors, manages the day-to-day operations of and provides investment advisory services to us. The Investment Adviser serves as the servicer to Funding I and has irrevocably directed that the management fee owed to it with respect to such services be paid to the Company so long as the Investment Adviser remains the servicer. SBIC II’s investment management agreement does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13" w:lineRule="exact"/>
        <w:rPr>
          <w:sz w:val="20"/>
          <w:szCs w:val="20"/>
          <w:color w:val="auto"/>
        </w:rPr>
      </w:pPr>
    </w:p>
    <w:p>
      <w:pPr>
        <w:ind w:right="20" w:firstLine="438"/>
        <w:spacing w:after="0" w:line="244" w:lineRule="auto"/>
        <w:rPr>
          <w:sz w:val="20"/>
          <w:szCs w:val="20"/>
          <w:color w:val="auto"/>
        </w:rPr>
      </w:pPr>
      <w:r>
        <w:rPr>
          <w:rFonts w:ascii="Times New Roman" w:cs="Times New Roman" w:eastAsia="Times New Roman" w:hAnsi="Times New Roman"/>
          <w:sz w:val="13"/>
          <w:szCs w:val="13"/>
          <w:color w:val="auto"/>
        </w:rPr>
        <w:t>Effective January 1, 2018, the base management fee is calculated at an annual rate of 1.50%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In addition, on November 13, 2018, in connection with our board of directors’ approval of the application of the modified asset coverage requirement under the 1940 Act to the Company, our board of directors also approved an amendment to the Investment Advisory Agreement reducing the Investment Adviser’s annual base management fee from 1.50% to 1.00% on gross assets that exceed 200% of the Company’s total net assets as of the immediately preceding quarter-end. This amendment became effective on February 5, 2019 with the amendment and restatement of the Investment Management Agreement on April 12, 2019.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years ended September 30, 2020, 2019 and 2018, the Investment Adviser earned base management fees of $18.6 million, $18.2 million and $16.5 million (after a waiver of $0.9 million), respectively, from us.</w:t>
      </w:r>
    </w:p>
    <w:p>
      <w:pPr>
        <w:spacing w:after="0" w:line="1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incentive fee has two parts, as follows:</w:t>
      </w:r>
    </w:p>
    <w:p>
      <w:pPr>
        <w:spacing w:after="0" w:line="136"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01"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14"/>
          <w:szCs w:val="14"/>
          <w:color w:val="auto"/>
        </w:rPr>
        <w:t>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 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Additionally, beginning April 1, 2020 and through September 30, 2020, the Investment Adviser has voluntarily agreed, in consultation with our board of directors, to irrevocably waive the performance-based incentive fees. For the years ended September 30, 2020, 2019 and 2018, the Investment Adviser earned $2.7 million (after a waiver of $1.9 million), $5.1 million and $11.0 million (after a waiver of $0.5 million), respectively, in incentive fees on net investment income from us.</w:t>
      </w:r>
    </w:p>
    <w:p>
      <w:pPr>
        <w:spacing w:after="0" w:line="115" w:lineRule="exact"/>
        <w:rPr>
          <w:sz w:val="20"/>
          <w:szCs w:val="20"/>
          <w:color w:val="auto"/>
        </w:rPr>
      </w:pPr>
    </w:p>
    <w:p>
      <w:pPr>
        <w:ind w:right="140" w:firstLine="438"/>
        <w:spacing w:after="0" w:line="233" w:lineRule="auto"/>
        <w:rPr>
          <w:sz w:val="20"/>
          <w:szCs w:val="20"/>
          <w:color w:val="auto"/>
        </w:rPr>
      </w:pPr>
      <w:r>
        <w:rPr>
          <w:rFonts w:ascii="Times New Roman" w:cs="Times New Roman" w:eastAsia="Times New Roman" w:hAnsi="Times New Roman"/>
          <w:sz w:val="14"/>
          <w:szCs w:val="14"/>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the years ended September 30, 2020, 2019 and 2018, the Investment Adviser did not accrue an incentive fee on capital gains as calculated under the Investment Management Agreement (as described above).</w:t>
      </w:r>
    </w:p>
    <w:p>
      <w:pPr>
        <w:spacing w:after="0" w:line="110" w:lineRule="exact"/>
        <w:rPr>
          <w:sz w:val="20"/>
          <w:szCs w:val="20"/>
          <w:color w:val="auto"/>
        </w:rPr>
      </w:pPr>
    </w:p>
    <w:p>
      <w:pPr>
        <w:ind w:right="100" w:firstLine="438"/>
        <w:spacing w:after="0"/>
        <w:rPr>
          <w:sz w:val="20"/>
          <w:szCs w:val="20"/>
          <w:color w:val="auto"/>
        </w:rPr>
      </w:pPr>
      <w:r>
        <w:rPr>
          <w:rFonts w:ascii="Times New Roman" w:cs="Times New Roman" w:eastAsia="Times New Roman" w:hAnsi="Times New Roman"/>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the years ended September 30, 2020, 2019 and 2018, the Investment Adviser did not accrue an incentive fee on capital gains as calculated under GAAP.</w:t>
      </w:r>
    </w:p>
    <w:p>
      <w:pPr>
        <w:spacing w:after="0" w:line="210" w:lineRule="exact"/>
        <w:rPr>
          <w:sz w:val="20"/>
          <w:szCs w:val="20"/>
          <w:color w:val="auto"/>
        </w:rPr>
      </w:pPr>
    </w:p>
    <w:p>
      <w:pPr>
        <w:ind w:right="80" w:firstLine="438"/>
        <w:spacing w:after="0" w:line="228" w:lineRule="auto"/>
        <w:rPr>
          <w:sz w:val="20"/>
          <w:szCs w:val="20"/>
          <w:color w:val="auto"/>
        </w:rPr>
      </w:pPr>
      <w:r>
        <w:rPr>
          <w:rFonts w:ascii="Times New Roman" w:cs="Times New Roman" w:eastAsia="Times New Roman" w:hAnsi="Times New Roman"/>
          <w:sz w:val="14"/>
          <w:szCs w:val="14"/>
          <w:color w:val="auto"/>
        </w:rPr>
        <w:t>The Administration Agreement with the Administrator was reapproved by our board of directors, including a majority of our directors who are not interested persons of us, in February 2020. Under the Administration Agreement, the Administrator provides administrative services and office facilities to us. The Administrator provides similar services to SBIC II under its administration agreement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years ended September 30, 2020, 2019 and 2018, we reimbursed the Investment Adviser approximately $1.4 million, $1.8 million and $2.0 million, respectively, including expenses the Investment Adviser incurred on behalf of the Administrator, for services described above.</w:t>
      </w:r>
    </w:p>
    <w:p>
      <w:pPr>
        <w:spacing w:after="0" w:line="100" w:lineRule="exact"/>
        <w:rPr>
          <w:sz w:val="20"/>
          <w:szCs w:val="20"/>
          <w:color w:val="auto"/>
        </w:rPr>
      </w:pPr>
    </w:p>
    <w:p>
      <w:pPr>
        <w:jc w:val="both"/>
        <w:ind w:right="240" w:firstLine="438"/>
        <w:spacing w:after="0" w:line="241" w:lineRule="auto"/>
        <w:rPr>
          <w:sz w:val="20"/>
          <w:szCs w:val="20"/>
          <w:color w:val="auto"/>
        </w:rPr>
      </w:pPr>
      <w:r>
        <w:rPr>
          <w:rFonts w:ascii="Times New Roman" w:cs="Times New Roman" w:eastAsia="Times New Roman" w:hAnsi="Times New Roman"/>
          <w:sz w:val="14"/>
          <w:szCs w:val="14"/>
          <w:color w:val="auto"/>
        </w:rPr>
        <w:t>For the year ended September 30, 2020, the Company purchased $15.0 million in total investments from an affiliated fund managed by our Investment Adviser in accordance with, and pursuant to, procedures adopted under Rule 17a-7 of the 1940 Act. There were no transactions in accordance with Rule 17a-7 of the 1940 Act during the years ended September 30, 2019 and 2018, respectively.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INVESTMENTS</w:t>
      </w:r>
    </w:p>
    <w:p>
      <w:pPr>
        <w:spacing w:after="0" w:line="125" w:lineRule="exact"/>
        <w:rPr>
          <w:sz w:val="20"/>
          <w:szCs w:val="20"/>
          <w:color w:val="auto"/>
        </w:rPr>
      </w:pPr>
    </w:p>
    <w:p>
      <w:pPr>
        <w:jc w:val="both"/>
        <w:ind w:right="240" w:firstLine="438"/>
        <w:spacing w:after="0" w:line="261" w:lineRule="auto"/>
        <w:rPr>
          <w:sz w:val="20"/>
          <w:szCs w:val="20"/>
          <w:color w:val="auto"/>
        </w:rPr>
      </w:pPr>
      <w:r>
        <w:rPr>
          <w:rFonts w:ascii="Times New Roman" w:cs="Times New Roman" w:eastAsia="Times New Roman" w:hAnsi="Times New Roman"/>
          <w:sz w:val="14"/>
          <w:szCs w:val="14"/>
          <w:color w:val="auto"/>
        </w:rPr>
        <w:t>Purchases of investments, including PIK interest, for the years ended September 30, 2020, 2019 and 2018 totaled $333.9 million, $545.6 million and $616.1 million, respectively. Sales and repayments of investments for the same periods totaled $162.7 million, $426.5 million and $630.5 million, respectively.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Investments and cash and cash equivalents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Investment Classification</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451,763,766</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439,013,082</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697,120,114</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695,280,815</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238,335,508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220,843,480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269,204,159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269,310,647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50,780,591</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50,569,409</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61,522,066</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61,187,670</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notes in PSLF</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63,000,000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63,000,000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328,471,250</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272,082,870</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229,176,376</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193,653,664</w:t>
            </w:r>
          </w:p>
        </w:tc>
        <w:tc>
          <w:tcPr>
            <w:tcW w:w="12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Equity in PSLF</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33,221,176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36,262,577</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1,165,572,291</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1,081,771,418</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spacing w:after="0"/>
              <w:rPr>
                <w:sz w:val="13"/>
                <w:szCs w:val="13"/>
                <w:color w:val="auto"/>
              </w:rPr>
            </w:pPr>
          </w:p>
        </w:tc>
        <w:tc>
          <w:tcPr>
            <w:tcW w:w="1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1,257,022,715</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1,219,432,796</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tcPr>
          <w:p>
            <w:pPr>
              <w:spacing w:after="0" w:line="155" w:lineRule="exact"/>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25,801,087</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25,806,002</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59,546,438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59,516,236</w:t>
            </w:r>
          </w:p>
        </w:tc>
        <w:tc>
          <w:tcPr>
            <w:tcW w:w="120" w:type="dxa"/>
            <w:vAlign w:val="bottom"/>
            <w:tcBorders>
              <w:bottom w:val="single" w:sz="8" w:color="CCEC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1,191,373,378</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1,107,577,420</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1,316,569,153</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1,278,949,032</w:t>
            </w:r>
          </w:p>
        </w:tc>
        <w:tc>
          <w:tcPr>
            <w:tcW w:w="120" w:type="dxa"/>
            <w:vAlign w:val="bottom"/>
            <w:tcBorders>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201" w:lineRule="exact"/>
        <w:rPr>
          <w:sz w:val="20"/>
          <w:szCs w:val="20"/>
          <w:color w:val="auto"/>
        </w:rPr>
      </w:pPr>
    </w:p>
    <w:p>
      <w:pPr>
        <w:ind w:right="220" w:firstLine="438"/>
        <w:spacing w:after="0" w:line="261" w:lineRule="auto"/>
        <w:rPr>
          <w:sz w:val="20"/>
          <w:szCs w:val="20"/>
          <w:color w:val="auto"/>
        </w:rPr>
      </w:pPr>
      <w:r>
        <w:rPr>
          <w:rFonts w:ascii="Times New Roman" w:cs="Times New Roman" w:eastAsia="Times New Roman" w:hAnsi="Times New Roman"/>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Industry Classification</w:t>
            </w:r>
          </w:p>
        </w:tc>
        <w:tc>
          <w:tcPr>
            <w:tcW w:w="26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 xml:space="preserve">September 30, 2020 </w:t>
            </w:r>
            <w:r>
              <w:rPr>
                <w:rFonts w:ascii="Times New Roman" w:cs="Times New Roman" w:eastAsia="Times New Roman" w:hAnsi="Times New Roman"/>
                <w:sz w:val="12"/>
                <w:szCs w:val="12"/>
                <w:b w:val="1"/>
                <w:bCs w:val="1"/>
                <w:color w:val="auto"/>
              </w:rPr>
              <w:t>(1)</w:t>
            </w:r>
          </w:p>
        </w:tc>
        <w:tc>
          <w:tcPr>
            <w:tcW w:w="2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3"/>
        </w:trPr>
        <w:tc>
          <w:tcPr>
            <w:tcW w:w="212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40" w:type="dxa"/>
            <w:vAlign w:val="bottom"/>
            <w:tcBorders>
              <w:bottom w:val="single" w:sz="8" w:color="CCEC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CCEC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0" w:type="dxa"/>
            <w:vAlign w:val="bottom"/>
            <w:tcBorders>
              <w:bottom w:val="single" w:sz="8" w:color="CCECFF"/>
            </w:tcBorders>
          </w:tcPr>
          <w:p>
            <w:pPr>
              <w:spacing w:after="0"/>
              <w:rPr>
                <w:sz w:val="2"/>
                <w:szCs w:val="2"/>
                <w:color w:val="auto"/>
              </w:rPr>
            </w:pPr>
          </w:p>
        </w:tc>
      </w:tr>
      <w:tr>
        <w:trPr>
          <w:trHeight w:val="156"/>
        </w:trPr>
        <w:tc>
          <w:tcPr>
            <w:tcW w:w="608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Healthcare, Education and Childcare</w:t>
            </w:r>
          </w:p>
        </w:tc>
        <w:tc>
          <w:tcPr>
            <w:tcW w:w="240" w:type="dxa"/>
            <w:vAlign w:val="bottom"/>
            <w:shd w:val="clear" w:color="auto" w:fill="CCECFF"/>
          </w:tcPr>
          <w:p>
            <w:pPr>
              <w:spacing w:after="0"/>
              <w:rPr>
                <w:sz w:val="13"/>
                <w:szCs w:val="13"/>
                <w:color w:val="auto"/>
              </w:rPr>
            </w:pPr>
          </w:p>
        </w:tc>
        <w:tc>
          <w:tcPr>
            <w:tcW w:w="2680" w:type="dxa"/>
            <w:vAlign w:val="bottom"/>
            <w:gridSpan w:val="2"/>
            <w:shd w:val="clear" w:color="auto" w:fill="CCEC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17%</w:t>
            </w:r>
          </w:p>
        </w:tc>
        <w:tc>
          <w:tcPr>
            <w:tcW w:w="2240" w:type="dxa"/>
            <w:vAlign w:val="bottom"/>
            <w:gridSpan w:val="2"/>
            <w:shd w:val="clear" w:color="auto" w:fill="CCEC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16%</w:t>
            </w: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Energy and Utilities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Auto Sector</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Consumer Products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Environmental Services</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Media</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Building Materials</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Business Services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Distribution</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Electronics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Hotels, Motels, Inns and Gaming</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Insurance</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Personal, Food and Miscellaneous Services</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Beverage, Food and Tobacco</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Education</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Home and Office Furnishings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Aerospace and Defense</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Chemicals, Plastics and Rubber</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Other Media</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Printing and Publishing</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Telecommunications</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Transportation</w:t>
            </w:r>
          </w:p>
        </w:tc>
        <w:tc>
          <w:tcPr>
            <w:tcW w:w="2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r>
      <w:tr>
        <w:trPr>
          <w:trHeight w:val="162"/>
        </w:trPr>
        <w:tc>
          <w:tcPr>
            <w:tcW w:w="6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Manufacturing / Basic Industries</w:t>
            </w:r>
          </w:p>
        </w:tc>
        <w:tc>
          <w:tcPr>
            <w:tcW w:w="23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632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4"/>
                <w:szCs w:val="14"/>
                <w:color w:val="auto"/>
              </w:rPr>
              <w:t>Other</w:t>
            </w: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CFF"/>
            </w:tcBorders>
          </w:tcPr>
          <w:p>
            <w:pPr>
              <w:spacing w:after="0"/>
              <w:rPr>
                <w:sz w:val="14"/>
                <w:szCs w:val="14"/>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bottom w:val="single" w:sz="8" w:color="CCECFF"/>
            </w:tcBorders>
          </w:tcPr>
          <w:p>
            <w:pPr>
              <w:spacing w:after="0"/>
              <w:rPr>
                <w:sz w:val="14"/>
                <w:szCs w:val="14"/>
                <w:color w:val="auto"/>
              </w:rPr>
            </w:pPr>
          </w:p>
        </w:tc>
      </w:tr>
      <w:tr>
        <w:trPr>
          <w:trHeight w:val="155"/>
        </w:trPr>
        <w:tc>
          <w:tcPr>
            <w:tcW w:w="632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2680" w:type="dxa"/>
            <w:vAlign w:val="bottom"/>
            <w:gridSpan w:val="2"/>
            <w:shd w:val="clear" w:color="auto" w:fill="CCECFF"/>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100%</w:t>
            </w:r>
          </w:p>
        </w:tc>
        <w:tc>
          <w:tcPr>
            <w:tcW w:w="2240" w:type="dxa"/>
            <w:vAlign w:val="bottom"/>
            <w:gridSpan w:val="2"/>
            <w:shd w:val="clear" w:color="auto" w:fill="CCECFF"/>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100%</w:t>
            </w: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39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C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3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40" w:type="dxa"/>
            <w:vAlign w:val="bottom"/>
          </w:tcPr>
          <w:p>
            <w:pPr>
              <w:spacing w:after="0"/>
              <w:rPr>
                <w:sz w:val="3"/>
                <w:szCs w:val="3"/>
                <w:color w:val="auto"/>
              </w:rPr>
            </w:pPr>
          </w:p>
        </w:tc>
      </w:tr>
    </w:tbl>
    <w:p>
      <w:pPr>
        <w:ind w:left="380" w:hanging="372"/>
        <w:spacing w:after="0" w:line="190" w:lineRule="auto"/>
        <w:tabs>
          <w:tab w:leader="none" w:pos="380" w:val="left"/>
        </w:tabs>
        <w:numPr>
          <w:ilvl w:val="0"/>
          <w:numId w:val="76"/>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Excludes investments in PSLF.</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PennantPark Senior Loan Fund, LLC</w:t>
      </w:r>
    </w:p>
    <w:p>
      <w:pPr>
        <w:spacing w:after="0" w:line="138" w:lineRule="exact"/>
        <w:rPr>
          <w:sz w:val="20"/>
          <w:szCs w:val="20"/>
          <w:color w:val="auto"/>
        </w:rPr>
      </w:pPr>
    </w:p>
    <w:p>
      <w:pPr>
        <w:ind w:right="120" w:firstLine="438"/>
        <w:spacing w:after="0" w:line="229" w:lineRule="auto"/>
        <w:rPr>
          <w:sz w:val="20"/>
          <w:szCs w:val="20"/>
          <w:color w:val="auto"/>
        </w:rPr>
      </w:pPr>
      <w:r>
        <w:rPr>
          <w:rFonts w:ascii="Times New Roman" w:cs="Times New Roman" w:eastAsia="Times New Roman" w:hAnsi="Times New Roman"/>
          <w:sz w:val="14"/>
          <w:szCs w:val="14"/>
          <w:color w:val="auto"/>
        </w:rPr>
        <w:t>On July 31, 2020, we and Pantheon formed PSLF, an unconsolidated joint venture. PSLF invests primarily in middle-market and other corporate debt securities consistent with our strategy. PSLF was formed as a Delaware limited liability company. Pursuant to the terms of the transaction, Pantheon invested $35.0 million to acquire a 28% stake in PSLF (of which $12.5 million was paid to the Company), and we contributed our formerly wholly-owned subsidiary, Funding I, to PSLF for a 72% stake in PSLF which was valued at $96.2 million ($63.0 million of PSLF member notes and 72% of PSLF’s members’ equity). Funding I held $356.1 million of senior loans at fair value as of July 31, 2020 and had a net asset value of $133.6 million. As a result of this tax-free transaction, Funding I became a wholly-owned subsidiary of PSLF and has been deconsolidated from our financial statements which triggered a $9.2 million deconsolidation realized loss recognized in our Statement of Operations. The $9.2 million deconsolidation realized loss is comprised of $6.8 million of unrealized depreciation on the portfolio as of the transaction date and $2.4 million of additional dilution.</w:t>
      </w:r>
    </w:p>
    <w:p>
      <w:pPr>
        <w:spacing w:after="0" w:line="113" w:lineRule="exact"/>
        <w:rPr>
          <w:sz w:val="20"/>
          <w:szCs w:val="20"/>
          <w:color w:val="auto"/>
        </w:rPr>
      </w:pPr>
    </w:p>
    <w:p>
      <w:pPr>
        <w:jc w:val="both"/>
        <w:ind w:right="320" w:firstLine="438"/>
        <w:spacing w:after="0" w:line="241" w:lineRule="auto"/>
        <w:rPr>
          <w:sz w:val="20"/>
          <w:szCs w:val="20"/>
          <w:color w:val="auto"/>
        </w:rPr>
      </w:pPr>
      <w:r>
        <w:rPr>
          <w:rFonts w:ascii="Times New Roman" w:cs="Times New Roman" w:eastAsia="Times New Roman" w:hAnsi="Times New Roman"/>
          <w:sz w:val="14"/>
          <w:szCs w:val="14"/>
          <w:color w:val="auto"/>
        </w:rPr>
        <w:t>As of September 30, 2020, PSLF had total assets of $361.8 million. PSLF’s portfolio consisted of debt investments in 37 portfolio companies as of. As of September 30, 2020, at fair value, the largest investment in a single portfolio company in PSLF was $18.4 million and the five largest investments totaled $77.9 million. PSLF invests in portfolio companies in the same industries in which we may directly invest.</w:t>
      </w:r>
    </w:p>
    <w:p>
      <w:pPr>
        <w:spacing w:after="0" w:line="10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We provide capital to PSLF in the form of subordinated notes and equity interests. As of September 30, 2020, we and Pantheon owned 72% and 28%, respectively, of each of the</w:t>
      </w:r>
    </w:p>
    <w:p>
      <w:pPr>
        <w:spacing w:after="0" w:line="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outstanding subordinated notes and equity interests in PSLF. As of the same date, our investment in PSLF consisted of subordinated notes of $63.0 million and equity interests of $36.3 million.</w:t>
      </w:r>
    </w:p>
    <w:p>
      <w:pPr>
        <w:spacing w:after="0" w:line="120" w:lineRule="exact"/>
        <w:rPr>
          <w:sz w:val="20"/>
          <w:szCs w:val="20"/>
          <w:color w:val="auto"/>
        </w:rPr>
      </w:pPr>
    </w:p>
    <w:p>
      <w:pPr>
        <w:ind w:right="120" w:firstLine="438"/>
        <w:spacing w:after="0" w:line="231" w:lineRule="auto"/>
        <w:rPr>
          <w:sz w:val="20"/>
          <w:szCs w:val="20"/>
          <w:color w:val="auto"/>
        </w:rPr>
      </w:pPr>
      <w:r>
        <w:rPr>
          <w:rFonts w:ascii="Times New Roman" w:cs="Times New Roman" w:eastAsia="Times New Roman" w:hAnsi="Times New Roman"/>
          <w:sz w:val="14"/>
          <w:szCs w:val="14"/>
          <w:color w:val="auto"/>
        </w:rPr>
        <w:t>We and Pantheon each appointed two members to PSLF’s four-person Member Designees’ Committee. All material decisions with respect to PSLF, including those involving its investment portfolio, require unanimous approval of a quorum of Member Designees’ Committee. Quorum is defined as (i) the presence of two members of the Member Designees’ Committee; provided that at least one individual is present that was elected, designated or appointed by each of us and Pantheon; (ii) the presence of three members of the Member Designees’ Committee, provided that the individual that was elected, designated or appointed by each of us or Pantheon, as the case may be, with only one individual present shall be entitled to cast two votes on each matter; and (iii) the presence of four members of the Member Designees’ Committee shall constitute a quorum, provided that two individuals are present that were elected, designated or appointed by each of us or Pantheon.</w:t>
      </w:r>
    </w:p>
    <w:p>
      <w:pPr>
        <w:spacing w:after="0" w:line="110" w:lineRule="exact"/>
        <w:rPr>
          <w:sz w:val="20"/>
          <w:szCs w:val="20"/>
          <w:color w:val="auto"/>
        </w:rPr>
      </w:pPr>
    </w:p>
    <w:p>
      <w:pPr>
        <w:ind w:right="180" w:firstLine="438"/>
        <w:spacing w:after="0" w:line="261" w:lineRule="auto"/>
        <w:rPr>
          <w:sz w:val="20"/>
          <w:szCs w:val="20"/>
          <w:color w:val="auto"/>
        </w:rPr>
      </w:pPr>
      <w:r>
        <w:rPr>
          <w:rFonts w:ascii="Times New Roman" w:cs="Times New Roman" w:eastAsia="Times New Roman" w:hAnsi="Times New Roman"/>
          <w:sz w:val="14"/>
          <w:szCs w:val="14"/>
          <w:color w:val="auto"/>
        </w:rPr>
        <w:t>Additionally, PSLF has entered into a $250.0 million senior secured revolving credit facility which bears interest at LIBOR (or an alternative risk-free interest rate index) plus 260 basis points, or the PSLF Credit Facility, with BNP Paribas through its wholly-owned subsidiary, or PSLF Subsidiary, subject to leverage and borrowing base restrictions.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20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Below is a summary of PSLF’s portfolio at fair value:</w:t>
            </w:r>
          </w:p>
        </w:tc>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2"/>
        </w:trPr>
        <w:tc>
          <w:tcPr>
            <w:tcW w:w="6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September 30, 2020</w:t>
            </w:r>
          </w:p>
        </w:tc>
      </w:tr>
      <w:tr>
        <w:trPr>
          <w:trHeight w:val="155"/>
        </w:trPr>
        <w:tc>
          <w:tcPr>
            <w:tcW w:w="620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26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9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353,366,358</w:t>
            </w:r>
          </w:p>
        </w:tc>
        <w:tc>
          <w:tcPr>
            <w:tcW w:w="140" w:type="dxa"/>
            <w:vAlign w:val="bottom"/>
            <w:tcBorders>
              <w:top w:val="single" w:sz="8" w:color="CCECFF"/>
            </w:tcBorders>
            <w:shd w:val="clear" w:color="auto" w:fill="CCECFF"/>
          </w:tcPr>
          <w:p>
            <w:pPr>
              <w:spacing w:after="0"/>
              <w:rPr>
                <w:sz w:val="13"/>
                <w:szCs w:val="13"/>
                <w:color w:val="auto"/>
              </w:rPr>
            </w:pPr>
          </w:p>
        </w:tc>
      </w:tr>
      <w:tr>
        <w:trPr>
          <w:trHeight w:val="162"/>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yield on debt investments</w:t>
            </w:r>
          </w:p>
        </w:tc>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7.3%</w:t>
            </w:r>
          </w:p>
        </w:tc>
      </w:tr>
      <w:tr>
        <w:trPr>
          <w:trHeight w:val="162"/>
        </w:trPr>
        <w:tc>
          <w:tcPr>
            <w:tcW w:w="62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Number of portfolio companies in PSLF</w:t>
            </w:r>
          </w:p>
        </w:tc>
        <w:tc>
          <w:tcPr>
            <w:tcW w:w="26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40" w:type="dxa"/>
            <w:vAlign w:val="bottom"/>
            <w:shd w:val="clear" w:color="auto" w:fill="CCECFF"/>
          </w:tcPr>
          <w:p>
            <w:pPr>
              <w:spacing w:after="0"/>
              <w:rPr>
                <w:sz w:val="14"/>
                <w:szCs w:val="14"/>
                <w:color w:val="auto"/>
              </w:rPr>
            </w:pPr>
          </w:p>
        </w:tc>
      </w:tr>
      <w:tr>
        <w:trPr>
          <w:trHeight w:val="162"/>
        </w:trPr>
        <w:tc>
          <w:tcPr>
            <w:tcW w:w="6200" w:type="dxa"/>
            <w:vAlign w:val="bottom"/>
          </w:tcPr>
          <w:p>
            <w:pPr>
              <w:spacing w:after="0"/>
              <w:rPr>
                <w:sz w:val="20"/>
                <w:szCs w:val="20"/>
                <w:color w:val="auto"/>
              </w:rPr>
            </w:pPr>
            <w:r>
              <w:rPr>
                <w:rFonts w:ascii="Times New Roman" w:cs="Times New Roman" w:eastAsia="Times New Roman" w:hAnsi="Times New Roman"/>
                <w:sz w:val="14"/>
                <w:szCs w:val="14"/>
                <w:color w:val="auto"/>
              </w:rPr>
              <w:t>Largest portfolio company investment</w:t>
            </w:r>
          </w:p>
        </w:tc>
        <w:tc>
          <w:tcPr>
            <w:tcW w:w="2940" w:type="dxa"/>
            <w:vAlign w:val="bottom"/>
            <w:gridSpan w:val="2"/>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18,411,916</w:t>
            </w:r>
          </w:p>
        </w:tc>
        <w:tc>
          <w:tcPr>
            <w:tcW w:w="140" w:type="dxa"/>
            <w:vAlign w:val="bottom"/>
          </w:tcPr>
          <w:p>
            <w:pPr>
              <w:spacing w:after="0"/>
              <w:rPr>
                <w:sz w:val="14"/>
                <w:szCs w:val="14"/>
                <w:color w:val="auto"/>
              </w:rPr>
            </w:pPr>
          </w:p>
        </w:tc>
      </w:tr>
      <w:tr>
        <w:trPr>
          <w:trHeight w:val="162"/>
        </w:trPr>
        <w:tc>
          <w:tcPr>
            <w:tcW w:w="62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Total of five largest portfolio company investments</w:t>
            </w:r>
          </w:p>
        </w:tc>
        <w:tc>
          <w:tcPr>
            <w:tcW w:w="2940" w:type="dxa"/>
            <w:vAlign w:val="bottom"/>
            <w:gridSpan w:val="2"/>
            <w:shd w:val="clear" w:color="auto" w:fill="CCECFF"/>
          </w:tcPr>
          <w:p>
            <w:pPr>
              <w:jc w:val="right"/>
              <w:ind w:right="163"/>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77,896,431</w:t>
            </w:r>
          </w:p>
        </w:tc>
        <w:tc>
          <w:tcPr>
            <w:tcW w:w="140" w:type="dxa"/>
            <w:vAlign w:val="bottom"/>
            <w:shd w:val="clear" w:color="auto" w:fill="CCECFF"/>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Below is a listing of PSLF’s individual investments as of:</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Basis Point</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1"/>
        </w:trPr>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400"/>
              <w:spacing w:after="0" w:line="122" w:lineRule="exact"/>
              <w:rPr>
                <w:sz w:val="20"/>
                <w:szCs w:val="20"/>
                <w:color w:val="auto"/>
              </w:rPr>
            </w:pPr>
            <w:r>
              <w:rPr>
                <w:rFonts w:ascii="Times New Roman" w:cs="Times New Roman" w:eastAsia="Times New Roman" w:hAnsi="Times New Roman"/>
                <w:sz w:val="11"/>
                <w:szCs w:val="11"/>
                <w:b w:val="1"/>
                <w:bCs w:val="1"/>
                <w:color w:val="auto"/>
              </w:rPr>
              <w:t>Current</w:t>
            </w:r>
          </w:p>
        </w:tc>
        <w:tc>
          <w:tcPr>
            <w:tcW w:w="10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Spread Above</w:t>
            </w: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Issuer Name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Maturity</w:t>
            </w: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Industry</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Coupon</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 xml:space="preserve">Index </w:t>
            </w:r>
            <w:r>
              <w:rPr>
                <w:rFonts w:ascii="Times New Roman" w:cs="Times New Roman" w:eastAsia="Times New Roman" w:hAnsi="Times New Roman"/>
                <w:sz w:val="9"/>
                <w:szCs w:val="9"/>
                <w:b w:val="1"/>
                <w:bCs w:val="1"/>
                <w:color w:val="auto"/>
                <w:w w:val="99"/>
              </w:rPr>
              <w:t>(1)</w:t>
            </w:r>
          </w:p>
        </w:tc>
        <w:tc>
          <w:tcPr>
            <w:tcW w:w="6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rPr>
                <w:sz w:val="11"/>
                <w:szCs w:val="11"/>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9"/>
                <w:szCs w:val="9"/>
                <w:b w:val="1"/>
                <w:bCs w:val="1"/>
                <w:color w:val="auto"/>
              </w:rPr>
              <w:t>(2)</w:t>
            </w:r>
          </w:p>
        </w:tc>
      </w:tr>
      <w:tr>
        <w:trPr>
          <w:trHeight w:val="128"/>
        </w:trPr>
        <w:tc>
          <w:tcPr>
            <w:tcW w:w="3060" w:type="dxa"/>
            <w:vAlign w:val="bottom"/>
            <w:tcBorders>
              <w:top w:val="single" w:sz="8" w:color="auto"/>
            </w:tcBorders>
            <w:gridSpan w:val="2"/>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First Lien Secured Debt—701.6%</w:t>
            </w:r>
          </w:p>
        </w:tc>
        <w:tc>
          <w:tcPr>
            <w:tcW w:w="120" w:type="dxa"/>
            <w:vAlign w:val="bottom"/>
            <w:tcBorders>
              <w:top w:val="single" w:sz="8" w:color="CCECFF"/>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8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Advantage Sales &amp; Marketing</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07/23/2021</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4"/>
              </w:rPr>
              <w:t>Grocery</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4.25%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L+325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8,627,315</w:t>
            </w:r>
          </w:p>
        </w:tc>
        <w:tc>
          <w:tcPr>
            <w:tcW w:w="32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8,418,699</w:t>
            </w:r>
          </w:p>
        </w:tc>
        <w:tc>
          <w:tcPr>
            <w:tcW w:w="220" w:type="dxa"/>
            <w:vAlign w:val="bottom"/>
          </w:tcPr>
          <w:p>
            <w:pPr>
              <w:spacing w:after="0"/>
              <w:rPr>
                <w:sz w:val="11"/>
                <w:szCs w:val="11"/>
                <w:color w:val="auto"/>
              </w:rPr>
            </w:pPr>
          </w:p>
        </w:tc>
        <w:tc>
          <w:tcPr>
            <w:tcW w:w="100" w:type="dxa"/>
            <w:vAlign w:val="bottom"/>
            <w:gridSpan w:val="2"/>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8,456,926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Altamira Technologies,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971,231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ind w:right="66"/>
              <w:spacing w:after="0"/>
              <w:rPr>
                <w:sz w:val="20"/>
                <w:szCs w:val="20"/>
                <w:color w:val="auto"/>
              </w:rPr>
            </w:pPr>
            <w:r>
              <w:rPr>
                <w:rFonts w:ascii="Times New Roman" w:cs="Times New Roman" w:eastAsia="Times New Roman" w:hAnsi="Times New Roman"/>
                <w:sz w:val="11"/>
                <w:szCs w:val="11"/>
                <w:color w:val="auto"/>
              </w:rPr>
              <w:t>958,950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937,238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American Insulated Glass,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12/21/2023</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Building Materials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14,775,105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14,571,097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14,479,603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Apex Service Partners,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07/31/2025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Personal, Food and Miscellaneous Services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6,607,449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6,546,594</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6,409,225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Bazaarvoice,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02/01/2024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14,628,085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14,509,210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14,408,664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Bottom Line Systems,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02/13/2023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14,895,515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14,683,499</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Cano Health,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06/02/2025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18,274,854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18,174,687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18,411,916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Datalot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7,116,895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6,991,975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7,125,435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DRS Holdings III,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L+575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13,564,726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13,448,313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13,316,490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ECM Industries,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12/23/2025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2,873,184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2,846,226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2,858,818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Holdco Sands Intermediate,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12/19/2025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12,193,571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12,028,384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11,888,732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HW Holdco,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12/10/2024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14,619,623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14,295,375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Integrity Marketing Acquisition,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08/27/2025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Insurance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447,833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444,755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443,354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K2 Pure Solutions NoCal, L.P.</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L+700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14,737,500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14,583,983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14,413,275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Kentucky Downs,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03/07/2025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Hotels, Motels, Inns and Gaming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9.50%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L+850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10,153,350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9,978,792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10,001,050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LAV Gear Holdings,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10/31/2024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Leisure, Amusement, Motion Pictures, Entertainment</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L+750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2,015,428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1,998,623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1,856,411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Lightspeed Buyer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02/03/2026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12,598,209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12,365,207</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12,440,731</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Lombart Brothers,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04/13/2023</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16,914,403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16,770,520</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15,882,625</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MAG DS Corp.</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04/01/2027</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5,700,000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5,707,500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05/23/2024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14,076,563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13,914,921</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13,407,926</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PlayPower, Inc.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05/08/2026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Consumer Products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5.72%</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4,025,520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3,990,631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3,824,244</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Radius Aerospace,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03/31/2025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13,779,429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13,608,176</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13,503,840</w:t>
            </w:r>
          </w:p>
        </w:tc>
        <w:tc>
          <w:tcPr>
            <w:tcW w:w="120" w:type="dxa"/>
            <w:vAlign w:val="bottom"/>
            <w:shd w:val="clear" w:color="auto" w:fill="CCECFF"/>
          </w:tcPr>
          <w:p>
            <w:pPr>
              <w:spacing w:after="0"/>
              <w:rPr>
                <w:sz w:val="11"/>
                <w:szCs w:val="11"/>
                <w:color w:val="auto"/>
              </w:rPr>
            </w:pPr>
          </w:p>
        </w:tc>
      </w:tr>
      <w:tr>
        <w:trPr>
          <w:trHeight w:val="121"/>
        </w:trPr>
        <w:tc>
          <w:tcPr>
            <w:tcW w:w="31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color w:val="auto"/>
              </w:rPr>
              <w:t>Research Now Group, Inc. and Survey</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18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Sampling International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14,847,328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14,728,854</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14,023,302</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Healthcare, Education and Childcare</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1,958,417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1,905,678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Sales Benchmark Index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01/03/2025</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Business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7.75%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L+600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7,887,195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7,748,712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7,697,903</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Sargent &amp; Greenleaf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12/20/2024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rPr>
              <w:t>Electronics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7.00%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5,448,483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5,378,893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5,350,411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Signature Systems Holding Company</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05/03/2024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Chemicals, Plastics and Rubber</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7.50%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L+650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14,096,623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13,786,875</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Solutionreach, Inc.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01/17/2024</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8"/>
              </w:rPr>
              <w:t>Communications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6.75%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L+575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12,531,123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12,351,398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12,393,282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STV Group Incorporated</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12/11/2026</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5.40%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12,351,980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12,238,771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12,228,460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TeleGuam Holdings,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11/20/2025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Telecommunications</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L+450</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5,080,832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5,034,725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4,928,407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Teneo Holdings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07/18/2025</w:t>
            </w:r>
          </w:p>
        </w:tc>
        <w:tc>
          <w:tcPr>
            <w:tcW w:w="120" w:type="dxa"/>
            <w:vAlign w:val="bottom"/>
          </w:tcPr>
          <w:p>
            <w:pPr>
              <w:spacing w:after="0"/>
              <w:rPr>
                <w:sz w:val="11"/>
                <w:szCs w:val="11"/>
                <w:color w:val="auto"/>
              </w:rPr>
            </w:pPr>
          </w:p>
        </w:tc>
        <w:tc>
          <w:tcPr>
            <w:tcW w:w="27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Financial Services</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L+525</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1,874,970</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1,905,750</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TPC Canada Parent, Inc. and TPC US Parent, LLC</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11/24/2025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Times New Roman" w:cs="Times New Roman" w:eastAsia="Times New Roman" w:hAnsi="Times New Roman"/>
                <w:sz w:val="11"/>
                <w:szCs w:val="11"/>
                <w:color w:val="auto"/>
                <w:w w:val="97"/>
              </w:rPr>
              <w:t>Food</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6.25%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3M L+525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5,650,076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5,593,575</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5,480,573</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TVC Enterprises,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01/18/2024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Transportation</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6.50%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1M L+550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14,547,897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14,343,185</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14,438,788</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06/16/2025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8"/>
              </w:rPr>
              <w:t>Education</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8,644,186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8,469,082</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8,471,302</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UBEO, LLC</w:t>
            </w: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04/03/2024</w:t>
            </w:r>
          </w:p>
        </w:tc>
        <w:tc>
          <w:tcPr>
            <w:tcW w:w="12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Printing and Publishing</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5.50%</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3M L+450</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4,738,102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4,700,032</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4,453,816</w:t>
            </w: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1"/>
                <w:szCs w:val="11"/>
                <w:color w:val="auto"/>
                <w:w w:val="95"/>
              </w:rPr>
              <w:t>06/10/2025</w:t>
            </w:r>
          </w:p>
        </w:tc>
        <w:tc>
          <w:tcPr>
            <w:tcW w:w="12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Media</w:t>
            </w:r>
          </w:p>
        </w:tc>
        <w:tc>
          <w:tcPr>
            <w:tcW w:w="86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1"/>
                <w:szCs w:val="11"/>
                <w:color w:val="auto"/>
              </w:rPr>
              <w:t>7.25%</w:t>
            </w:r>
          </w:p>
        </w:tc>
        <w:tc>
          <w:tcPr>
            <w:tcW w:w="1000" w:type="dxa"/>
            <w:vAlign w:val="bottom"/>
            <w:gridSpan w:val="2"/>
            <w:shd w:val="clear" w:color="auto" w:fill="CCECFF"/>
          </w:tcPr>
          <w:p>
            <w:pPr>
              <w:ind w:left="400"/>
              <w:spacing w:after="0"/>
              <w:rPr>
                <w:sz w:val="20"/>
                <w:szCs w:val="20"/>
                <w:color w:val="auto"/>
              </w:rPr>
            </w:pPr>
            <w:r>
              <w:rPr>
                <w:rFonts w:ascii="Times New Roman" w:cs="Times New Roman" w:eastAsia="Times New Roman" w:hAnsi="Times New Roman"/>
                <w:sz w:val="11"/>
                <w:szCs w:val="11"/>
                <w:color w:val="auto"/>
              </w:rPr>
              <w:t>1M L+625</w:t>
            </w:r>
          </w:p>
        </w:tc>
        <w:tc>
          <w:tcPr>
            <w:tcW w:w="6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14,358,203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14,112,113</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13,496,711</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1"/>
                <w:szCs w:val="11"/>
                <w:color w:val="auto"/>
                <w:w w:val="95"/>
              </w:rPr>
              <w:t>10/18/2022</w:t>
            </w:r>
          </w:p>
        </w:tc>
        <w:tc>
          <w:tcPr>
            <w:tcW w:w="12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8.50%</w:t>
            </w:r>
          </w:p>
        </w:tc>
        <w:tc>
          <w:tcPr>
            <w:tcW w:w="1000" w:type="dxa"/>
            <w:vAlign w:val="bottom"/>
            <w:tcBorders>
              <w:bottom w:val="single" w:sz="8" w:color="CCECFF"/>
            </w:tcBorders>
            <w:gridSpan w:val="2"/>
          </w:tcPr>
          <w:p>
            <w:pPr>
              <w:ind w:left="400"/>
              <w:spacing w:after="0"/>
              <w:rPr>
                <w:sz w:val="20"/>
                <w:szCs w:val="20"/>
                <w:color w:val="auto"/>
              </w:rPr>
            </w:pPr>
            <w:r>
              <w:rPr>
                <w:rFonts w:ascii="Times New Roman" w:cs="Times New Roman" w:eastAsia="Times New Roman" w:hAnsi="Times New Roman"/>
                <w:sz w:val="11"/>
                <w:szCs w:val="11"/>
                <w:color w:val="auto"/>
              </w:rPr>
              <w:t>1M L+750</w:t>
            </w:r>
          </w:p>
        </w:tc>
        <w:tc>
          <w:tcPr>
            <w:tcW w:w="680" w:type="dxa"/>
            <w:vAlign w:val="bottom"/>
            <w:tcBorders>
              <w:bottom w:val="single" w:sz="8" w:color="CCECFF"/>
            </w:tcBorders>
          </w:tcPr>
          <w:p>
            <w:pPr>
              <w:jc w:val="right"/>
              <w:spacing w:after="0"/>
              <w:rPr>
                <w:sz w:val="20"/>
                <w:szCs w:val="20"/>
                <w:color w:val="auto"/>
              </w:rPr>
            </w:pPr>
            <w:r>
              <w:rPr>
                <w:rFonts w:ascii="Times New Roman" w:cs="Times New Roman" w:eastAsia="Times New Roman" w:hAnsi="Times New Roman"/>
                <w:sz w:val="11"/>
                <w:szCs w:val="11"/>
                <w:color w:val="auto"/>
              </w:rPr>
              <w:t>14,194,162</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14,029,177</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14,052,223</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358,023,408</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353,366,358</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Cash and Cash Equivalents—26.9%</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color w:val="auto"/>
              </w:rPr>
              <w:t>BlackRock Federal FD Institutional 30</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7,353,307</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7,353,307</w:t>
            </w:r>
          </w:p>
        </w:tc>
        <w:tc>
          <w:tcPr>
            <w:tcW w:w="120" w:type="dxa"/>
            <w:vAlign w:val="bottom"/>
            <w:shd w:val="clear" w:color="auto" w:fill="CCECFF"/>
          </w:tcPr>
          <w:p>
            <w:pPr>
              <w:spacing w:after="0"/>
              <w:rPr>
                <w:sz w:val="11"/>
                <w:szCs w:val="11"/>
                <w:color w:val="auto"/>
              </w:rPr>
            </w:pPr>
          </w:p>
        </w:tc>
      </w:tr>
      <w:tr>
        <w:trPr>
          <w:trHeight w:val="135"/>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color w:val="auto"/>
              </w:rPr>
              <w:t>US Bank Cash</w:t>
            </w:r>
          </w:p>
        </w:tc>
        <w:tc>
          <w:tcPr>
            <w:tcW w:w="6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8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183,412</w:t>
            </w:r>
          </w:p>
        </w:tc>
        <w:tc>
          <w:tcPr>
            <w:tcW w:w="220" w:type="dxa"/>
            <w:vAlign w:val="bottom"/>
            <w:tcBorders>
              <w:bottom w:val="single" w:sz="8" w:color="CCECFF"/>
            </w:tcBorders>
          </w:tcPr>
          <w:p>
            <w:pPr>
              <w:spacing w:after="0"/>
              <w:rPr>
                <w:sz w:val="11"/>
                <w:szCs w:val="11"/>
                <w:color w:val="auto"/>
              </w:rPr>
            </w:pPr>
          </w:p>
        </w:tc>
        <w:tc>
          <w:tcPr>
            <w:tcW w:w="2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183,412</w:t>
            </w:r>
          </w:p>
        </w:tc>
        <w:tc>
          <w:tcPr>
            <w:tcW w:w="120" w:type="dxa"/>
            <w:vAlign w:val="bottom"/>
            <w:tcBorders>
              <w:bottom w:val="single" w:sz="8" w:color="CCECFF"/>
            </w:tcBorders>
          </w:tcPr>
          <w:p>
            <w:pPr>
              <w:spacing w:after="0"/>
              <w:rPr>
                <w:sz w:val="11"/>
                <w:szCs w:val="11"/>
                <w:color w:val="auto"/>
              </w:rPr>
            </w:pPr>
          </w:p>
        </w:tc>
      </w:tr>
      <w:tr>
        <w:trPr>
          <w:trHeight w:val="128"/>
        </w:trPr>
        <w:tc>
          <w:tcPr>
            <w:tcW w:w="318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1"/>
                <w:szCs w:val="11"/>
                <w:b w:val="1"/>
                <w:bCs w:val="1"/>
                <w:color w:val="auto"/>
              </w:rPr>
              <w:t>Total Cash and Cash Equivalents</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8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7,536,719</w:t>
            </w:r>
          </w:p>
        </w:tc>
        <w:tc>
          <w:tcPr>
            <w:tcW w:w="220" w:type="dxa"/>
            <w:vAlign w:val="bottom"/>
            <w:shd w:val="clear" w:color="auto" w:fill="CCECFF"/>
          </w:tcPr>
          <w:p>
            <w:pPr>
              <w:spacing w:after="0"/>
              <w:rPr>
                <w:sz w:val="11"/>
                <w:szCs w:val="11"/>
                <w:color w:val="auto"/>
              </w:rPr>
            </w:pPr>
          </w:p>
        </w:tc>
        <w:tc>
          <w:tcPr>
            <w:tcW w:w="2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rPr>
              <w:t>7,536,719</w:t>
            </w:r>
          </w:p>
        </w:tc>
        <w:tc>
          <w:tcPr>
            <w:tcW w:w="120" w:type="dxa"/>
            <w:vAlign w:val="bottom"/>
            <w:shd w:val="clear" w:color="auto" w:fill="CCECFF"/>
          </w:tcPr>
          <w:p>
            <w:pPr>
              <w:spacing w:after="0"/>
              <w:rPr>
                <w:sz w:val="11"/>
                <w:szCs w:val="11"/>
                <w:color w:val="auto"/>
              </w:rPr>
            </w:pPr>
          </w:p>
        </w:tc>
      </w:tr>
      <w:tr>
        <w:trPr>
          <w:trHeight w:val="169"/>
        </w:trPr>
        <w:tc>
          <w:tcPr>
            <w:tcW w:w="318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1"/>
                <w:szCs w:val="11"/>
                <w:b w:val="1"/>
                <w:bCs w:val="1"/>
                <w:color w:val="auto"/>
              </w:rPr>
              <w:t>Total Investments and Cash Equivalents—1,141.9%</w:t>
            </w:r>
          </w:p>
        </w:tc>
        <w:tc>
          <w:tcPr>
            <w:tcW w:w="64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2620" w:type="dxa"/>
            <w:vAlign w:val="bottom"/>
            <w:tcBorders>
              <w:bottom w:val="single" w:sz="8" w:color="CCECFF"/>
            </w:tcBorders>
          </w:tcPr>
          <w:p>
            <w:pPr>
              <w:spacing w:after="0"/>
              <w:rPr>
                <w:sz w:val="14"/>
                <w:szCs w:val="14"/>
                <w:color w:val="auto"/>
              </w:rPr>
            </w:pPr>
          </w:p>
        </w:tc>
        <w:tc>
          <w:tcPr>
            <w:tcW w:w="140" w:type="dxa"/>
            <w:vAlign w:val="bottom"/>
            <w:tcBorders>
              <w:bottom w:val="single" w:sz="8" w:color="CCECFF"/>
            </w:tcBorders>
          </w:tcPr>
          <w:p>
            <w:pPr>
              <w:spacing w:after="0"/>
              <w:rPr>
                <w:sz w:val="14"/>
                <w:szCs w:val="14"/>
                <w:color w:val="auto"/>
              </w:rPr>
            </w:pPr>
          </w:p>
        </w:tc>
        <w:tc>
          <w:tcPr>
            <w:tcW w:w="580" w:type="dxa"/>
            <w:vAlign w:val="bottom"/>
            <w:tcBorders>
              <w:bottom w:val="single" w:sz="8" w:color="CCECFF"/>
            </w:tcBorders>
          </w:tcPr>
          <w:p>
            <w:pPr>
              <w:spacing w:after="0"/>
              <w:rPr>
                <w:sz w:val="14"/>
                <w:szCs w:val="14"/>
                <w:color w:val="auto"/>
              </w:rPr>
            </w:pPr>
          </w:p>
        </w:tc>
        <w:tc>
          <w:tcPr>
            <w:tcW w:w="280" w:type="dxa"/>
            <w:vAlign w:val="bottom"/>
            <w:tcBorders>
              <w:bottom w:val="single" w:sz="8" w:color="CCECFF"/>
            </w:tcBorders>
          </w:tcPr>
          <w:p>
            <w:pPr>
              <w:spacing w:after="0"/>
              <w:rPr>
                <w:sz w:val="14"/>
                <w:szCs w:val="14"/>
                <w:color w:val="auto"/>
              </w:rPr>
            </w:pPr>
          </w:p>
        </w:tc>
        <w:tc>
          <w:tcPr>
            <w:tcW w:w="88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680" w:type="dxa"/>
            <w:vAlign w:val="bottom"/>
            <w:tcBorders>
              <w:bottom w:val="single" w:sz="8" w:color="CCECFF"/>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365,560,127</w:t>
            </w:r>
          </w:p>
        </w:tc>
        <w:tc>
          <w:tcPr>
            <w:tcW w:w="22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360,903,077</w:t>
            </w:r>
          </w:p>
        </w:tc>
        <w:tc>
          <w:tcPr>
            <w:tcW w:w="120" w:type="dxa"/>
            <w:vAlign w:val="bottom"/>
            <w:tcBorders>
              <w:bottom w:val="single" w:sz="8" w:color="CCECFF"/>
            </w:tcBorders>
          </w:tcPr>
          <w:p>
            <w:pPr>
              <w:spacing w:after="0"/>
              <w:rPr>
                <w:sz w:val="14"/>
                <w:szCs w:val="14"/>
                <w:color w:val="auto"/>
              </w:rPr>
            </w:pPr>
          </w:p>
        </w:tc>
      </w:tr>
      <w:tr>
        <w:trPr>
          <w:trHeight w:val="115"/>
        </w:trPr>
        <w:tc>
          <w:tcPr>
            <w:tcW w:w="3180" w:type="dxa"/>
            <w:vAlign w:val="bottom"/>
            <w:gridSpan w:val="3"/>
            <w:shd w:val="clear" w:color="auto" w:fill="CCECFF"/>
          </w:tcPr>
          <w:p>
            <w:pPr>
              <w:spacing w:after="0" w:line="116" w:lineRule="exact"/>
              <w:rPr>
                <w:sz w:val="20"/>
                <w:szCs w:val="20"/>
                <w:color w:val="auto"/>
              </w:rPr>
            </w:pPr>
            <w:r>
              <w:rPr>
                <w:rFonts w:ascii="Times New Roman" w:cs="Times New Roman" w:eastAsia="Times New Roman" w:hAnsi="Times New Roman"/>
                <w:sz w:val="11"/>
                <w:szCs w:val="11"/>
                <w:b w:val="1"/>
                <w:bCs w:val="1"/>
                <w:color w:val="auto"/>
              </w:rPr>
              <w:t>Liabilities in Excess of Other Assets—(1,041.9)%</w:t>
            </w:r>
          </w:p>
        </w:tc>
        <w:tc>
          <w:tcPr>
            <w:tcW w:w="64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8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0" w:type="dxa"/>
            <w:vAlign w:val="bottom"/>
            <w:shd w:val="clear" w:color="auto" w:fill="CCECFF"/>
          </w:tcPr>
          <w:p>
            <w:pPr>
              <w:spacing w:after="0"/>
              <w:rPr>
                <w:sz w:val="10"/>
                <w:szCs w:val="10"/>
                <w:color w:val="auto"/>
              </w:rPr>
            </w:pPr>
          </w:p>
        </w:tc>
        <w:tc>
          <w:tcPr>
            <w:tcW w:w="80" w:type="dxa"/>
            <w:vAlign w:val="bottom"/>
            <w:tcBorders>
              <w:bottom w:val="single" w:sz="8" w:color="auto"/>
            </w:tcBorders>
            <w:shd w:val="clear" w:color="auto" w:fill="CCECFF"/>
          </w:tcPr>
          <w:p>
            <w:pPr>
              <w:spacing w:after="0"/>
              <w:rPr>
                <w:sz w:val="10"/>
                <w:szCs w:val="10"/>
                <w:color w:val="auto"/>
              </w:rPr>
            </w:pPr>
          </w:p>
        </w:tc>
        <w:tc>
          <w:tcPr>
            <w:tcW w:w="640" w:type="dxa"/>
            <w:vAlign w:val="bottom"/>
            <w:tcBorders>
              <w:bottom w:val="single" w:sz="8" w:color="auto"/>
            </w:tcBorders>
            <w:shd w:val="clear" w:color="auto" w:fill="CCECFF"/>
          </w:tcPr>
          <w:p>
            <w:pPr>
              <w:jc w:val="right"/>
              <w:spacing w:after="0" w:line="116" w:lineRule="exact"/>
              <w:rPr>
                <w:sz w:val="20"/>
                <w:szCs w:val="20"/>
                <w:color w:val="auto"/>
              </w:rPr>
            </w:pPr>
            <w:r>
              <w:rPr>
                <w:rFonts w:ascii="Times New Roman" w:cs="Times New Roman" w:eastAsia="Times New Roman" w:hAnsi="Times New Roman"/>
                <w:sz w:val="11"/>
                <w:szCs w:val="11"/>
                <w:color w:val="auto"/>
                <w:w w:val="99"/>
              </w:rPr>
              <w:t>(310,538,386)</w:t>
            </w:r>
          </w:p>
        </w:tc>
        <w:tc>
          <w:tcPr>
            <w:tcW w:w="120" w:type="dxa"/>
            <w:vAlign w:val="bottom"/>
            <w:shd w:val="clear" w:color="auto" w:fill="CCECFF"/>
          </w:tcPr>
          <w:p>
            <w:pPr>
              <w:spacing w:after="0"/>
              <w:rPr>
                <w:sz w:val="10"/>
                <w:szCs w:val="10"/>
                <w:color w:val="auto"/>
              </w:rPr>
            </w:pPr>
          </w:p>
        </w:tc>
      </w:tr>
      <w:tr>
        <w:trPr>
          <w:trHeight w:val="128"/>
        </w:trPr>
        <w:tc>
          <w:tcPr>
            <w:tcW w:w="31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Members' Equity—100.0%</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50,364,691</w:t>
            </w:r>
          </w:p>
        </w:tc>
        <w:tc>
          <w:tcPr>
            <w:tcW w:w="120" w:type="dxa"/>
            <w:vAlign w:val="bottom"/>
          </w:tcPr>
          <w:p>
            <w:pPr>
              <w:spacing w:after="0"/>
              <w:rPr>
                <w:sz w:val="11"/>
                <w:szCs w:val="11"/>
                <w:color w:val="auto"/>
              </w:rPr>
            </w:pPr>
          </w:p>
        </w:tc>
      </w:tr>
      <w:tr>
        <w:trPr>
          <w:trHeight w:val="20"/>
        </w:trPr>
        <w:tc>
          <w:tcPr>
            <w:tcW w:w="2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
        </w:trPr>
        <w:tc>
          <w:tcPr>
            <w:tcW w:w="21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 w:lineRule="exact"/>
        <w:rPr>
          <w:sz w:val="20"/>
          <w:szCs w:val="20"/>
          <w:color w:val="auto"/>
        </w:rPr>
      </w:pPr>
    </w:p>
    <w:p>
      <w:pPr>
        <w:ind w:left="380" w:right="60" w:hanging="372"/>
        <w:spacing w:after="0" w:line="199" w:lineRule="auto"/>
        <w:tabs>
          <w:tab w:leader="none" w:pos="380" w:val="left"/>
        </w:tabs>
        <w:numPr>
          <w:ilvl w:val="0"/>
          <w:numId w:val="77"/>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25" w:lineRule="auto"/>
        <w:tabs>
          <w:tab w:leader="none" w:pos="380" w:val="left"/>
        </w:tabs>
        <w:numPr>
          <w:ilvl w:val="0"/>
          <w:numId w:val="77"/>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Valued based on PSLF’s accounting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160" w:type="dxa"/>
            <w:vAlign w:val="bottom"/>
            <w:gridSpan w:val="3"/>
          </w:tcPr>
          <w:p>
            <w:pPr>
              <w:jc w:val="center"/>
              <w:ind w:right="1123"/>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160" w:type="dxa"/>
            <w:vAlign w:val="bottom"/>
            <w:gridSpan w:val="3"/>
          </w:tcPr>
          <w:p>
            <w:pPr>
              <w:jc w:val="center"/>
              <w:ind w:right="1123"/>
              <w:spacing w:after="0" w:line="149" w:lineRule="exact"/>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60" w:type="dxa"/>
            <w:vAlign w:val="bottom"/>
            <w:gridSpan w:val="3"/>
          </w:tcPr>
          <w:p>
            <w:pPr>
              <w:jc w:val="center"/>
              <w:ind w:right="1123"/>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9"/>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Below is the financial information for PSLF:</w:t>
            </w: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60" w:type="dxa"/>
            <w:vAlign w:val="bottom"/>
            <w:gridSpan w:val="3"/>
          </w:tcPr>
          <w:p>
            <w:pPr>
              <w:jc w:val="right"/>
              <w:ind w:right="2583"/>
              <w:spacing w:after="0"/>
              <w:rPr>
                <w:sz w:val="20"/>
                <w:szCs w:val="20"/>
                <w:color w:val="auto"/>
              </w:rPr>
            </w:pPr>
            <w:r>
              <w:rPr>
                <w:rFonts w:ascii="Times New Roman" w:cs="Times New Roman" w:eastAsia="Times New Roman" w:hAnsi="Times New Roman"/>
                <w:sz w:val="14"/>
                <w:szCs w:val="14"/>
                <w:b w:val="1"/>
                <w:bCs w:val="1"/>
                <w:color w:val="auto"/>
              </w:rPr>
              <w:t>Statements of Assets and Liabilities</w:t>
            </w:r>
          </w:p>
        </w:tc>
        <w:tc>
          <w:tcPr>
            <w:tcW w:w="1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0" w:type="dxa"/>
            <w:vAlign w:val="bottom"/>
          </w:tcPr>
          <w:p>
            <w:pPr>
              <w:spacing w:after="0"/>
              <w:rPr>
                <w:sz w:val="1"/>
                <w:szCs w:val="1"/>
                <w:color w:val="auto"/>
              </w:rPr>
            </w:pPr>
          </w:p>
        </w:tc>
      </w:tr>
      <w:tr>
        <w:trPr>
          <w:trHeight w:val="162"/>
        </w:trPr>
        <w:tc>
          <w:tcPr>
            <w:tcW w:w="3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140" w:type="dxa"/>
            <w:vAlign w:val="bottom"/>
            <w:gridSpan w:val="2"/>
            <w:vMerge w:val="continue"/>
          </w:tcPr>
          <w:p>
            <w:pPr>
              <w:spacing w:after="0"/>
              <w:rPr>
                <w:sz w:val="12"/>
                <w:szCs w:val="12"/>
                <w:color w:val="auto"/>
              </w:rPr>
            </w:pPr>
          </w:p>
        </w:tc>
        <w:tc>
          <w:tcPr>
            <w:tcW w:w="5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Investments at fair value (cost—$358,023,408)</w:t>
            </w:r>
          </w:p>
        </w:tc>
        <w:tc>
          <w:tcPr>
            <w:tcW w:w="6160" w:type="dxa"/>
            <w:vAlign w:val="bottom"/>
            <w:gridSpan w:val="3"/>
            <w:shd w:val="clear" w:color="auto" w:fill="CCECFF"/>
          </w:tcPr>
          <w:p>
            <w:pPr>
              <w:jc w:val="right"/>
              <w:ind w:right="123"/>
              <w:spacing w:after="0"/>
              <w:rPr>
                <w:sz w:val="20"/>
                <w:szCs w:val="20"/>
                <w:color w:val="auto"/>
              </w:rPr>
            </w:pPr>
            <w:r>
              <w:rPr>
                <w:rFonts w:ascii="Times New Roman" w:cs="Times New Roman" w:eastAsia="Times New Roman" w:hAnsi="Times New Roman"/>
                <w:sz w:val="14"/>
                <w:szCs w:val="14"/>
                <w:color w:val="auto"/>
              </w:rPr>
              <w:t>$</w:t>
            </w:r>
          </w:p>
        </w:tc>
        <w:tc>
          <w:tcPr>
            <w:tcW w:w="1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353,366,358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 (cost—$7,536,719)</w:t>
            </w: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7,536,719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59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8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877,008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tcBorders>
              <w:bottom w:val="single" w:sz="8" w:color="CCECFF"/>
            </w:tcBorders>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59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361,780,085</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59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Distribution payable</w:t>
            </w: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1,393,716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Payable for investments purchased</w:t>
            </w:r>
          </w:p>
        </w:tc>
        <w:tc>
          <w:tcPr>
            <w:tcW w:w="59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5,700,000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Credit facility payable</w:t>
            </w: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Notes payable to members</w:t>
            </w:r>
          </w:p>
        </w:tc>
        <w:tc>
          <w:tcPr>
            <w:tcW w:w="59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payable on credit facility</w:t>
            </w: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1,649,852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Interest payable on members notes</w:t>
            </w:r>
          </w:p>
        </w:tc>
        <w:tc>
          <w:tcPr>
            <w:tcW w:w="59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1,356,250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Accrued other expenses</w:t>
            </w:r>
          </w:p>
        </w:tc>
        <w:tc>
          <w:tcPr>
            <w:tcW w:w="590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315,576</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140" w:type="dxa"/>
            <w:vAlign w:val="bottom"/>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59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8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311,415,394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40" w:type="dxa"/>
            <w:vAlign w:val="bottom"/>
            <w:tcBorders>
              <w:bottom w:val="single" w:sz="8" w:color="CCECFF"/>
            </w:tcBorders>
            <w:gridSpan w:val="2"/>
          </w:tcPr>
          <w:p>
            <w:pPr>
              <w:spacing w:after="0" w:line="155" w:lineRule="exact"/>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2"/>
                <w:szCs w:val="12"/>
                <w:color w:val="auto"/>
              </w:rPr>
              <w:t>(1)</w:t>
            </w:r>
          </w:p>
        </w:tc>
        <w:tc>
          <w:tcPr>
            <w:tcW w:w="59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40" w:type="dxa"/>
            <w:vAlign w:val="bottom"/>
            <w:gridSpan w:val="2"/>
            <w:shd w:val="clear" w:color="auto" w:fill="CCECFF"/>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Members' equity</w:t>
            </w:r>
          </w:p>
        </w:tc>
        <w:tc>
          <w:tcPr>
            <w:tcW w:w="59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84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50,364,691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140" w:type="dxa"/>
            <w:vAlign w:val="bottom"/>
            <w:gridSpan w:val="2"/>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Total liabilities and members' equity</w:t>
            </w:r>
          </w:p>
        </w:tc>
        <w:tc>
          <w:tcPr>
            <w:tcW w:w="5920" w:type="dxa"/>
            <w:vAlign w:val="bottom"/>
            <w:gridSpan w:val="2"/>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361,780,085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9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9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7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As of September 30, 2020, PSLF did not have any unfunded commitments to fund investments.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780" w:type="dxa"/>
            <w:vAlign w:val="bottom"/>
            <w:gridSpan w:val="3"/>
          </w:tcPr>
          <w:p>
            <w:pPr>
              <w:jc w:val="right"/>
              <w:ind w:right="2443"/>
              <w:spacing w:after="0"/>
              <w:rPr>
                <w:sz w:val="20"/>
                <w:szCs w:val="20"/>
                <w:color w:val="auto"/>
              </w:rPr>
            </w:pPr>
            <w:r>
              <w:rPr>
                <w:rFonts w:ascii="Times New Roman" w:cs="Times New Roman" w:eastAsia="Times New Roman" w:hAnsi="Times New Roman"/>
                <w:sz w:val="14"/>
                <w:szCs w:val="14"/>
                <w:b w:val="1"/>
                <w:bCs w:val="1"/>
                <w:color w:val="auto"/>
              </w:rPr>
              <w:t xml:space="preserve">Statements of Operations </w:t>
            </w:r>
            <w:r>
              <w:rPr>
                <w:rFonts w:ascii="Times New Roman" w:cs="Times New Roman" w:eastAsia="Times New Roman" w:hAnsi="Times New Roman"/>
                <w:sz w:val="12"/>
                <w:szCs w:val="12"/>
                <w:b w:val="1"/>
                <w:bCs w:val="1"/>
                <w:color w:val="auto"/>
              </w:rPr>
              <w:t>(1)</w:t>
            </w:r>
          </w:p>
        </w:tc>
        <w:tc>
          <w:tcPr>
            <w:tcW w:w="2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Period Ended September 30,</w:t>
            </w:r>
          </w:p>
        </w:tc>
        <w:tc>
          <w:tcPr>
            <w:tcW w:w="0" w:type="dxa"/>
            <w:vAlign w:val="bottom"/>
          </w:tcPr>
          <w:p>
            <w:pPr>
              <w:spacing w:after="0"/>
              <w:rPr>
                <w:sz w:val="1"/>
                <w:szCs w:val="1"/>
                <w:color w:val="auto"/>
              </w:rPr>
            </w:pPr>
          </w:p>
        </w:tc>
      </w:tr>
      <w:tr>
        <w:trPr>
          <w:trHeight w:val="145"/>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40" w:type="dxa"/>
            <w:vAlign w:val="bottom"/>
            <w:tcBorders>
              <w:bottom w:val="single" w:sz="8" w:color="CCECFF"/>
            </w:tcBorders>
          </w:tcPr>
          <w:p>
            <w:pPr>
              <w:spacing w:after="0"/>
              <w:rPr>
                <w:sz w:val="13"/>
                <w:szCs w:val="13"/>
                <w:color w:val="auto"/>
              </w:rPr>
            </w:pPr>
          </w:p>
        </w:tc>
        <w:tc>
          <w:tcPr>
            <w:tcW w:w="1200" w:type="dxa"/>
            <w:vAlign w:val="bottom"/>
            <w:tcBorders>
              <w:bottom w:val="single" w:sz="8" w:color="CCECFF"/>
            </w:tcBorders>
          </w:tcPr>
          <w:p>
            <w:pPr>
              <w:spacing w:after="0"/>
              <w:rPr>
                <w:sz w:val="13"/>
                <w:szCs w:val="13"/>
                <w:color w:val="auto"/>
              </w:rPr>
            </w:pPr>
          </w:p>
        </w:tc>
        <w:tc>
          <w:tcPr>
            <w:tcW w:w="46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200" w:type="dxa"/>
            <w:vAlign w:val="bottom"/>
            <w:tcBorders>
              <w:top w:val="single" w:sz="8" w:color="auto"/>
              <w:bottom w:val="single" w:sz="8" w:color="auto"/>
            </w:tcBorders>
          </w:tcPr>
          <w:p>
            <w:pPr>
              <w:jc w:val="right"/>
              <w:ind w:right="9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Investment income:</w:t>
            </w:r>
          </w:p>
        </w:tc>
        <w:tc>
          <w:tcPr>
            <w:tcW w:w="46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w:t>
            </w:r>
          </w:p>
        </w:tc>
        <w:tc>
          <w:tcPr>
            <w:tcW w:w="4780" w:type="dxa"/>
            <w:vAlign w:val="bottom"/>
            <w:gridSpan w:val="3"/>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4,504,788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Other income</w:t>
            </w:r>
          </w:p>
        </w:tc>
        <w:tc>
          <w:tcPr>
            <w:tcW w:w="46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2,444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46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4,507,232</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46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2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Interest and expenses on credit facility</w:t>
            </w: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1,039,327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Interest expense on members notes</w:t>
            </w:r>
          </w:p>
        </w:tc>
        <w:tc>
          <w:tcPr>
            <w:tcW w:w="46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1,356,250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Administrative services expenses</w:t>
            </w: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195,310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ind w:left="260"/>
              <w:spacing w:after="0"/>
              <w:rPr>
                <w:sz w:val="20"/>
                <w:szCs w:val="20"/>
                <w:color w:val="auto"/>
              </w:rPr>
            </w:pPr>
            <w:r>
              <w:rPr>
                <w:rFonts w:ascii="Times New Roman" w:cs="Times New Roman" w:eastAsia="Times New Roman" w:hAnsi="Times New Roman"/>
                <w:sz w:val="14"/>
                <w:szCs w:val="14"/>
                <w:color w:val="auto"/>
              </w:rPr>
              <w:t xml:space="preserve">Other general and administrative expenses </w:t>
            </w:r>
            <w:r>
              <w:rPr>
                <w:rFonts w:ascii="Times New Roman" w:cs="Times New Roman" w:eastAsia="Times New Roman" w:hAnsi="Times New Roman"/>
                <w:sz w:val="12"/>
                <w:szCs w:val="12"/>
                <w:color w:val="auto"/>
              </w:rPr>
              <w:t>(2)</w:t>
            </w:r>
          </w:p>
        </w:tc>
        <w:tc>
          <w:tcPr>
            <w:tcW w:w="46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22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120,266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CECFF"/>
            </w:tcBorders>
            <w:gridSpan w:val="2"/>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46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2,711,153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CECFF"/>
          </w:tcPr>
          <w:p>
            <w:pPr>
              <w:ind w:left="260"/>
              <w:spacing w:after="0" w:line="155" w:lineRule="exact"/>
              <w:rPr>
                <w:sz w:val="20"/>
                <w:szCs w:val="20"/>
                <w:color w:val="auto"/>
              </w:rPr>
            </w:pPr>
            <w:r>
              <w:rPr>
                <w:rFonts w:ascii="Times New Roman" w:cs="Times New Roman" w:eastAsia="Times New Roman" w:hAnsi="Times New Roman"/>
                <w:sz w:val="14"/>
                <w:szCs w:val="14"/>
                <w:b w:val="1"/>
                <w:bCs w:val="1"/>
                <w:color w:val="auto"/>
              </w:rPr>
              <w:t>Net investment income</w:t>
            </w:r>
          </w:p>
        </w:tc>
        <w:tc>
          <w:tcPr>
            <w:tcW w:w="46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2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1,796,079</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1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Realized and unrealized gain on investments:</w:t>
            </w:r>
          </w:p>
        </w:tc>
        <w:tc>
          <w:tcPr>
            <w:tcW w:w="4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14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gain on investments</w:t>
            </w:r>
          </w:p>
        </w:tc>
        <w:tc>
          <w:tcPr>
            <w:tcW w:w="46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254,653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Net change in unrealized appreciation on investments</w:t>
            </w:r>
          </w:p>
        </w:tc>
        <w:tc>
          <w:tcPr>
            <w:tcW w:w="460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2,173,436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realized and unrealized gain from investments</w:t>
            </w:r>
          </w:p>
        </w:tc>
        <w:tc>
          <w:tcPr>
            <w:tcW w:w="46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220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2,428,089</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1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in members' equity resulting from operations</w:t>
            </w:r>
          </w:p>
        </w:tc>
        <w:tc>
          <w:tcPr>
            <w:tcW w:w="4620" w:type="dxa"/>
            <w:vAlign w:val="bottom"/>
            <w:gridSpan w:val="2"/>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22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4,224,168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940" w:type="dxa"/>
            <w:vAlign w:val="bottom"/>
            <w:tcBorders>
              <w:bottom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4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79"/>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PSLF commenced operations on July 31, 2020.</w:t>
      </w:r>
    </w:p>
    <w:p>
      <w:pPr>
        <w:spacing w:after="0" w:line="37" w:lineRule="exact"/>
        <w:rPr>
          <w:rFonts w:ascii="Times New Roman" w:cs="Times New Roman" w:eastAsia="Times New Roman" w:hAnsi="Times New Roman"/>
          <w:sz w:val="20"/>
          <w:szCs w:val="20"/>
          <w:b w:val="1"/>
          <w:bCs w:val="1"/>
          <w:color w:val="auto"/>
          <w:vertAlign w:val="superscript"/>
        </w:rPr>
      </w:pPr>
    </w:p>
    <w:p>
      <w:pPr>
        <w:ind w:left="380" w:hanging="372"/>
        <w:spacing w:after="0" w:line="180" w:lineRule="auto"/>
        <w:tabs>
          <w:tab w:leader="none" w:pos="380" w:val="left"/>
        </w:tabs>
        <w:numPr>
          <w:ilvl w:val="0"/>
          <w:numId w:val="79"/>
        </w:numPr>
        <w:rPr>
          <w:rFonts w:ascii="Times New Roman" w:cs="Times New Roman" w:eastAsia="Times New Roman" w:hAnsi="Times New Roman"/>
          <w:sz w:val="16"/>
          <w:szCs w:val="16"/>
          <w:b w:val="1"/>
          <w:bCs w:val="1"/>
          <w:color w:val="auto"/>
          <w:vertAlign w:val="superscript"/>
        </w:rPr>
      </w:pPr>
      <w:r>
        <w:rPr>
          <w:rFonts w:ascii="Times New Roman" w:cs="Times New Roman" w:eastAsia="Times New Roman" w:hAnsi="Times New Roman"/>
          <w:sz w:val="10"/>
          <w:szCs w:val="10"/>
          <w:color w:val="auto"/>
        </w:rPr>
        <w:t>No management or incentive fees are payable by PSLF. If any fees were to be charged, they would be separately disclosed in the Statement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FAIR VALUE OF FINANCIAL INSTRUMENTS</w:t>
      </w:r>
    </w:p>
    <w:p>
      <w:pPr>
        <w:spacing w:after="0" w:line="138"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ASC 820 classifies the inputs used to measure these fair values into the following hierarchies:</w:t>
      </w:r>
    </w:p>
    <w:p>
      <w:pPr>
        <w:spacing w:after="0" w:line="123"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4"/>
          <w:szCs w:val="14"/>
          <w:color w:val="auto"/>
        </w:rPr>
        <w:t>Level 1:</w:t>
      </w:r>
      <w:r>
        <w:rPr>
          <w:sz w:val="20"/>
          <w:szCs w:val="20"/>
          <w:color w:val="auto"/>
        </w:rPr>
        <w:tab/>
      </w:r>
      <w:r>
        <w:rPr>
          <w:rFonts w:ascii="Times New Roman" w:cs="Times New Roman" w:eastAsia="Times New Roman" w:hAnsi="Times New Roman"/>
          <w:sz w:val="14"/>
          <w:szCs w:val="14"/>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380" w:right="280" w:hanging="809"/>
        <w:spacing w:after="0" w:line="261" w:lineRule="auto"/>
        <w:tabs>
          <w:tab w:leader="none" w:pos="1360" w:val="left"/>
        </w:tabs>
        <w:rPr>
          <w:sz w:val="20"/>
          <w:szCs w:val="20"/>
          <w:color w:val="auto"/>
        </w:rPr>
      </w:pPr>
      <w:r>
        <w:rPr>
          <w:rFonts w:ascii="Times New Roman" w:cs="Times New Roman" w:eastAsia="Times New Roman" w:hAnsi="Times New Roman"/>
          <w:sz w:val="14"/>
          <w:szCs w:val="14"/>
          <w:color w:val="auto"/>
        </w:rPr>
        <w:t>Level 2:</w:t>
      </w:r>
      <w:r>
        <w:rPr>
          <w:sz w:val="20"/>
          <w:szCs w:val="20"/>
          <w:color w:val="auto"/>
        </w:rPr>
        <w:tab/>
      </w:r>
      <w:r>
        <w:rPr>
          <w:rFonts w:ascii="Times New Roman" w:cs="Times New Roman" w:eastAsia="Times New Roman" w:hAnsi="Times New Roman"/>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95" w:lineRule="exact"/>
        <w:rPr>
          <w:sz w:val="20"/>
          <w:szCs w:val="20"/>
          <w:color w:val="auto"/>
        </w:rPr>
      </w:pPr>
    </w:p>
    <w:p>
      <w:pPr>
        <w:ind w:left="560"/>
        <w:spacing w:after="0"/>
        <w:tabs>
          <w:tab w:leader="none" w:pos="1360" w:val="left"/>
        </w:tabs>
        <w:rPr>
          <w:sz w:val="20"/>
          <w:szCs w:val="20"/>
          <w:color w:val="auto"/>
        </w:rPr>
      </w:pPr>
      <w:r>
        <w:rPr>
          <w:rFonts w:ascii="Times New Roman" w:cs="Times New Roman" w:eastAsia="Times New Roman" w:hAnsi="Times New Roman"/>
          <w:sz w:val="14"/>
          <w:szCs w:val="14"/>
          <w:color w:val="auto"/>
        </w:rPr>
        <w:t>Level 3:</w:t>
      </w:r>
      <w:r>
        <w:rPr>
          <w:sz w:val="20"/>
          <w:szCs w:val="20"/>
          <w:color w:val="auto"/>
        </w:rPr>
        <w:tab/>
      </w:r>
      <w:r>
        <w:rPr>
          <w:rFonts w:ascii="Times New Roman" w:cs="Times New Roman" w:eastAsia="Times New Roman" w:hAnsi="Times New Roman"/>
          <w:sz w:val="14"/>
          <w:szCs w:val="14"/>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8"/>
        <w:spacing w:after="0" w:line="236" w:lineRule="auto"/>
        <w:rPr>
          <w:sz w:val="20"/>
          <w:szCs w:val="20"/>
          <w:color w:val="auto"/>
        </w:rPr>
      </w:pPr>
      <w:r>
        <w:rPr>
          <w:rFonts w:ascii="Times New Roman" w:cs="Times New Roman" w:eastAsia="Times New Roman" w:hAnsi="Times New Roman"/>
          <w:sz w:val="14"/>
          <w:szCs w:val="14"/>
          <w:color w:val="auto"/>
        </w:rPr>
        <w:t>A financial instrument’s categorization within the valuation hierarchy is based upon the lowest level of input that is significant to the fair value measurement. Generally, most of our investments, our Credit Facilities and our SBA debentures are classified as Level 3. Our 2019 Notes were, and our 2024 Notes are, classified as Level 2, as they are financial instruments with readily observable market inputs.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2"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50" w:lineRule="exact"/>
        <w:rPr>
          <w:sz w:val="20"/>
          <w:szCs w:val="20"/>
          <w:color w:val="auto"/>
        </w:rPr>
      </w:pPr>
    </w:p>
    <w:p>
      <w:pPr>
        <w:ind w:firstLine="438"/>
        <w:spacing w:after="0" w:line="233" w:lineRule="auto"/>
        <w:rPr>
          <w:sz w:val="20"/>
          <w:szCs w:val="20"/>
          <w:color w:val="auto"/>
        </w:rPr>
      </w:pPr>
      <w:r>
        <w:rPr>
          <w:rFonts w:ascii="Times New Roman" w:cs="Times New Roman" w:eastAsia="Times New Roman" w:hAnsi="Times New Roman"/>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96" w:lineRule="exact"/>
        <w:rPr>
          <w:sz w:val="20"/>
          <w:szCs w:val="20"/>
          <w:color w:val="auto"/>
        </w:rPr>
      </w:pPr>
    </w:p>
    <w:p>
      <w:pPr>
        <w:ind w:right="40" w:firstLine="438"/>
        <w:spacing w:after="0" w:line="233" w:lineRule="auto"/>
        <w:rPr>
          <w:sz w:val="20"/>
          <w:szCs w:val="20"/>
          <w:color w:val="auto"/>
        </w:rPr>
      </w:pPr>
      <w:r>
        <w:rPr>
          <w:rFonts w:ascii="Times New Roman" w:cs="Times New Roman" w:eastAsia="Times New Roman" w:hAnsi="Times New Roman"/>
          <w:sz w:val="14"/>
          <w:szCs w:val="14"/>
          <w:color w:val="auto"/>
        </w:rPr>
        <w:t>Our investments are generally structured as debt and equity investments in the form of first lien secured debt,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0" w:lineRule="exact"/>
        <w:rPr>
          <w:sz w:val="20"/>
          <w:szCs w:val="20"/>
          <w:color w:val="auto"/>
        </w:rPr>
      </w:pPr>
    </w:p>
    <w:p>
      <w:pPr>
        <w:ind w:right="280" w:firstLine="438"/>
        <w:spacing w:after="0" w:line="261" w:lineRule="auto"/>
        <w:rPr>
          <w:sz w:val="20"/>
          <w:szCs w:val="20"/>
          <w:color w:val="auto"/>
        </w:rPr>
      </w:pPr>
      <w:r>
        <w:rPr>
          <w:rFonts w:ascii="Times New Roman" w:cs="Times New Roman" w:eastAsia="Times New Roman" w:hAnsi="Times New Roman"/>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95" w:lineRule="exact"/>
        <w:rPr>
          <w:sz w:val="20"/>
          <w:szCs w:val="20"/>
          <w:color w:val="auto"/>
        </w:rPr>
      </w:pPr>
    </w:p>
    <w:p>
      <w:pPr>
        <w:ind w:right="220" w:firstLine="438"/>
        <w:spacing w:after="0" w:line="241" w:lineRule="auto"/>
        <w:rPr>
          <w:sz w:val="20"/>
          <w:szCs w:val="20"/>
          <w:color w:val="auto"/>
        </w:rPr>
      </w:pPr>
      <w:r>
        <w:rPr>
          <w:rFonts w:ascii="Times New Roman" w:cs="Times New Roman" w:eastAsia="Times New Roman" w:hAnsi="Times New Roman"/>
          <w:sz w:val="14"/>
          <w:szCs w:val="14"/>
          <w:color w:val="auto"/>
        </w:rPr>
        <w:t>In addition to using the above inputs to value cash equivalents, investments, our 2019 Notes, our SBA debentures, our 2024 Notes and our Credit Facilities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6" w:lineRule="exact"/>
        <w:rPr>
          <w:sz w:val="20"/>
          <w:szCs w:val="20"/>
          <w:color w:val="auto"/>
        </w:rPr>
      </w:pPr>
    </w:p>
    <w:p>
      <w:pPr>
        <w:jc w:val="both"/>
        <w:ind w:right="180" w:firstLine="438"/>
        <w:spacing w:after="0" w:line="236" w:lineRule="auto"/>
        <w:rPr>
          <w:sz w:val="20"/>
          <w:szCs w:val="20"/>
          <w:color w:val="auto"/>
        </w:rPr>
      </w:pPr>
      <w:r>
        <w:rPr>
          <w:rFonts w:ascii="Times New Roman" w:cs="Times New Roman" w:eastAsia="Times New Roman" w:hAnsi="Times New Roman"/>
          <w:sz w:val="14"/>
          <w:szCs w:val="14"/>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w:t>
      </w:r>
    </w:p>
    <w:p>
      <w:pPr>
        <w:spacing w:after="0" w:line="109" w:lineRule="exact"/>
        <w:rPr>
          <w:sz w:val="20"/>
          <w:szCs w:val="20"/>
          <w:color w:val="auto"/>
        </w:rPr>
      </w:pPr>
    </w:p>
    <w:p>
      <w:pPr>
        <w:ind w:right="60" w:firstLine="438"/>
        <w:spacing w:after="0"/>
        <w:rPr>
          <w:sz w:val="20"/>
          <w:szCs w:val="20"/>
          <w:color w:val="auto"/>
        </w:rPr>
      </w:pPr>
      <w:r>
        <w:rPr>
          <w:rFonts w:ascii="Times New Roman" w:cs="Times New Roman" w:eastAsia="Times New Roman" w:hAnsi="Times New Roman"/>
          <w:sz w:val="14"/>
          <w:szCs w:val="14"/>
          <w:color w:val="auto"/>
        </w:rPr>
        <w:t>The remainder of our investment portfolio and our long-term Credit Facilities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Level 3 valuation techniques, unobservable inputs and ranges were categorized as follows for ASC 820 purposes: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60" w:type="dxa"/>
            <w:vAlign w:val="bottom"/>
          </w:tcPr>
          <w:p>
            <w:pPr>
              <w:spacing w:after="0"/>
              <w:rPr>
                <w:sz w:val="13"/>
                <w:szCs w:val="13"/>
                <w:color w:val="auto"/>
              </w:rPr>
            </w:pPr>
          </w:p>
        </w:tc>
        <w:tc>
          <w:tcPr>
            <w:tcW w:w="2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73"/>
        </w:trPr>
        <w:tc>
          <w:tcPr>
            <w:tcW w:w="2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6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6"/>
        </w:trPr>
        <w:tc>
          <w:tcPr>
            <w:tcW w:w="258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38,794,224</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400,218,858</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6.4% – 15.0% (9.0%)</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202,060,703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8.4% – 11.0% (10.0%)</w:t>
            </w: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18,782,777</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8.5x</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113,569,409</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9.4% – 16.1% (12.0%)</w:t>
            </w: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253,101,893</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4.6x – 22.0x (11.4x)</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17,652,053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gridSpan w:val="2"/>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1,044,179,917</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gridSpan w:val="2"/>
            <w:shd w:val="clear" w:color="auto" w:fill="CCECFF"/>
          </w:tcPr>
          <w:p>
            <w:pPr>
              <w:spacing w:after="0" w:line="143" w:lineRule="exact"/>
              <w:rPr>
                <w:sz w:val="20"/>
                <w:szCs w:val="20"/>
                <w:color w:val="auto"/>
              </w:rPr>
            </w:pPr>
            <w:r>
              <w:rPr>
                <w:rFonts w:ascii="Times New Roman" w:cs="Times New Roman" w:eastAsia="Times New Roman" w:hAnsi="Times New Roman"/>
                <w:sz w:val="14"/>
                <w:szCs w:val="14"/>
                <w:color w:val="auto"/>
              </w:rPr>
              <w:t>Truist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CFF"/>
          </w:tcPr>
          <w:p>
            <w:pPr>
              <w:jc w:val="right"/>
              <w:spacing w:after="0" w:line="143" w:lineRule="exact"/>
              <w:rPr>
                <w:sz w:val="20"/>
                <w:szCs w:val="20"/>
                <w:color w:val="auto"/>
              </w:rPr>
            </w:pPr>
            <w:r>
              <w:rPr>
                <w:rFonts w:ascii="Times New Roman" w:cs="Times New Roman" w:eastAsia="Times New Roman" w:hAnsi="Times New Roman"/>
                <w:sz w:val="14"/>
                <w:szCs w:val="14"/>
                <w:color w:val="auto"/>
              </w:rPr>
              <w:t>368,701,972</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tcBorders>
              <w:bottom w:val="single" w:sz="8" w:color="CCECFF"/>
            </w:tcBorders>
            <w:shd w:val="clear" w:color="auto" w:fill="CCECFF"/>
          </w:tcPr>
          <w:p>
            <w:pPr>
              <w:jc w:val="center"/>
              <w:spacing w:after="0" w:line="143"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58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60" w:type="dxa"/>
            <w:vAlign w:val="bottom"/>
          </w:tcPr>
          <w:p>
            <w:pPr>
              <w:spacing w:after="0"/>
              <w:rPr>
                <w:sz w:val="23"/>
                <w:szCs w:val="23"/>
                <w:color w:val="auto"/>
              </w:rPr>
            </w:pPr>
          </w:p>
        </w:tc>
        <w:tc>
          <w:tcPr>
            <w:tcW w:w="2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2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 of Input</w:t>
            </w:r>
          </w:p>
        </w:tc>
        <w:tc>
          <w:tcPr>
            <w:tcW w:w="0" w:type="dxa"/>
            <w:vAlign w:val="bottom"/>
          </w:tcPr>
          <w:p>
            <w:pPr>
              <w:spacing w:after="0"/>
              <w:rPr>
                <w:sz w:val="1"/>
                <w:szCs w:val="1"/>
                <w:color w:val="auto"/>
              </w:rPr>
            </w:pPr>
          </w:p>
        </w:tc>
      </w:tr>
      <w:tr>
        <w:trPr>
          <w:trHeight w:val="173"/>
        </w:trPr>
        <w:tc>
          <w:tcPr>
            <w:tcW w:w="2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60" w:type="dxa"/>
            <w:vAlign w:val="bottom"/>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(Weighted Average)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First lien</w:t>
            </w:r>
          </w:p>
        </w:tc>
        <w:tc>
          <w:tcPr>
            <w:tcW w:w="180" w:type="dxa"/>
            <w:vAlign w:val="bottom"/>
            <w:tcBorders>
              <w:top w:val="single" w:sz="8" w:color="CCECFF"/>
            </w:tcBorders>
            <w:gridSpan w:val="2"/>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30,300,736</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664,980,079</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 – 15.8% (8.7%)</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55,556,250</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Broker/Dealer bids or quotes</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 lien</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213,754,397</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 – 12.7% (11.4%)</w:t>
            </w:r>
          </w:p>
        </w:tc>
        <w:tc>
          <w:tcPr>
            <w:tcW w:w="0" w:type="dxa"/>
            <w:vAlign w:val="bottom"/>
          </w:tcPr>
          <w:p>
            <w:pPr>
              <w:spacing w:after="0"/>
              <w:rPr>
                <w:sz w:val="1"/>
                <w:szCs w:val="1"/>
                <w:color w:val="auto"/>
              </w:rPr>
            </w:pPr>
          </w:p>
        </w:tc>
      </w:tr>
      <w:tr>
        <w:trPr>
          <w:trHeight w:val="162"/>
        </w:trPr>
        <w:tc>
          <w:tcPr>
            <w:tcW w:w="25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61,187,670</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shd w:val="clear" w:color="auto" w:fill="CCECFF"/>
          </w:tcPr>
          <w:p>
            <w:pPr>
              <w:jc w:val="center"/>
              <w:spacing w:after="0"/>
              <w:rPr>
                <w:sz w:val="20"/>
                <w:szCs w:val="20"/>
                <w:color w:val="auto"/>
              </w:rPr>
            </w:pPr>
            <w:r>
              <w:rPr>
                <w:rFonts w:ascii="Times New Roman" w:cs="Times New Roman" w:eastAsia="Times New Roman" w:hAnsi="Times New Roman"/>
                <w:sz w:val="14"/>
                <w:szCs w:val="14"/>
                <w:color w:val="auto"/>
              </w:rPr>
              <w:t>12.0% – 16.1% (15.2%)</w:t>
            </w:r>
          </w:p>
        </w:tc>
        <w:tc>
          <w:tcPr>
            <w:tcW w:w="0" w:type="dxa"/>
            <w:vAlign w:val="bottom"/>
          </w:tcPr>
          <w:p>
            <w:pPr>
              <w:spacing w:after="0"/>
              <w:rPr>
                <w:sz w:val="1"/>
                <w:szCs w:val="1"/>
                <w:color w:val="auto"/>
              </w:rPr>
            </w:pPr>
          </w:p>
        </w:tc>
      </w:tr>
      <w:tr>
        <w:trPr>
          <w:trHeight w:val="162"/>
        </w:trPr>
        <w:tc>
          <w:tcPr>
            <w:tcW w:w="25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192,859,084</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EBITDA multiple</w:t>
            </w:r>
          </w:p>
        </w:tc>
        <w:tc>
          <w:tcPr>
            <w:tcW w:w="2220" w:type="dxa"/>
            <w:vAlign w:val="bottom"/>
            <w:tcBorders>
              <w:bottom w:val="single" w:sz="8" w:color="CCECFF"/>
            </w:tcBorders>
          </w:tcPr>
          <w:p>
            <w:pPr>
              <w:jc w:val="center"/>
              <w:spacing w:after="0"/>
              <w:rPr>
                <w:sz w:val="20"/>
                <w:szCs w:val="20"/>
                <w:color w:val="auto"/>
              </w:rPr>
            </w:pPr>
            <w:r>
              <w:rPr>
                <w:rFonts w:ascii="Times New Roman" w:cs="Times New Roman" w:eastAsia="Times New Roman" w:hAnsi="Times New Roman"/>
                <w:sz w:val="14"/>
                <w:szCs w:val="14"/>
                <w:color w:val="auto"/>
              </w:rPr>
              <w:t>0.6x – 17.3x (12.1x)</w:t>
            </w:r>
          </w:p>
        </w:tc>
        <w:tc>
          <w:tcPr>
            <w:tcW w:w="0" w:type="dxa"/>
            <w:vAlign w:val="bottom"/>
          </w:tcPr>
          <w:p>
            <w:pPr>
              <w:spacing w:after="0"/>
              <w:rPr>
                <w:sz w:val="1"/>
                <w:szCs w:val="1"/>
                <w:color w:val="auto"/>
              </w:rPr>
            </w:pPr>
          </w:p>
        </w:tc>
      </w:tr>
      <w:tr>
        <w:trPr>
          <w:trHeight w:val="155"/>
        </w:trPr>
        <w:tc>
          <w:tcPr>
            <w:tcW w:w="258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Level 3 investments</w:t>
            </w:r>
          </w:p>
        </w:tc>
        <w:tc>
          <w:tcPr>
            <w:tcW w:w="180" w:type="dxa"/>
            <w:vAlign w:val="bottom"/>
            <w:tcBorders>
              <w:bottom w:val="single" w:sz="8" w:color="CCECFF"/>
            </w:tcBorders>
            <w:gridSpan w:val="2"/>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1,218,638,216</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2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Long-Term Credit Facilities</w:t>
            </w:r>
          </w:p>
        </w:tc>
        <w:tc>
          <w:tcPr>
            <w:tcW w:w="30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Market Comparable</w:t>
            </w:r>
          </w:p>
        </w:tc>
        <w:tc>
          <w:tcPr>
            <w:tcW w:w="22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rPr>
              <w:t>Market Yield</w:t>
            </w: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3.9% – 4.2% (4.1%)</w:t>
            </w:r>
          </w:p>
        </w:tc>
        <w:tc>
          <w:tcPr>
            <w:tcW w:w="0" w:type="dxa"/>
            <w:vAlign w:val="bottom"/>
          </w:tcPr>
          <w:p>
            <w:pPr>
              <w:spacing w:after="0" w:line="20" w:lineRule="exact"/>
              <w:rPr>
                <w:sz w:val="1"/>
                <w:szCs w:val="1"/>
                <w:color w:val="auto"/>
              </w:rPr>
            </w:pPr>
          </w:p>
        </w:tc>
      </w:tr>
      <w:tr>
        <w:trPr>
          <w:trHeight w:val="143"/>
        </w:trPr>
        <w:tc>
          <w:tcPr>
            <w:tcW w:w="2580" w:type="dxa"/>
            <w:vAlign w:val="bottom"/>
            <w:gridSpan w:val="2"/>
            <w:vMerge w:val="continue"/>
          </w:tcPr>
          <w:p>
            <w:pPr>
              <w:spacing w:after="0"/>
              <w:rPr>
                <w:sz w:val="12"/>
                <w:szCs w:val="12"/>
                <w:color w:val="auto"/>
              </w:rPr>
            </w:pPr>
          </w:p>
        </w:tc>
        <w:tc>
          <w:tcPr>
            <w:tcW w:w="180" w:type="dxa"/>
            <w:vAlign w:val="bottom"/>
            <w:gridSpan w:val="2"/>
          </w:tcPr>
          <w:p>
            <w:pPr>
              <w:spacing w:after="0"/>
              <w:rPr>
                <w:sz w:val="12"/>
                <w:szCs w:val="12"/>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465,390,214</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80"/>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The weighted averages disclosed in the table above were weighted by their relative fair value.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ind w:right="20"/>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Our investments, cash and cash equivalents, Credit Facilities, SBA debentures and 2024 Notes were categorized as follows in the fair value hierarchy for ASC 820 purposes: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60" w:type="dxa"/>
            <w:vAlign w:val="bottom"/>
            <w:gridSpan w:val="6"/>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Fair Value at September 30, 2020</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1" w:lineRule="exact"/>
              <w:rPr>
                <w:sz w:val="20"/>
                <w:szCs w:val="20"/>
                <w:color w:val="auto"/>
              </w:rPr>
            </w:pPr>
            <w:r>
              <w:rPr>
                <w:rFonts w:ascii="Times New Roman" w:cs="Times New Roman" w:eastAsia="Times New Roman" w:hAnsi="Times New Roman"/>
                <w:sz w:val="14"/>
                <w:szCs w:val="14"/>
                <w:b w:val="1"/>
                <w:bCs w:val="1"/>
                <w:color w:val="auto"/>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Asset Value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64"/>
        </w:trPr>
        <w:tc>
          <w:tcPr>
            <w:tcW w:w="3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Debt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773,425,971.0</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773,425,971</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308,345,447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1,328,924</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270,753,946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36,262,577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tcBorders>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1,081,771,418</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1,328,924</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1,044,179,917</w:t>
            </w:r>
          </w:p>
        </w:tc>
        <w:tc>
          <w:tcPr>
            <w:tcW w:w="2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36,262,577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25,806,002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25,806,002</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1,107,577,420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27,134,926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1,044,179,917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36,262,577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Truist Credit Facility</w:t>
            </w: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368,701,972</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368,701,972</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2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SBA Debentures </w:t>
            </w:r>
            <w:r>
              <w:rPr>
                <w:rFonts w:ascii="Times New Roman" w:cs="Times New Roman" w:eastAsia="Times New Roman" w:hAnsi="Times New Roman"/>
                <w:sz w:val="12"/>
                <w:szCs w:val="12"/>
                <w:color w:val="auto"/>
              </w:rPr>
              <w:t>(2)</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115,772,677</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115,772,677</w:t>
            </w:r>
          </w:p>
        </w:tc>
        <w:tc>
          <w:tcPr>
            <w:tcW w:w="2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2024 Notes </w:t>
            </w:r>
            <w:r>
              <w:rPr>
                <w:rFonts w:ascii="Times New Roman" w:cs="Times New Roman" w:eastAsia="Times New Roman" w:hAnsi="Times New Roman"/>
                <w:sz w:val="12"/>
                <w:szCs w:val="12"/>
                <w:color w:val="auto"/>
              </w:rPr>
              <w:t>(2)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83,837,560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83,837,560</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372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debt</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568,312,209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83,837,560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484,474,649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61" w:lineRule="exact"/>
        <w:rPr>
          <w:sz w:val="20"/>
          <w:szCs w:val="20"/>
          <w:color w:val="auto"/>
        </w:rPr>
      </w:pPr>
    </w:p>
    <w:p>
      <w:pPr>
        <w:ind w:left="380" w:right="100" w:hanging="372"/>
        <w:spacing w:after="0" w:line="185" w:lineRule="auto"/>
        <w:tabs>
          <w:tab w:leader="none" w:pos="380" w:val="left"/>
        </w:tabs>
        <w:numPr>
          <w:ilvl w:val="0"/>
          <w:numId w:val="81"/>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In accordance with ASC Subtopic 820-10, Fair Value Measurements and Disclosures, or ASC 820-10, our equity investment in PSLF is measured using the net asset value per share (or its equivalent) as a practical expedient for fair value, and thus has not been classified in the fair value hierarchy.</w:t>
      </w:r>
    </w:p>
    <w:p>
      <w:pPr>
        <w:spacing w:after="0" w:line="26" w:lineRule="exact"/>
        <w:rPr>
          <w:rFonts w:ascii="Times New Roman" w:cs="Times New Roman" w:eastAsia="Times New Roman" w:hAnsi="Times New Roman"/>
          <w:sz w:val="20"/>
          <w:szCs w:val="20"/>
          <w:b w:val="1"/>
          <w:bCs w:val="1"/>
          <w:color w:val="auto"/>
          <w:vertAlign w:val="superscript"/>
        </w:rPr>
      </w:pPr>
    </w:p>
    <w:p>
      <w:pPr>
        <w:ind w:left="380" w:right="360" w:hanging="372"/>
        <w:spacing w:after="0" w:line="185" w:lineRule="auto"/>
        <w:tabs>
          <w:tab w:leader="none" w:pos="380" w:val="left"/>
        </w:tabs>
        <w:numPr>
          <w:ilvl w:val="0"/>
          <w:numId w:val="81"/>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We elected not to apply ASC 825-10 to the SBA debentures or the 2024 Notes and thus the balance reported in the Consolidated Statement of Assets and Liabilities represents the carrying value. As of September 30, 2020, the carrying value of the SBA debentures approximates the fair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Fair Value at September 30, 2019</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42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1,025,779,132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1,025,779,132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193,653,664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794,580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192,859,084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1,219,432,796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794,580</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1,218,638,216</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59,516,236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gridSpan w:val="2"/>
            <w:shd w:val="clear" w:color="auto" w:fill="CCECFF"/>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1,278,949,032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60,310,816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1,218,638,216</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BNP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170,145,000</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170,145,000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Truist Credit Facility</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295,245,214</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44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295,245,214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SBA Debentures</w:t>
            </w:r>
            <w:r>
              <w:rPr>
                <w:rFonts w:ascii="Times New Roman" w:cs="Times New Roman" w:eastAsia="Times New Roman" w:hAnsi="Times New Roman"/>
                <w:sz w:val="12"/>
                <w:szCs w:val="12"/>
                <w:color w:val="auto"/>
              </w:rPr>
              <w:t>(1)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146,111,055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146,111,055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2024 Notes</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72,256,607</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gridSpan w:val="2"/>
          </w:tcPr>
          <w:p>
            <w:pPr>
              <w:ind w:left="500"/>
              <w:spacing w:after="0" w:line="155" w:lineRule="exact"/>
              <w:rPr>
                <w:sz w:val="20"/>
                <w:szCs w:val="20"/>
                <w:color w:val="auto"/>
              </w:rPr>
            </w:pPr>
            <w:r>
              <w:rPr>
                <w:rFonts w:ascii="Times New Roman" w:cs="Times New Roman" w:eastAsia="Times New Roman" w:hAnsi="Times New Roman"/>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683,757,876</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72,256,607</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611,501,269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hanging="372"/>
        <w:spacing w:after="0" w:line="215" w:lineRule="auto"/>
        <w:tabs>
          <w:tab w:leader="none" w:pos="380" w:val="left"/>
        </w:tabs>
        <w:numPr>
          <w:ilvl w:val="0"/>
          <w:numId w:val="82"/>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We elected not to apply ASC 825-10 to the SBA debentures or the 2024 Notes and thus the balance reported in the Consolidated Statement of Assets and Liabilities represents the carrying value, which approximates the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13455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fair valued investments measured using significant unobservable inputs (Level 3):</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6"/>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Year Ended September 30, 2020</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4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40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Beginning Balance</w:t>
            </w:r>
          </w:p>
        </w:tc>
        <w:tc>
          <w:tcPr>
            <w:tcW w:w="8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1,025,779,134</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192,859,082</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1,218,638,216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realized gain (loss)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1,166,755</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(12,123,615)</w:t>
            </w:r>
          </w:p>
        </w:tc>
        <w:tc>
          <w:tcPr>
            <w:tcW w:w="3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(10,956,860)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Net change in unrealized depreciation</w:t>
            </w:r>
          </w:p>
        </w:tc>
        <w:tc>
          <w:tcPr>
            <w:tcW w:w="8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(28,386,686)</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(19,106,443)</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(47,493,129)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287,551,273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109,604,770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397,156,043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8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(149,713,495)</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(479,848)</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(150,193,343)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Investments contributed in-kind to PSLF</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(356,140,523)</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(356,140,523)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Realized loss on investments contributed in-kind to PSLF</w:t>
            </w:r>
          </w:p>
        </w:tc>
        <w:tc>
          <w:tcPr>
            <w:tcW w:w="8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(6,830,487)</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(6,830,487)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Ending Balance</w:t>
            </w:r>
          </w:p>
        </w:tc>
        <w:tc>
          <w:tcPr>
            <w:tcW w:w="8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773,425,971</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270,753,946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1,044,179,917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Net change in unrealized depreciation reported within the net change in unrealized</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4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on investments in our Consolidated Statements of Operations</w:t>
            </w:r>
          </w:p>
        </w:tc>
        <w:tc>
          <w:tcPr>
            <w:tcW w:w="1200" w:type="dxa"/>
            <w:vAlign w:val="bottom"/>
            <w:gridSpan w:val="3"/>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(27,243,048)</w:t>
            </w:r>
          </w:p>
        </w:tc>
        <w:tc>
          <w:tcPr>
            <w:tcW w:w="2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(22,106,443)</w:t>
            </w: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(49,349,491)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1200" w:type="dxa"/>
            <w:vAlign w:val="bottom"/>
            <w:gridSpan w:val="3"/>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20" w:type="dxa"/>
            <w:vAlign w:val="bottom"/>
            <w:gridSpan w:val="6"/>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Year Ended September 30, 2019</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500"/>
              <w:spacing w:after="0" w:line="131" w:lineRule="exact"/>
              <w:rPr>
                <w:sz w:val="20"/>
                <w:szCs w:val="20"/>
                <w:color w:val="auto"/>
              </w:rPr>
            </w:pPr>
            <w:r>
              <w:rPr>
                <w:rFonts w:ascii="Times New Roman" w:cs="Times New Roman" w:eastAsia="Times New Roman" w:hAnsi="Times New Roman"/>
                <w:sz w:val="14"/>
                <w:szCs w:val="14"/>
                <w:b w:val="1"/>
                <w:bCs w:val="1"/>
                <w:color w:val="auto"/>
                <w:w w:val="97"/>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1" w:lineRule="exact"/>
              <w:rPr>
                <w:sz w:val="20"/>
                <w:szCs w:val="20"/>
                <w:color w:val="auto"/>
              </w:rPr>
            </w:pPr>
            <w:r>
              <w:rPr>
                <w:rFonts w:ascii="Times New Roman" w:cs="Times New Roman" w:eastAsia="Times New Roman" w:hAnsi="Times New Roman"/>
                <w:sz w:val="14"/>
                <w:szCs w:val="14"/>
                <w:b w:val="1"/>
                <w:bCs w:val="1"/>
                <w:color w:val="auto"/>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540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540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Beginning Balance</w:t>
            </w:r>
          </w:p>
        </w:tc>
        <w:tc>
          <w:tcPr>
            <w:tcW w:w="8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970,587,703</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160,656,044</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1,131,243,747</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realized losses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(20,338,793)</w:t>
            </w: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(88,205,089)</w:t>
            </w:r>
          </w:p>
        </w:tc>
        <w:tc>
          <w:tcPr>
            <w:tcW w:w="3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(108,543,882)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Net change in unrealized appreciation (depreciation)</w:t>
            </w:r>
          </w:p>
        </w:tc>
        <w:tc>
          <w:tcPr>
            <w:tcW w:w="8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(1,960,888)</w:t>
            </w:r>
          </w:p>
        </w:tc>
        <w:tc>
          <w:tcPr>
            <w:tcW w:w="2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76,877,129</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74,916,241</w:t>
            </w:r>
          </w:p>
        </w:tc>
        <w:tc>
          <w:tcPr>
            <w:tcW w:w="10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Purchases, PIK interest, net discount accretion and non-cash exchanges</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494,678,346</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52,772,604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547,450,950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Sales, repayments and non-cash exchanges</w:t>
            </w:r>
          </w:p>
        </w:tc>
        <w:tc>
          <w:tcPr>
            <w:tcW w:w="8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(417,187,234)</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(9,241,606)</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(426,428,840)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Transfers in/out of Level 3</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Ending Balance</w:t>
            </w:r>
          </w:p>
        </w:tc>
        <w:tc>
          <w:tcPr>
            <w:tcW w:w="10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1,025,779,134</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192,859,082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1,218,638,216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line="160" w:lineRule="exact"/>
              <w:rPr>
                <w:sz w:val="20"/>
                <w:szCs w:val="20"/>
                <w:color w:val="auto"/>
              </w:rPr>
            </w:pPr>
            <w:r>
              <w:rPr>
                <w:rFonts w:ascii="Times New Roman" w:cs="Times New Roman" w:eastAsia="Times New Roman" w:hAnsi="Times New Roman"/>
                <w:sz w:val="14"/>
                <w:szCs w:val="14"/>
                <w:color w:val="auto"/>
              </w:rPr>
              <w:t>Net change in unrealized depreciation reported within the net change in unrealized</w:t>
            </w: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4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(depreciation) appreciation on investments in our Consolidated Statements of Operations</w:t>
            </w:r>
          </w:p>
        </w:tc>
        <w:tc>
          <w:tcPr>
            <w:tcW w:w="1200" w:type="dxa"/>
            <w:vAlign w:val="bottom"/>
            <w:gridSpan w:val="3"/>
            <w:vMerge w:val="restart"/>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(2,204,826)</w:t>
            </w:r>
          </w:p>
        </w:tc>
        <w:tc>
          <w:tcPr>
            <w:tcW w:w="200" w:type="dxa"/>
            <w:vAlign w:val="bottom"/>
            <w:vMerge w:val="restart"/>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27,758,106</w:t>
            </w:r>
          </w:p>
        </w:tc>
        <w:tc>
          <w:tcPr>
            <w:tcW w:w="260" w:type="dxa"/>
            <w:vAlign w:val="bottom"/>
          </w:tcPr>
          <w:p>
            <w:pPr>
              <w:spacing w:after="0"/>
              <w:rPr>
                <w:sz w:val="12"/>
                <w:szCs w:val="12"/>
                <w:color w:val="auto"/>
              </w:rPr>
            </w:pPr>
          </w:p>
        </w:tc>
        <w:tc>
          <w:tcPr>
            <w:tcW w:w="3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25,553,280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attributable to our Level 3 assets still held at the reporting date.</w:t>
            </w:r>
          </w:p>
        </w:tc>
        <w:tc>
          <w:tcPr>
            <w:tcW w:w="1200" w:type="dxa"/>
            <w:vAlign w:val="bottom"/>
            <w:gridSpan w:val="3"/>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4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77</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40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54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tables below show a reconciliation of the beginning and ending balances for liabilities recognized at fair value and measured using significant unobservable inputs (Level 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0" w:type="dxa"/>
            <w:vAlign w:val="bottom"/>
          </w:tcPr>
          <w:p>
            <w:pPr>
              <w:spacing w:after="0"/>
              <w:rPr>
                <w:sz w:val="1"/>
                <w:szCs w:val="1"/>
                <w:color w:val="auto"/>
              </w:rPr>
            </w:pPr>
          </w:p>
        </w:tc>
      </w:tr>
      <w:tr>
        <w:trPr>
          <w:trHeight w:val="23"/>
        </w:trPr>
        <w:tc>
          <w:tcPr>
            <w:tcW w:w="7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Long-Term Credit Facilities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Beginning Balance (cost – $472,636,000 and $78,520,000,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465,390,214</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75,645,830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Net change in unrealized (depreciation) appreciation included in earnings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(12,304,242)</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(4,371,616)</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 xml:space="preserve">Borrowings </w:t>
            </w:r>
            <w:r>
              <w:rPr>
                <w:rFonts w:ascii="Times New Roman" w:cs="Times New Roman" w:eastAsia="Times New Roman" w:hAnsi="Times New Roman"/>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298,000,000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743,000,000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xml:space="preserve">Repayments </w:t>
            </w:r>
            <w:r>
              <w:rPr>
                <w:rFonts w:ascii="Times New Roman" w:cs="Times New Roman" w:eastAsia="Times New Roman" w:hAnsi="Times New Roman"/>
                <w:sz w:val="12"/>
                <w:szCs w:val="12"/>
                <w:color w:val="auto"/>
              </w:rPr>
              <w:t>(1)</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(145,384,000)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(348,884,000)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 xml:space="preserve">(245,000,000) </w:t>
            </w:r>
            <w:r>
              <w:rPr>
                <w:rFonts w:ascii="Times New Roman" w:cs="Times New Roman" w:eastAsia="Times New Roman" w:hAnsi="Times New Roman"/>
                <w:sz w:val="12"/>
                <w:szCs w:val="12"/>
                <w:color w:val="auto"/>
              </w:rPr>
              <w:t>(2)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Ending Balance (cost – $380,252,000 and $472,636,000, respectively)</w:t>
            </w:r>
          </w:p>
        </w:tc>
        <w:tc>
          <w:tcPr>
            <w:tcW w:w="3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360,701,972</w:t>
            </w:r>
          </w:p>
        </w:tc>
        <w:tc>
          <w:tcPr>
            <w:tcW w:w="28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465,390,214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Times New Roman" w:cs="Times New Roman" w:eastAsia="Times New Roman" w:hAnsi="Times New Roman"/>
                <w:sz w:val="14"/>
                <w:szCs w:val="14"/>
                <w:color w:val="auto"/>
              </w:rPr>
              <w:t>Temporary draws outstanding, at cost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Ending Balance (cost – $388,252,000 and $472,636,000,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368,701,972</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465,390,214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455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78" w:lineRule="exact"/>
        <w:rPr>
          <w:sz w:val="20"/>
          <w:szCs w:val="20"/>
          <w:color w:val="auto"/>
        </w:rPr>
      </w:pPr>
    </w:p>
    <w:p>
      <w:pPr>
        <w:ind w:left="380" w:hanging="372"/>
        <w:spacing w:after="0"/>
        <w:tabs>
          <w:tab w:leader="none" w:pos="380" w:val="left"/>
        </w:tabs>
        <w:numPr>
          <w:ilvl w:val="0"/>
          <w:numId w:val="83"/>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Excludes temporary draws.</w:t>
      </w:r>
    </w:p>
    <w:p>
      <w:pPr>
        <w:jc w:val="both"/>
        <w:ind w:left="380" w:right="260" w:hanging="372"/>
        <w:spacing w:after="0" w:line="193" w:lineRule="auto"/>
        <w:tabs>
          <w:tab w:leader="none" w:pos="380" w:val="left"/>
        </w:tabs>
        <w:numPr>
          <w:ilvl w:val="0"/>
          <w:numId w:val="83"/>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On July 31, 2020, we and Pantheon formed PSLF, an unconsolidated joint venture. Pursuant to the terms of the transaction, we contributed our formerly wholly-owned subsidiary, Funding I, to PSLF for a 72% stake in the joint venture. As a result of the transaction, Funding I was deconsolidated from PennantPark Investment’s financial statements, including Funding I’s BNP Credit Facility with $245.0 million drawn as of July 31, 2020. This non-cash transaction has been reported above as transfer out of level 3.</w:t>
      </w:r>
    </w:p>
    <w:p>
      <w:pPr>
        <w:spacing w:after="0" w:line="120" w:lineRule="exact"/>
        <w:rPr>
          <w:sz w:val="20"/>
          <w:szCs w:val="20"/>
          <w:color w:val="auto"/>
        </w:rPr>
      </w:pPr>
    </w:p>
    <w:p>
      <w:pPr>
        <w:ind w:right="140" w:firstLine="438"/>
        <w:spacing w:after="0" w:line="261" w:lineRule="auto"/>
        <w:rPr>
          <w:sz w:val="20"/>
          <w:szCs w:val="20"/>
          <w:color w:val="auto"/>
        </w:rPr>
      </w:pPr>
      <w:r>
        <w:rPr>
          <w:rFonts w:ascii="Times New Roman" w:cs="Times New Roman" w:eastAsia="Times New Roman" w:hAnsi="Times New Roman"/>
          <w:sz w:val="14"/>
          <w:szCs w:val="14"/>
          <w:color w:val="auto"/>
        </w:rPr>
        <w:t>As of September 30, 2020, we had outstanding non-U.S. dollar borrowings on our Credit Facilities. Net change in fair value on foreign currency translation on outstanding borrowings is listed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00" w:type="dxa"/>
            <w:vAlign w:val="bottom"/>
          </w:tcPr>
          <w:p>
            <w:pPr>
              <w:spacing w:after="0"/>
              <w:rPr>
                <w:sz w:val="15"/>
                <w:szCs w:val="15"/>
                <w:color w:val="auto"/>
              </w:rPr>
            </w:pP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0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38,752,000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36,198,400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December 18,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(2,553,600)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26" w:lineRule="exact"/>
        <w:rPr>
          <w:sz w:val="20"/>
          <w:szCs w:val="20"/>
          <w:color w:val="auto"/>
        </w:rPr>
      </w:pPr>
    </w:p>
    <w:p>
      <w:pPr>
        <w:ind w:right="680" w:firstLine="438"/>
        <w:spacing w:after="0" w:line="261" w:lineRule="auto"/>
        <w:rPr>
          <w:sz w:val="20"/>
          <w:szCs w:val="20"/>
          <w:color w:val="auto"/>
        </w:rPr>
      </w:pPr>
      <w:r>
        <w:rPr>
          <w:rFonts w:ascii="Times New Roman" w:cs="Times New Roman" w:eastAsia="Times New Roman" w:hAnsi="Times New Roman"/>
          <w:sz w:val="14"/>
          <w:szCs w:val="14"/>
          <w:color w:val="auto"/>
        </w:rPr>
        <w:t>As of September 30, 2019, we had outstanding non-U.S. dollar borrowings on our Truist Credit Facility. Net change in fair value on foreign currency translation on outstanding borrowings is listed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Borrowed</w:t>
            </w:r>
          </w:p>
        </w:tc>
        <w:tc>
          <w:tcPr>
            <w:tcW w:w="200" w:type="dxa"/>
            <w:vAlign w:val="bottom"/>
          </w:tcPr>
          <w:p>
            <w:pPr>
              <w:spacing w:after="0"/>
              <w:rPr>
                <w:sz w:val="15"/>
                <w:szCs w:val="15"/>
                <w:color w:val="auto"/>
              </w:rPr>
            </w:pPr>
          </w:p>
        </w:tc>
        <w:tc>
          <w:tcPr>
            <w:tcW w:w="13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Borrowing Cost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Reset Date</w:t>
            </w:r>
          </w:p>
        </w:tc>
        <w:tc>
          <w:tcPr>
            <w:tcW w:w="100" w:type="dxa"/>
            <w:vAlign w:val="bottom"/>
          </w:tcPr>
          <w:p>
            <w:pPr>
              <w:spacing w:after="0"/>
              <w:rPr>
                <w:sz w:val="15"/>
                <w:szCs w:val="15"/>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29,000,000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40,136,000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35,736,700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Times New Roman" w:cs="Times New Roman" w:eastAsia="Times New Roman" w:hAnsi="Times New Roman"/>
                <w:sz w:val="14"/>
                <w:szCs w:val="14"/>
                <w:color w:val="auto"/>
              </w:rPr>
              <w:t>December 13,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(4,399,300)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26" w:lineRule="exact"/>
        <w:rPr>
          <w:sz w:val="20"/>
          <w:szCs w:val="20"/>
          <w:color w:val="auto"/>
        </w:rPr>
      </w:pPr>
    </w:p>
    <w:p>
      <w:pPr>
        <w:ind w:right="20" w:firstLine="438"/>
        <w:spacing w:after="0" w:line="227" w:lineRule="auto"/>
        <w:rPr>
          <w:sz w:val="20"/>
          <w:szCs w:val="20"/>
          <w:color w:val="auto"/>
        </w:rPr>
      </w:pPr>
      <w:r>
        <w:rPr>
          <w:rFonts w:ascii="Times New Roman" w:cs="Times New Roman" w:eastAsia="Times New Roman" w:hAnsi="Times New Roman"/>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Facilities and, prior to their redemption, the 2019 Notes. We elected to use the fair value option for the Credit Facilities and, prior to their redemption, the 2019 Notes to align the measurement attributes of both our assets and liabilities while mitigating volatility in earnings from using different measurement attributes. Due to that election and in accordance with GAAP, we incurred expenses of zero, $7.1 and zero relating to amendment costs on the Credit Facilities during the years ended September 30, 2020, 2019 and 2018,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Facilities and, prior to their redemption, the 2019 Notes are reported in our Consolidated Statements of Operations. We did not elect to apply ASC 825-10 to any other financial assets or liabilities, including the 2024 Notes and the SBA debentures.</w:t>
      </w:r>
    </w:p>
    <w:p>
      <w:pPr>
        <w:spacing w:after="0" w:line="115" w:lineRule="exact"/>
        <w:rPr>
          <w:sz w:val="20"/>
          <w:szCs w:val="20"/>
          <w:color w:val="auto"/>
        </w:rPr>
      </w:pPr>
    </w:p>
    <w:p>
      <w:pPr>
        <w:ind w:right="20" w:firstLine="438"/>
        <w:spacing w:after="0"/>
        <w:rPr>
          <w:sz w:val="20"/>
          <w:szCs w:val="20"/>
          <w:color w:val="auto"/>
        </w:rPr>
      </w:pPr>
      <w:r>
        <w:rPr>
          <w:rFonts w:ascii="Times New Roman" w:cs="Times New Roman" w:eastAsia="Times New Roman" w:hAnsi="Times New Roman"/>
          <w:sz w:val="14"/>
          <w:szCs w:val="14"/>
          <w:color w:val="auto"/>
        </w:rPr>
        <w:t>For the years ended September 30, 2020, the Credit Facilities had a net change in unrealized depreciation of $12.3 million. For the years ended September 30, 2019 and 2018, the Credit Facilities and the 2019 Notes had a net change in unrealized depreciation of $5.7 million and $3.9 million, respectively. As of September 30, 2020, the net unrealized depreciation on Truist Credit Facility totaled $19.6 million. As of September 30, 2019, the net unrealized depreciation on our Credit Facilities totaled $7.2 million. We use a nationally recognized independent valuation service to measure the fair value of our Credit Facilities and, prior to their redemption, the 2019 Notes in a manner consistent with the valuation process that the board of directors uses to value our investments.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TRANSACTIONS WITH AFFILIATED COMPANIES</w:t>
      </w:r>
    </w:p>
    <w:p>
      <w:pPr>
        <w:spacing w:after="0" w:line="138" w:lineRule="exact"/>
        <w:rPr>
          <w:sz w:val="20"/>
          <w:szCs w:val="20"/>
          <w:color w:val="auto"/>
        </w:rPr>
      </w:pPr>
    </w:p>
    <w:p>
      <w:pPr>
        <w:ind w:right="420" w:firstLine="438"/>
        <w:spacing w:after="0" w:line="241" w:lineRule="auto"/>
        <w:rPr>
          <w:sz w:val="20"/>
          <w:szCs w:val="20"/>
          <w:color w:val="auto"/>
        </w:rPr>
      </w:pPr>
      <w:r>
        <w:rPr>
          <w:rFonts w:ascii="Times New Roman" w:cs="Times New Roman" w:eastAsia="Times New Roman" w:hAnsi="Times New Roman"/>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year ended September 30, 2020 were as follows:</w:t>
      </w: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PIK</w:t>
            </w: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49"/>
        </w:trPr>
        <w:tc>
          <w:tcPr>
            <w:tcW w:w="2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Investment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2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Appreciation /</w:t>
            </w: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Gains</w:t>
            </w:r>
          </w:p>
        </w:tc>
        <w:tc>
          <w:tcPr>
            <w:tcW w:w="0" w:type="dxa"/>
            <w:vAlign w:val="bottom"/>
          </w:tcPr>
          <w:p>
            <w:pPr>
              <w:spacing w:after="0"/>
              <w:rPr>
                <w:sz w:val="1"/>
                <w:szCs w:val="1"/>
                <w:color w:val="auto"/>
              </w:rPr>
            </w:pPr>
          </w:p>
        </w:tc>
      </w:tr>
      <w:tr>
        <w:trPr>
          <w:trHeight w:val="173"/>
        </w:trPr>
        <w:tc>
          <w:tcPr>
            <w:tcW w:w="2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Additions</w:t>
            </w:r>
            <w:r>
              <w:rPr>
                <w:rFonts w:ascii="Times New Roman" w:cs="Times New Roman" w:eastAsia="Times New Roman" w:hAnsi="Times New Roman"/>
                <w:sz w:val="12"/>
                <w:szCs w:val="12"/>
                <w:b w:val="1"/>
                <w:bCs w:val="1"/>
                <w:color w:val="auto"/>
              </w:rPr>
              <w:t>(1)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Reductions</w:t>
            </w:r>
          </w:p>
        </w:tc>
        <w:tc>
          <w:tcPr>
            <w:tcW w:w="12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55"/>
        </w:trPr>
        <w:tc>
          <w:tcPr>
            <w:tcW w:w="210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Controlled Affiliates</w:t>
            </w:r>
          </w:p>
        </w:tc>
        <w:tc>
          <w:tcPr>
            <w:tcW w:w="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64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AKW Holdings Limited</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37,059,204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630,775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82,136</w:t>
            </w:r>
          </w:p>
        </w:tc>
        <w:tc>
          <w:tcPr>
            <w:tcW w:w="22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37,772,115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2,349,991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100" w:type="dxa"/>
            <w:vAlign w:val="bottom"/>
            <w:shd w:val="clear" w:color="auto" w:fill="CCECFF"/>
          </w:tcPr>
          <w:p>
            <w:pPr>
              <w:spacing w:after="0" w:line="139" w:lineRule="exact"/>
              <w:rPr>
                <w:sz w:val="20"/>
                <w:szCs w:val="20"/>
                <w:color w:val="auto"/>
              </w:rPr>
            </w:pPr>
            <w:r>
              <w:rPr>
                <w:rFonts w:ascii="Times New Roman" w:cs="Times New Roman" w:eastAsia="Times New Roman" w:hAnsi="Times New Roman"/>
                <w:sz w:val="14"/>
                <w:szCs w:val="14"/>
                <w:color w:val="auto"/>
              </w:rPr>
              <w:t>PennantPark Senior Loan Fund,</w:t>
            </w:r>
          </w:p>
        </w:tc>
        <w:tc>
          <w:tcPr>
            <w:tcW w:w="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96,221,176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120" w:type="dxa"/>
            <w:vAlign w:val="bottom"/>
            <w:gridSpan w:val="2"/>
            <w:vMerge w:val="restart"/>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2"/>
                <w:szCs w:val="12"/>
                <w:color w:val="auto"/>
              </w:rPr>
            </w:pPr>
          </w:p>
        </w:tc>
        <w:tc>
          <w:tcPr>
            <w:tcW w:w="9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3,041,401</w:t>
            </w: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99,262,577</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976,500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gridSpan w:val="2"/>
            <w:vMerge w:val="restart"/>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2"/>
                <w:szCs w:val="12"/>
                <w:color w:val="auto"/>
              </w:rPr>
            </w:pPr>
          </w:p>
        </w:tc>
        <w:tc>
          <w:tcPr>
            <w:tcW w:w="740" w:type="dxa"/>
            <w:vAlign w:val="bottom"/>
            <w:gridSpan w:val="2"/>
            <w:vMerge w:val="restart"/>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LLC *</w:t>
            </w: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8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8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gridSpan w:val="2"/>
            <w:vMerge w:val="continue"/>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4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PT Networks, LLC</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72,434,438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8,847,077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10,103,134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91,384,649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5,902,180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10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RAM Energy LLC</w:t>
            </w: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123,957,717</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11,443,334</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(45,477,533)</w:t>
            </w:r>
          </w:p>
        </w:tc>
        <w:tc>
          <w:tcPr>
            <w:tcW w:w="14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89,923,518</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6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1,426,666</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40" w:type="dxa"/>
            <w:vAlign w:val="bottom"/>
            <w:gridSpan w:val="2"/>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100" w:type="dxa"/>
            <w:vAlign w:val="bottom"/>
            <w:tcBorders>
              <w:bottom w:val="single" w:sz="8" w:color="CCECFF"/>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rPr>
              <w:t>Total Controlled Affiliates</w:t>
            </w:r>
          </w:p>
        </w:tc>
        <w:tc>
          <w:tcPr>
            <w:tcW w:w="2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233,451,359</w:t>
            </w:r>
          </w:p>
        </w:tc>
        <w:tc>
          <w:tcPr>
            <w:tcW w:w="2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9"/>
              </w:rPr>
              <w:t>117,142,362</w:t>
            </w:r>
          </w:p>
        </w:tc>
        <w:tc>
          <w:tcPr>
            <w:tcW w:w="2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ind w:left="7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97"/>
              </w:rPr>
              <w:t>(32,250,862.00)</w:t>
            </w:r>
          </w:p>
        </w:tc>
        <w:tc>
          <w:tcPr>
            <w:tcW w:w="220" w:type="dxa"/>
            <w:vAlign w:val="bottom"/>
            <w:tcBorders>
              <w:bottom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318,342,859</w:t>
            </w:r>
          </w:p>
        </w:tc>
        <w:tc>
          <w:tcPr>
            <w:tcW w:w="220" w:type="dxa"/>
            <w:vAlign w:val="bottom"/>
            <w:tcBorders>
              <w:bottom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3,387,858</w:t>
            </w:r>
          </w:p>
        </w:tc>
        <w:tc>
          <w:tcPr>
            <w:tcW w:w="2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7,328,846</w:t>
            </w:r>
          </w:p>
        </w:tc>
        <w:tc>
          <w:tcPr>
            <w:tcW w:w="200" w:type="dxa"/>
            <w:vAlign w:val="bottom"/>
            <w:tcBorders>
              <w:bottom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0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Non-Controlled Affiliates</w:t>
            </w:r>
          </w:p>
        </w:tc>
        <w:tc>
          <w:tcPr>
            <w:tcW w:w="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7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6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6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20"/>
                <w:szCs w:val="20"/>
                <w:color w:val="auto"/>
              </w:rPr>
            </w:pPr>
            <w:r>
              <w:rPr>
                <w:rFonts w:ascii="Times New Roman" w:cs="Times New Roman" w:eastAsia="Times New Roman" w:hAnsi="Times New Roman"/>
                <w:sz w:val="14"/>
                <w:szCs w:val="14"/>
                <w:color w:val="auto"/>
              </w:rPr>
              <w:t>ETX Energy, LLC</w:t>
            </w:r>
          </w:p>
        </w:tc>
        <w:tc>
          <w:tcPr>
            <w:tcW w:w="24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22,717,376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(17,661,525)</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5,055,851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100" w:type="dxa"/>
            <w:vAlign w:val="bottom"/>
            <w:shd w:val="clear" w:color="auto" w:fill="CCECFF"/>
          </w:tcPr>
          <w:p>
            <w:pPr>
              <w:spacing w:after="0" w:line="139" w:lineRule="exact"/>
              <w:rPr>
                <w:sz w:val="20"/>
                <w:szCs w:val="20"/>
                <w:color w:val="auto"/>
              </w:rPr>
            </w:pPr>
            <w:r>
              <w:rPr>
                <w:rFonts w:ascii="Times New Roman" w:cs="Times New Roman" w:eastAsia="Times New Roman" w:hAnsi="Times New Roman"/>
                <w:sz w:val="14"/>
                <w:szCs w:val="14"/>
                <w:color w:val="auto"/>
              </w:rPr>
              <w:t>MidOcean JF Holdings</w:t>
            </w:r>
          </w:p>
        </w:tc>
        <w:tc>
          <w:tcPr>
            <w:tcW w:w="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26,631,962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28,104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900" w:type="dxa"/>
            <w:vAlign w:val="bottom"/>
            <w:vMerge w:val="restart"/>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vMerge w:val="restart"/>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12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(3,962,024)</w:t>
            </w:r>
          </w:p>
        </w:tc>
        <w:tc>
          <w:tcPr>
            <w:tcW w:w="140" w:type="dxa"/>
            <w:vAlign w:val="bottom"/>
            <w:shd w:val="clear" w:color="auto" w:fill="CCECFF"/>
          </w:tcPr>
          <w:p>
            <w:pPr>
              <w:spacing w:after="0"/>
              <w:rPr>
                <w:sz w:val="12"/>
                <w:szCs w:val="12"/>
                <w:color w:val="auto"/>
              </w:rPr>
            </w:pP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22,698,042</w:t>
            </w: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20" w:type="dxa"/>
            <w:vAlign w:val="bottom"/>
            <w:gridSpan w:val="2"/>
            <w:vMerge w:val="restart"/>
            <w:shd w:val="clear" w:color="auto" w:fill="CCEC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CFF"/>
          </w:tcPr>
          <w:p>
            <w:pPr>
              <w:spacing w:after="0"/>
              <w:rPr>
                <w:sz w:val="12"/>
                <w:szCs w:val="12"/>
                <w:color w:val="auto"/>
              </w:rPr>
            </w:pPr>
          </w:p>
        </w:tc>
        <w:tc>
          <w:tcPr>
            <w:tcW w:w="740" w:type="dxa"/>
            <w:vAlign w:val="bottom"/>
            <w:gridSpan w:val="2"/>
            <w:vMerge w:val="restart"/>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color w:val="auto"/>
              </w:rPr>
              <w:t>Corp.</w:t>
            </w:r>
          </w:p>
        </w:tc>
        <w:tc>
          <w:tcPr>
            <w:tcW w:w="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8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4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900" w:type="dxa"/>
            <w:vAlign w:val="bottom"/>
            <w:vMerge w:val="continue"/>
            <w:shd w:val="clear" w:color="auto" w:fill="CCECFF"/>
          </w:tcPr>
          <w:p>
            <w:pPr>
              <w:spacing w:after="0"/>
              <w:rPr>
                <w:sz w:val="14"/>
                <w:szCs w:val="14"/>
                <w:color w:val="auto"/>
              </w:rPr>
            </w:pPr>
          </w:p>
        </w:tc>
        <w:tc>
          <w:tcPr>
            <w:tcW w:w="220" w:type="dxa"/>
            <w:vAlign w:val="bottom"/>
            <w:vMerge w:val="continue"/>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20" w:type="dxa"/>
            <w:vAlign w:val="bottom"/>
            <w:gridSpan w:val="2"/>
            <w:vMerge w:val="continue"/>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8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vMerge w:val="continue"/>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820" w:type="dxa"/>
            <w:vAlign w:val="bottom"/>
            <w:gridSpan w:val="2"/>
            <w:vMerge w:val="continue"/>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740" w:type="dxa"/>
            <w:vAlign w:val="bottom"/>
            <w:gridSpan w:val="2"/>
            <w:vMerge w:val="continue"/>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00" w:type="dxa"/>
            <w:vAlign w:val="bottom"/>
            <w:vMerge w:val="restart"/>
          </w:tcPr>
          <w:p>
            <w:pPr>
              <w:ind w:left="140"/>
              <w:spacing w:after="0" w:line="153" w:lineRule="exact"/>
              <w:rPr>
                <w:sz w:val="20"/>
                <w:szCs w:val="20"/>
                <w:color w:val="auto"/>
              </w:rPr>
            </w:pPr>
            <w:r>
              <w:rPr>
                <w:rFonts w:ascii="Times New Roman" w:cs="Times New Roman" w:eastAsia="Times New Roman" w:hAnsi="Times New Roman"/>
                <w:sz w:val="14"/>
                <w:szCs w:val="14"/>
                <w:color w:val="auto"/>
              </w:rPr>
              <w:t>Total Non-Controlled</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100" w:type="dxa"/>
            <w:vAlign w:val="bottom"/>
            <w:vMerge w:val="continue"/>
          </w:tcPr>
          <w:p>
            <w:pPr>
              <w:spacing w:after="0"/>
              <w:rPr>
                <w:sz w:val="11"/>
                <w:szCs w:val="11"/>
                <w:color w:val="auto"/>
              </w:rPr>
            </w:pPr>
          </w:p>
        </w:tc>
        <w:tc>
          <w:tcPr>
            <w:tcW w:w="100" w:type="dxa"/>
            <w:vAlign w:val="bottom"/>
            <w:gridSpan w:val="2"/>
            <w:vMerge w:val="restart"/>
          </w:tcPr>
          <w:p>
            <w:pPr>
              <w:spacing w:after="0"/>
              <w:rPr>
                <w:sz w:val="11"/>
                <w:szCs w:val="11"/>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49,349,338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28,104</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(21,623,549)</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27,753,893</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Affiliates</w:t>
            </w:r>
          </w:p>
        </w:tc>
        <w:tc>
          <w:tcPr>
            <w:tcW w:w="1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100" w:type="dxa"/>
            <w:vAlign w:val="bottom"/>
            <w:tcBorders>
              <w:top w:val="single" w:sz="8" w:color="CCECFF"/>
            </w:tcBorders>
            <w:shd w:val="clear" w:color="auto" w:fill="CCECFF"/>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Controlled and</w:t>
            </w:r>
          </w:p>
        </w:tc>
        <w:tc>
          <w:tcPr>
            <w:tcW w:w="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0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7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9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10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20" w:type="dxa"/>
            <w:vAlign w:val="bottom"/>
            <w:tcBorders>
              <w:top w:val="single" w:sz="8" w:color="auto"/>
            </w:tcBorders>
            <w:shd w:val="clear" w:color="auto" w:fill="CCECFF"/>
          </w:tcPr>
          <w:p>
            <w:pPr>
              <w:spacing w:after="0"/>
              <w:rPr>
                <w:sz w:val="11"/>
                <w:szCs w:val="11"/>
                <w:color w:val="auto"/>
              </w:rPr>
            </w:pPr>
          </w:p>
        </w:tc>
        <w:tc>
          <w:tcPr>
            <w:tcW w:w="2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C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w:t>
            </w:r>
          </w:p>
        </w:tc>
        <w:tc>
          <w:tcPr>
            <w:tcW w:w="240" w:type="dxa"/>
            <w:vAlign w:val="bottom"/>
            <w:gridSpan w:val="3"/>
            <w:vMerge w:val="restart"/>
            <w:shd w:val="clear" w:color="auto" w:fill="CCECFF"/>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282,800,697</w:t>
            </w:r>
          </w:p>
        </w:tc>
        <w:tc>
          <w:tcPr>
            <w:tcW w:w="3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99"/>
              </w:rPr>
              <w:t>117,170,466</w:t>
            </w:r>
          </w:p>
        </w:tc>
        <w:tc>
          <w:tcPr>
            <w:tcW w:w="3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C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shd w:val="clear" w:color="auto" w:fill="CCECFF"/>
          </w:tcPr>
          <w:p>
            <w:pPr>
              <w:jc w:val="right"/>
              <w:ind w:right="180"/>
              <w:spacing w:after="0"/>
              <w:rPr>
                <w:sz w:val="20"/>
                <w:szCs w:val="20"/>
                <w:color w:val="auto"/>
              </w:rPr>
            </w:pPr>
            <w:r>
              <w:rPr>
                <w:rFonts w:ascii="Times New Roman" w:cs="Times New Roman" w:eastAsia="Times New Roman" w:hAnsi="Times New Roman"/>
                <w:sz w:val="14"/>
                <w:szCs w:val="14"/>
                <w:color w:val="auto"/>
              </w:rPr>
              <w:t>(53,874,411)</w:t>
            </w:r>
          </w:p>
        </w:tc>
        <w:tc>
          <w:tcPr>
            <w:tcW w:w="140" w:type="dxa"/>
            <w:vAlign w:val="bottom"/>
            <w:vMerge w:val="restart"/>
            <w:shd w:val="clear" w:color="auto" w:fill="CCECFF"/>
          </w:tcPr>
          <w:p>
            <w:pP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346,096,752</w:t>
            </w:r>
          </w:p>
        </w:tc>
        <w:tc>
          <w:tcPr>
            <w:tcW w:w="30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3,387,858</w:t>
            </w:r>
          </w:p>
        </w:tc>
        <w:tc>
          <w:tcPr>
            <w:tcW w:w="320" w:type="dxa"/>
            <w:vAlign w:val="bottom"/>
            <w:gridSpan w:val="2"/>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7,328,846</w:t>
            </w:r>
          </w:p>
        </w:tc>
        <w:tc>
          <w:tcPr>
            <w:tcW w:w="200" w:type="dxa"/>
            <w:vAlign w:val="bottom"/>
            <w:shd w:val="clear" w:color="auto" w:fill="CCECFF"/>
          </w:tcPr>
          <w:p>
            <w:pPr>
              <w:spacing w:after="0"/>
              <w:rPr>
                <w:sz w:val="12"/>
                <w:szCs w:val="12"/>
                <w:color w:val="auto"/>
              </w:rPr>
            </w:pPr>
          </w:p>
        </w:tc>
        <w:tc>
          <w:tcPr>
            <w:tcW w:w="80" w:type="dxa"/>
            <w:vAlign w:val="bottom"/>
            <w:vMerge w:val="restart"/>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vMerge w:val="restart"/>
            <w:shd w:val="clear" w:color="auto" w:fill="CCEC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2100" w:type="dxa"/>
            <w:vAlign w:val="bottom"/>
            <w:shd w:val="clear" w:color="auto" w:fill="CCECFF"/>
          </w:tcPr>
          <w:p>
            <w:pPr>
              <w:ind w:left="120"/>
              <w:spacing w:after="0"/>
              <w:rPr>
                <w:sz w:val="20"/>
                <w:szCs w:val="20"/>
                <w:color w:val="auto"/>
              </w:rPr>
            </w:pPr>
            <w:r>
              <w:rPr>
                <w:rFonts w:ascii="Times New Roman" w:cs="Times New Roman" w:eastAsia="Times New Roman" w:hAnsi="Times New Roman"/>
                <w:sz w:val="14"/>
                <w:szCs w:val="14"/>
                <w:b w:val="1"/>
                <w:bCs w:val="1"/>
                <w:color w:val="auto"/>
              </w:rPr>
              <w:t>Affiliates</w:t>
            </w:r>
          </w:p>
        </w:tc>
        <w:tc>
          <w:tcPr>
            <w:tcW w:w="240" w:type="dxa"/>
            <w:vAlign w:val="bottom"/>
            <w:gridSpan w:val="3"/>
            <w:vMerge w:val="continue"/>
            <w:shd w:val="clear" w:color="auto" w:fill="CCECFF"/>
          </w:tcPr>
          <w:p>
            <w:pPr>
              <w:spacing w:after="0"/>
              <w:rPr>
                <w:sz w:val="15"/>
                <w:szCs w:val="15"/>
                <w:color w:val="auto"/>
              </w:rPr>
            </w:pPr>
          </w:p>
        </w:tc>
        <w:tc>
          <w:tcPr>
            <w:tcW w:w="1080" w:type="dxa"/>
            <w:vAlign w:val="bottom"/>
            <w:vMerge w:val="continue"/>
            <w:shd w:val="clear" w:color="auto" w:fill="CCECFF"/>
          </w:tcPr>
          <w:p>
            <w:pPr>
              <w:spacing w:after="0"/>
              <w:rPr>
                <w:sz w:val="15"/>
                <w:szCs w:val="15"/>
                <w:color w:val="auto"/>
              </w:rPr>
            </w:pPr>
          </w:p>
        </w:tc>
        <w:tc>
          <w:tcPr>
            <w:tcW w:w="320" w:type="dxa"/>
            <w:vAlign w:val="bottom"/>
            <w:gridSpan w:val="2"/>
            <w:vMerge w:val="continue"/>
            <w:shd w:val="clear" w:color="auto" w:fill="CCECFF"/>
          </w:tcPr>
          <w:p>
            <w:pPr>
              <w:spacing w:after="0"/>
              <w:rPr>
                <w:sz w:val="15"/>
                <w:szCs w:val="15"/>
                <w:color w:val="auto"/>
              </w:rPr>
            </w:pPr>
          </w:p>
        </w:tc>
        <w:tc>
          <w:tcPr>
            <w:tcW w:w="740" w:type="dxa"/>
            <w:vAlign w:val="bottom"/>
            <w:vMerge w:val="continue"/>
            <w:shd w:val="clear" w:color="auto" w:fill="CCECFF"/>
          </w:tcPr>
          <w:p>
            <w:pPr>
              <w:spacing w:after="0"/>
              <w:rPr>
                <w:sz w:val="15"/>
                <w:szCs w:val="15"/>
                <w:color w:val="auto"/>
              </w:rPr>
            </w:pPr>
          </w:p>
        </w:tc>
        <w:tc>
          <w:tcPr>
            <w:tcW w:w="320" w:type="dxa"/>
            <w:vAlign w:val="bottom"/>
            <w:gridSpan w:val="2"/>
            <w:vMerge w:val="continue"/>
            <w:shd w:val="clear" w:color="auto" w:fill="CCECFF"/>
          </w:tcPr>
          <w:p>
            <w:pPr>
              <w:spacing w:after="0"/>
              <w:rPr>
                <w:sz w:val="15"/>
                <w:szCs w:val="15"/>
                <w:color w:val="auto"/>
              </w:rPr>
            </w:pPr>
          </w:p>
        </w:tc>
        <w:tc>
          <w:tcPr>
            <w:tcW w:w="1120" w:type="dxa"/>
            <w:vAlign w:val="bottom"/>
            <w:gridSpan w:val="2"/>
            <w:vMerge w:val="continue"/>
            <w:shd w:val="clear" w:color="auto" w:fill="CCECFF"/>
          </w:tcPr>
          <w:p>
            <w:pPr>
              <w:spacing w:after="0"/>
              <w:rPr>
                <w:sz w:val="15"/>
                <w:szCs w:val="15"/>
                <w:color w:val="auto"/>
              </w:rPr>
            </w:pPr>
          </w:p>
        </w:tc>
        <w:tc>
          <w:tcPr>
            <w:tcW w:w="100" w:type="dxa"/>
            <w:vAlign w:val="bottom"/>
            <w:vMerge w:val="continue"/>
            <w:shd w:val="clear" w:color="auto" w:fill="CCECFF"/>
          </w:tcPr>
          <w:p>
            <w:pPr>
              <w:spacing w:after="0"/>
              <w:rPr>
                <w:sz w:val="15"/>
                <w:szCs w:val="15"/>
                <w:color w:val="auto"/>
              </w:rPr>
            </w:pPr>
          </w:p>
        </w:tc>
        <w:tc>
          <w:tcPr>
            <w:tcW w:w="1120" w:type="dxa"/>
            <w:vAlign w:val="bottom"/>
            <w:gridSpan w:val="2"/>
            <w:vMerge w:val="continue"/>
            <w:shd w:val="clear" w:color="auto" w:fill="CCECFF"/>
          </w:tcPr>
          <w:p>
            <w:pPr>
              <w:spacing w:after="0"/>
              <w:rPr>
                <w:sz w:val="15"/>
                <w:szCs w:val="15"/>
                <w:color w:val="auto"/>
              </w:rPr>
            </w:pPr>
          </w:p>
        </w:tc>
        <w:tc>
          <w:tcPr>
            <w:tcW w:w="140" w:type="dxa"/>
            <w:vAlign w:val="bottom"/>
            <w:vMerge w:val="continue"/>
            <w:shd w:val="clear" w:color="auto" w:fill="CCECFF"/>
          </w:tcPr>
          <w:p>
            <w:pPr>
              <w:spacing w:after="0"/>
              <w:rPr>
                <w:sz w:val="15"/>
                <w:szCs w:val="15"/>
                <w:color w:val="auto"/>
              </w:rPr>
            </w:pPr>
          </w:p>
        </w:tc>
        <w:tc>
          <w:tcPr>
            <w:tcW w:w="1080" w:type="dxa"/>
            <w:vAlign w:val="bottom"/>
            <w:vMerge w:val="continue"/>
            <w:shd w:val="clear" w:color="auto" w:fill="CCECFF"/>
          </w:tcPr>
          <w:p>
            <w:pPr>
              <w:spacing w:after="0"/>
              <w:rPr>
                <w:sz w:val="15"/>
                <w:szCs w:val="15"/>
                <w:color w:val="auto"/>
              </w:rPr>
            </w:pPr>
          </w:p>
        </w:tc>
        <w:tc>
          <w:tcPr>
            <w:tcW w:w="300" w:type="dxa"/>
            <w:vAlign w:val="bottom"/>
            <w:gridSpan w:val="2"/>
            <w:vMerge w:val="continue"/>
            <w:shd w:val="clear" w:color="auto" w:fill="CCECFF"/>
          </w:tcPr>
          <w:p>
            <w:pPr>
              <w:spacing w:after="0"/>
              <w:rPr>
                <w:sz w:val="15"/>
                <w:szCs w:val="15"/>
                <w:color w:val="auto"/>
              </w:rPr>
            </w:pPr>
          </w:p>
        </w:tc>
        <w:tc>
          <w:tcPr>
            <w:tcW w:w="620" w:type="dxa"/>
            <w:vAlign w:val="bottom"/>
            <w:vMerge w:val="continue"/>
            <w:shd w:val="clear" w:color="auto" w:fill="CCECFF"/>
          </w:tcPr>
          <w:p>
            <w:pPr>
              <w:spacing w:after="0"/>
              <w:rPr>
                <w:sz w:val="15"/>
                <w:szCs w:val="15"/>
                <w:color w:val="auto"/>
              </w:rPr>
            </w:pPr>
          </w:p>
        </w:tc>
        <w:tc>
          <w:tcPr>
            <w:tcW w:w="320" w:type="dxa"/>
            <w:vAlign w:val="bottom"/>
            <w:gridSpan w:val="2"/>
            <w:vMerge w:val="continue"/>
            <w:shd w:val="clear" w:color="auto" w:fill="CCECFF"/>
          </w:tcPr>
          <w:p>
            <w:pPr>
              <w:spacing w:after="0"/>
              <w:rPr>
                <w:sz w:val="15"/>
                <w:szCs w:val="15"/>
                <w:color w:val="auto"/>
              </w:rPr>
            </w:pPr>
          </w:p>
        </w:tc>
        <w:tc>
          <w:tcPr>
            <w:tcW w:w="620" w:type="dxa"/>
            <w:vAlign w:val="bottom"/>
            <w:vMerge w:val="continue"/>
            <w:shd w:val="clear" w:color="auto" w:fill="CCECFF"/>
          </w:tcPr>
          <w:p>
            <w:pPr>
              <w:spacing w:after="0"/>
              <w:rPr>
                <w:sz w:val="15"/>
                <w:szCs w:val="15"/>
                <w:color w:val="auto"/>
              </w:rPr>
            </w:pPr>
          </w:p>
        </w:tc>
        <w:tc>
          <w:tcPr>
            <w:tcW w:w="200" w:type="dxa"/>
            <w:vAlign w:val="bottom"/>
            <w:shd w:val="clear" w:color="auto" w:fill="CCECFF"/>
          </w:tcPr>
          <w:p>
            <w:pPr>
              <w:spacing w:after="0"/>
              <w:rPr>
                <w:sz w:val="15"/>
                <w:szCs w:val="15"/>
                <w:color w:val="auto"/>
              </w:rPr>
            </w:pPr>
          </w:p>
        </w:tc>
        <w:tc>
          <w:tcPr>
            <w:tcW w:w="80" w:type="dxa"/>
            <w:vAlign w:val="bottom"/>
            <w:vMerge w:val="continue"/>
            <w:shd w:val="clear" w:color="auto" w:fill="CCECFF"/>
          </w:tcPr>
          <w:p>
            <w:pPr>
              <w:spacing w:after="0"/>
              <w:rPr>
                <w:sz w:val="15"/>
                <w:szCs w:val="15"/>
                <w:color w:val="auto"/>
              </w:rPr>
            </w:pPr>
          </w:p>
        </w:tc>
        <w:tc>
          <w:tcPr>
            <w:tcW w:w="740" w:type="dxa"/>
            <w:vAlign w:val="bottom"/>
            <w:gridSpan w:val="2"/>
            <w:vMerge w:val="continue"/>
            <w:shd w:val="clear" w:color="auto" w:fill="CCEC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00" w:type="dxa"/>
            <w:vAlign w:val="bottom"/>
            <w:tcBorders>
              <w:top w:val="single" w:sz="8" w:color="CCECFF"/>
            </w:tcBorders>
          </w:tcPr>
          <w:p>
            <w:pPr>
              <w:spacing w:after="0" w:line="20" w:lineRule="exact"/>
              <w:rPr>
                <w:sz w:val="1"/>
                <w:szCs w:val="1"/>
                <w:color w:val="auto"/>
              </w:rPr>
            </w:pPr>
          </w:p>
        </w:tc>
        <w:tc>
          <w:tcPr>
            <w:tcW w:w="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87" w:lineRule="auto"/>
        <w:tabs>
          <w:tab w:leader="none" w:pos="380" w:val="left"/>
        </w:tabs>
        <w:numPr>
          <w:ilvl w:val="0"/>
          <w:numId w:val="84"/>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Includes PIK.</w:t>
      </w:r>
    </w:p>
    <w:p>
      <w:pPr>
        <w:ind w:left="380" w:right="80" w:hanging="372"/>
        <w:spacing w:after="0" w:line="236" w:lineRule="auto"/>
        <w:tabs>
          <w:tab w:leader="none" w:pos="380" w:val="left"/>
        </w:tabs>
        <w:numPr>
          <w:ilvl w:val="0"/>
          <w:numId w:val="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and Pantheon are the members of PSLF, a joint venture formed as a Delaware limited liability company that is not consolidated by us for financial reporting purposes. The members of PSLF make investments in the PSLF in the form of subordinated debt and equity interests, and all portfolio and other material decision regarding PSLF must be submitted to PSFL’s board of directors or investment committee, both of which are comprised of two members appointed by each of us and Pantheon. Because management of PSLF is shared equally between us and Pantheon, we do not believe we control PSLF for purposes of the 1940 Act or otherwise.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CHANGE IN NET ASSETS FROM OPERATIONS PER COMMON SHARE</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information sets forth the computation of basic and diluted per share net increase in net assets resulting from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
        </w:trPr>
        <w:tc>
          <w:tcPr>
            <w:tcW w:w="6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6"/>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CFF"/>
            </w:tcBorders>
          </w:tcPr>
          <w:p>
            <w:pPr>
              <w:spacing w:after="0"/>
              <w:rPr>
                <w:sz w:val="13"/>
                <w:szCs w:val="13"/>
                <w:color w:val="auto"/>
              </w:rPr>
            </w:pPr>
          </w:p>
        </w:tc>
        <w:tc>
          <w:tcPr>
            <w:tcW w:w="2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CFF"/>
            </w:tcBorders>
          </w:tcPr>
          <w:p>
            <w:pPr>
              <w:spacing w:after="0"/>
              <w:rPr>
                <w:sz w:val="13"/>
                <w:szCs w:val="13"/>
                <w:color w:val="auto"/>
              </w:rPr>
            </w:pPr>
          </w:p>
        </w:tc>
        <w:tc>
          <w:tcPr>
            <w:tcW w:w="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Numerator for net (decrease) increase in net assets resulting from operations</w:t>
            </w:r>
          </w:p>
        </w:tc>
        <w:tc>
          <w:tcPr>
            <w:tcW w:w="300" w:type="dxa"/>
            <w:vAlign w:val="bottom"/>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(15,969,753)</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15,924,806</w:t>
            </w:r>
          </w:p>
        </w:tc>
        <w:tc>
          <w:tcPr>
            <w:tcW w:w="20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47,713,462</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Denominator for basic and diluted weighted average shares</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67,708,683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70,686,354</w:t>
            </w:r>
          </w:p>
        </w:tc>
        <w:tc>
          <w:tcPr>
            <w:tcW w:w="120" w:type="dxa"/>
            <w:vAlign w:val="bottom"/>
          </w:tcPr>
          <w:p>
            <w:pPr>
              <w:spacing w:after="0"/>
              <w:rPr>
                <w:sz w:val="14"/>
                <w:szCs w:val="14"/>
                <w:color w:val="auto"/>
              </w:rPr>
            </w:pPr>
          </w:p>
        </w:tc>
      </w:tr>
      <w:tr>
        <w:trPr>
          <w:trHeight w:val="162"/>
        </w:trPr>
        <w:tc>
          <w:tcPr>
            <w:tcW w:w="6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Basic and diluted net (decrease) increase in net assets per share resulting from operations</w:t>
            </w:r>
          </w:p>
        </w:tc>
        <w:tc>
          <w:tcPr>
            <w:tcW w:w="300" w:type="dxa"/>
            <w:vAlign w:val="bottom"/>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(0.24)</w:t>
            </w:r>
          </w:p>
        </w:tc>
        <w:tc>
          <w:tcPr>
            <w:tcW w:w="500" w:type="dxa"/>
            <w:vAlign w:val="bottom"/>
            <w:gridSpan w:val="2"/>
            <w:shd w:val="clear" w:color="auto" w:fill="CCECFF"/>
          </w:tcPr>
          <w:p>
            <w:pPr>
              <w:jc w:val="right"/>
              <w:ind w:right="183"/>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shd w:val="clear" w:color="auto" w:fill="CCECFF"/>
          </w:tcPr>
          <w:p>
            <w:pPr>
              <w:spacing w:after="0"/>
              <w:rPr>
                <w:sz w:val="14"/>
                <w:szCs w:val="14"/>
                <w:color w:val="auto"/>
              </w:rPr>
            </w:pPr>
          </w:p>
        </w:tc>
        <w:tc>
          <w:tcPr>
            <w:tcW w:w="360" w:type="dxa"/>
            <w:vAlign w:val="bottom"/>
            <w:gridSpan w:val="2"/>
            <w:shd w:val="clear" w:color="auto" w:fill="CCEC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0.68</w:t>
            </w:r>
          </w:p>
        </w:tc>
        <w:tc>
          <w:tcPr>
            <w:tcW w:w="120" w:type="dxa"/>
            <w:vAlign w:val="bottom"/>
            <w:shd w:val="clear" w:color="auto" w:fill="CCECFF"/>
          </w:tcPr>
          <w:p>
            <w:pPr>
              <w:spacing w:after="0"/>
              <w:rPr>
                <w:sz w:val="14"/>
                <w:szCs w:val="14"/>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TAXES AND DISTRIBUTIONS</w:t>
      </w:r>
    </w:p>
    <w:p>
      <w:pPr>
        <w:spacing w:after="0" w:line="125" w:lineRule="exact"/>
        <w:rPr>
          <w:sz w:val="20"/>
          <w:szCs w:val="20"/>
          <w:color w:val="auto"/>
        </w:rPr>
      </w:pPr>
    </w:p>
    <w:p>
      <w:pPr>
        <w:ind w:right="20" w:firstLine="438"/>
        <w:spacing w:after="0" w:line="236" w:lineRule="auto"/>
        <w:rPr>
          <w:sz w:val="20"/>
          <w:szCs w:val="20"/>
          <w:color w:val="auto"/>
        </w:rPr>
      </w:pPr>
      <w:r>
        <w:rPr>
          <w:rFonts w:ascii="Times New Roman" w:cs="Times New Roman" w:eastAsia="Times New Roman" w:hAnsi="Times New Roman"/>
          <w:sz w:val="14"/>
          <w:szCs w:val="14"/>
          <w:color w:val="auto"/>
        </w:rPr>
        <w:t>Distributions from net investment income and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gain or paid-in-capital, as appropriate. Distributions from net realized capital gains, if any, are normally declared and paid annually, but the Company may make distributions on a more frequent basis to comply with the distribution requirements for RICs under the Code.</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As of September 30, 2020 and 2019, the cost of investments for federal income tax purposes approximates the amortized cost reported in the Consolidated Schedule of Investments.</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amounts were reclassified for tax purposes: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Borders>
              <w:bottom w:val="single" w:sz="8" w:color="CCECFF"/>
            </w:tcBorders>
          </w:tcPr>
          <w:p>
            <w:pPr>
              <w:spacing w:after="0"/>
              <w:rPr>
                <w:sz w:val="13"/>
                <w:szCs w:val="13"/>
                <w:color w:val="auto"/>
              </w:rPr>
            </w:pPr>
          </w:p>
        </w:tc>
        <w:tc>
          <w:tcPr>
            <w:tcW w:w="2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Decrease in paid-in capital</w:t>
            </w:r>
          </w:p>
        </w:tc>
        <w:tc>
          <w:tcPr>
            <w:tcW w:w="300" w:type="dxa"/>
            <w:vAlign w:val="bottom"/>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(567,128)</w:t>
            </w:r>
          </w:p>
        </w:tc>
        <w:tc>
          <w:tcPr>
            <w:tcW w:w="8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(1,067,350)</w:t>
            </w:r>
          </w:p>
        </w:tc>
        <w:tc>
          <w:tcPr>
            <w:tcW w:w="26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(Decrease) increase in accumulated net realized gain</w:t>
            </w:r>
          </w:p>
        </w:tc>
        <w:tc>
          <w:tcPr>
            <w:tcW w:w="30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(1,805,680)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(2,136,670)</w:t>
            </w:r>
          </w:p>
        </w:tc>
        <w:tc>
          <w:tcPr>
            <w:tcW w:w="3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54,520</w:t>
            </w:r>
          </w:p>
        </w:tc>
        <w:tc>
          <w:tcPr>
            <w:tcW w:w="120" w:type="dxa"/>
            <w:vAlign w:val="bottom"/>
          </w:tcPr>
          <w:p>
            <w:pPr>
              <w:spacing w:after="0"/>
              <w:rPr>
                <w:sz w:val="14"/>
                <w:szCs w:val="14"/>
                <w:color w:val="auto"/>
              </w:rPr>
            </w:pPr>
          </w:p>
        </w:tc>
      </w:tr>
      <w:tr>
        <w:trPr>
          <w:trHeight w:val="162"/>
        </w:trPr>
        <w:tc>
          <w:tcPr>
            <w:tcW w:w="6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Increase (decrease) in undistributed net investment income</w:t>
            </w:r>
          </w:p>
        </w:tc>
        <w:tc>
          <w:tcPr>
            <w:tcW w:w="30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2,372,808</w:t>
            </w:r>
          </w:p>
        </w:tc>
        <w:tc>
          <w:tcPr>
            <w:tcW w:w="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3,204,020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(54,520)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gridSpan w:val="4"/>
          </w:tcPr>
          <w:p>
            <w:pPr>
              <w:ind w:left="440"/>
              <w:spacing w:after="0"/>
              <w:rPr>
                <w:sz w:val="20"/>
                <w:szCs w:val="20"/>
                <w:color w:val="auto"/>
              </w:rPr>
            </w:pPr>
            <w:r>
              <w:rPr>
                <w:rFonts w:ascii="Times New Roman" w:cs="Times New Roman" w:eastAsia="Times New Roman" w:hAnsi="Times New Roman"/>
                <w:sz w:val="14"/>
                <w:szCs w:val="14"/>
                <w:color w:val="auto"/>
              </w:rPr>
              <w:t>The following reconciles net (decrease) increase in net assets resulting from operations to taxable income:</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6"/>
        </w:trPr>
        <w:tc>
          <w:tcPr>
            <w:tcW w:w="5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56"/>
        </w:trPr>
        <w:tc>
          <w:tcPr>
            <w:tcW w:w="548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CFF"/>
            </w:tcBorders>
          </w:tcPr>
          <w:p>
            <w:pPr>
              <w:spacing w:after="0"/>
              <w:rPr>
                <w:sz w:val="13"/>
                <w:szCs w:val="13"/>
                <w:color w:val="auto"/>
              </w:rPr>
            </w:pPr>
          </w:p>
        </w:tc>
        <w:tc>
          <w:tcPr>
            <w:tcW w:w="140" w:type="dxa"/>
            <w:vAlign w:val="bottom"/>
            <w:tcBorders>
              <w:bottom w:val="single" w:sz="8" w:color="CCEC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2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2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6"/>
        </w:trPr>
        <w:tc>
          <w:tcPr>
            <w:tcW w:w="54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Net (decrease) increase in net assets resulting from operations</w:t>
            </w:r>
          </w:p>
        </w:tc>
        <w:tc>
          <w:tcPr>
            <w:tcW w:w="380" w:type="dxa"/>
            <w:vAlign w:val="bottom"/>
            <w:shd w:val="clear" w:color="auto" w:fill="CCECFF"/>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(15,969,753)</w:t>
            </w:r>
          </w:p>
        </w:tc>
        <w:tc>
          <w:tcPr>
            <w:tcW w:w="1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3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15,924,806</w:t>
            </w:r>
          </w:p>
        </w:tc>
        <w:tc>
          <w:tcPr>
            <w:tcW w:w="30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47,713,462</w:t>
            </w:r>
          </w:p>
        </w:tc>
        <w:tc>
          <w:tcPr>
            <w:tcW w:w="12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Net realized loss (gain) on investments</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20,827,252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108,515,658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(45,856,206)</w:t>
            </w:r>
          </w:p>
        </w:tc>
      </w:tr>
      <w:tr>
        <w:trPr>
          <w:trHeight w:val="162"/>
        </w:trPr>
        <w:tc>
          <w:tcPr>
            <w:tcW w:w="54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change in unrealized depreciation (appreciation) on investments and debt</w:t>
            </w:r>
          </w:p>
        </w:tc>
        <w:tc>
          <w:tcPr>
            <w:tcW w:w="380" w:type="dxa"/>
            <w:vAlign w:val="bottom"/>
            <w:shd w:val="clear" w:color="auto" w:fill="CCECFF"/>
          </w:tcPr>
          <w:p>
            <w:pPr>
              <w:spacing w:after="0"/>
              <w:rPr>
                <w:sz w:val="14"/>
                <w:szCs w:val="14"/>
                <w:color w:val="auto"/>
              </w:rPr>
            </w:pP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33,872,713</w:t>
            </w:r>
          </w:p>
        </w:tc>
        <w:tc>
          <w:tcPr>
            <w:tcW w:w="1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160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(79,843,493)</w:t>
            </w:r>
          </w:p>
        </w:tc>
        <w:tc>
          <w:tcPr>
            <w:tcW w:w="2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51,476,896</w:t>
            </w:r>
          </w:p>
        </w:tc>
        <w:tc>
          <w:tcPr>
            <w:tcW w:w="120" w:type="dxa"/>
            <w:vAlign w:val="bottom"/>
            <w:shd w:val="clear" w:color="auto" w:fill="CCECFF"/>
          </w:tcPr>
          <w:p>
            <w:pPr>
              <w:spacing w:after="0"/>
              <w:rPr>
                <w:sz w:val="14"/>
                <w:szCs w:val="14"/>
                <w:color w:val="auto"/>
              </w:rPr>
            </w:pPr>
          </w:p>
        </w:tc>
      </w:tr>
      <w:tr>
        <w:trPr>
          <w:trHeight w:val="16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Other book-to-tax differences</w:t>
            </w:r>
          </w:p>
        </w:tc>
        <w:tc>
          <w:tcPr>
            <w:tcW w:w="3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1,752,182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2,985,657</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(722,661)</w:t>
            </w:r>
          </w:p>
        </w:tc>
      </w:tr>
      <w:tr>
        <w:trPr>
          <w:trHeight w:val="162"/>
        </w:trPr>
        <w:tc>
          <w:tcPr>
            <w:tcW w:w="54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Other non-deductible expenses</w:t>
            </w:r>
          </w:p>
        </w:tc>
        <w:tc>
          <w:tcPr>
            <w:tcW w:w="38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2,837,966</w:t>
            </w:r>
          </w:p>
        </w:tc>
        <w:tc>
          <w:tcPr>
            <w:tcW w:w="1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38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2,874,707</w:t>
            </w:r>
          </w:p>
        </w:tc>
        <w:tc>
          <w:tcPr>
            <w:tcW w:w="30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30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343,083</w:t>
            </w:r>
          </w:p>
        </w:tc>
        <w:tc>
          <w:tcPr>
            <w:tcW w:w="120" w:type="dxa"/>
            <w:vAlign w:val="bottom"/>
            <w:shd w:val="clear" w:color="auto" w:fill="CCECFF"/>
          </w:tcPr>
          <w:p>
            <w:pPr>
              <w:spacing w:after="0"/>
              <w:rPr>
                <w:sz w:val="14"/>
                <w:szCs w:val="14"/>
                <w:color w:val="auto"/>
              </w:rPr>
            </w:pPr>
          </w:p>
        </w:tc>
      </w:tr>
      <w:tr>
        <w:trPr>
          <w:trHeight w:val="156"/>
        </w:trPr>
        <w:tc>
          <w:tcPr>
            <w:tcW w:w="54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Taxable income before dividends paid deduction</w:t>
            </w:r>
          </w:p>
        </w:tc>
        <w:tc>
          <w:tcPr>
            <w:tcW w:w="38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43,320,360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50,457,335</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52,954,574</w:t>
            </w:r>
          </w:p>
        </w:tc>
        <w:tc>
          <w:tcPr>
            <w:tcW w:w="120" w:type="dxa"/>
            <w:vAlign w:val="bottom"/>
          </w:tcPr>
          <w:p>
            <w:pPr>
              <w:spacing w:after="0"/>
              <w:rPr>
                <w:sz w:val="13"/>
                <w:szCs w:val="13"/>
                <w:color w:val="auto"/>
              </w:rPr>
            </w:pPr>
          </w:p>
        </w:tc>
      </w:tr>
      <w:tr>
        <w:trPr>
          <w:trHeight w:val="20"/>
        </w:trPr>
        <w:tc>
          <w:tcPr>
            <w:tcW w:w="5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components of undistributed taxable income on a tax basis and reconciliation to accumulated deficit on a book basis are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4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Undistributed net investment income – tax basis</w:t>
            </w:r>
          </w:p>
        </w:tc>
        <w:tc>
          <w:tcPr>
            <w:tcW w:w="300" w:type="dxa"/>
            <w:vAlign w:val="bottom"/>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21,934,012</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22,848,424</w:t>
            </w:r>
          </w:p>
        </w:tc>
        <w:tc>
          <w:tcPr>
            <w:tcW w:w="1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20,714,977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Realized loss carried forward</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(201,268,590)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(180,338,571)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(68,819,477)</w:t>
            </w:r>
          </w:p>
        </w:tc>
        <w:tc>
          <w:tcPr>
            <w:tcW w:w="0" w:type="dxa"/>
            <w:vAlign w:val="bottom"/>
          </w:tcPr>
          <w:p>
            <w:pPr>
              <w:spacing w:after="0"/>
              <w:rPr>
                <w:sz w:val="1"/>
                <w:szCs w:val="1"/>
                <w:color w:val="auto"/>
              </w:rPr>
            </w:pPr>
          </w:p>
        </w:tc>
      </w:tr>
      <w:tr>
        <w:trPr>
          <w:trHeight w:val="162"/>
        </w:trPr>
        <w:tc>
          <w:tcPr>
            <w:tcW w:w="64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Distributions payable and other book to tax differences</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(18,407,316)</w:t>
            </w:r>
          </w:p>
        </w:tc>
        <w:tc>
          <w:tcPr>
            <w:tcW w:w="1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(18,494,772)</w:t>
            </w:r>
          </w:p>
        </w:tc>
        <w:tc>
          <w:tcPr>
            <w:tcW w:w="1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0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(16,579,769)</w:t>
            </w: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Net unrealized depreciation on investments and debt</w:t>
            </w:r>
          </w:p>
        </w:tc>
        <w:tc>
          <w:tcPr>
            <w:tcW w:w="30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(64,241,330)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(30,368,617)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(110,212,110)</w:t>
            </w:r>
          </w:p>
        </w:tc>
        <w:tc>
          <w:tcPr>
            <w:tcW w:w="0" w:type="dxa"/>
            <w:vAlign w:val="bottom"/>
          </w:tcPr>
          <w:p>
            <w:pPr>
              <w:spacing w:after="0"/>
              <w:rPr>
                <w:sz w:val="1"/>
                <w:szCs w:val="1"/>
                <w:color w:val="auto"/>
              </w:rPr>
            </w:pPr>
          </w:p>
        </w:tc>
      </w:tr>
      <w:tr>
        <w:trPr>
          <w:trHeight w:val="155"/>
        </w:trPr>
        <w:tc>
          <w:tcPr>
            <w:tcW w:w="64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accumulated deficit – book basis</w:t>
            </w: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(261,983,224)</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(206,353,536)</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(174,896,379)</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The tax characteristics of distributions declared are as follows: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4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46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6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CFF"/>
            </w:tcBorders>
          </w:tcPr>
          <w:p>
            <w:pPr>
              <w:spacing w:after="0"/>
              <w:rPr>
                <w:sz w:val="13"/>
                <w:szCs w:val="13"/>
                <w:color w:val="auto"/>
              </w:rPr>
            </w:pPr>
          </w:p>
        </w:tc>
      </w:tr>
      <w:tr>
        <w:trPr>
          <w:trHeight w:val="156"/>
        </w:trPr>
        <w:tc>
          <w:tcPr>
            <w:tcW w:w="64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Ordinary income (including short-term gains, if any)</w:t>
            </w:r>
          </w:p>
        </w:tc>
        <w:tc>
          <w:tcPr>
            <w:tcW w:w="300" w:type="dxa"/>
            <w:vAlign w:val="bottom"/>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40,227,163</w:t>
            </w:r>
          </w:p>
        </w:tc>
        <w:tc>
          <w:tcPr>
            <w:tcW w:w="280" w:type="dxa"/>
            <w:vAlign w:val="bottom"/>
            <w:shd w:val="clear" w:color="auto" w:fill="CCECFF"/>
          </w:tcPr>
          <w:p>
            <w:pPr>
              <w:spacing w:after="0"/>
              <w:rPr>
                <w:sz w:val="13"/>
                <w:szCs w:val="13"/>
                <w:color w:val="auto"/>
              </w:rPr>
            </w:pPr>
          </w:p>
        </w:tc>
        <w:tc>
          <w:tcPr>
            <w:tcW w:w="300" w:type="dxa"/>
            <w:vAlign w:val="bottom"/>
            <w:shd w:val="clear" w:color="auto" w:fill="CCEC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48,449,313</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50,609,467</w:t>
            </w:r>
          </w:p>
        </w:tc>
        <w:tc>
          <w:tcPr>
            <w:tcW w:w="120" w:type="dxa"/>
            <w:vAlign w:val="bottom"/>
            <w:shd w:val="clear" w:color="auto" w:fill="CCECFF"/>
          </w:tcPr>
          <w:p>
            <w:pPr>
              <w:spacing w:after="0"/>
              <w:rPr>
                <w:sz w:val="13"/>
                <w:szCs w:val="13"/>
                <w:color w:val="auto"/>
              </w:rPr>
            </w:pPr>
          </w:p>
        </w:tc>
      </w:tr>
      <w:tr>
        <w:trPr>
          <w:trHeight w:val="162"/>
        </w:trPr>
        <w:tc>
          <w:tcPr>
            <w:tcW w:w="6460" w:type="dxa"/>
            <w:vAlign w:val="bottom"/>
          </w:tcPr>
          <w:p>
            <w:pPr>
              <w:spacing w:after="0"/>
              <w:rPr>
                <w:sz w:val="20"/>
                <w:szCs w:val="20"/>
                <w:color w:val="auto"/>
              </w:rPr>
            </w:pPr>
            <w:r>
              <w:rPr>
                <w:rFonts w:ascii="Times New Roman" w:cs="Times New Roman" w:eastAsia="Times New Roman" w:hAnsi="Times New Roman"/>
                <w:sz w:val="14"/>
                <w:szCs w:val="14"/>
                <w:color w:val="auto"/>
              </w:rPr>
              <w:t>Long-term capital gain</w:t>
            </w: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r>
      <w:tr>
        <w:trPr>
          <w:trHeight w:val="156"/>
        </w:trPr>
        <w:tc>
          <w:tcPr>
            <w:tcW w:w="646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distributions</w:t>
            </w: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40,227,163</w:t>
            </w:r>
          </w:p>
        </w:tc>
        <w:tc>
          <w:tcPr>
            <w:tcW w:w="28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48,449,313</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50,609,467</w:t>
            </w:r>
          </w:p>
        </w:tc>
        <w:tc>
          <w:tcPr>
            <w:tcW w:w="120" w:type="dxa"/>
            <w:vAlign w:val="bottom"/>
            <w:tcBorders>
              <w:top w:val="single" w:sz="8" w:color="CCECFF"/>
            </w:tcBorders>
            <w:shd w:val="clear" w:color="auto" w:fill="CCECFF"/>
          </w:tcPr>
          <w:p>
            <w:pPr>
              <w:spacing w:after="0"/>
              <w:rPr>
                <w:sz w:val="13"/>
                <w:szCs w:val="13"/>
                <w:color w:val="auto"/>
              </w:rPr>
            </w:pPr>
          </w:p>
        </w:tc>
      </w:tr>
      <w:tr>
        <w:trPr>
          <w:trHeight w:val="155"/>
        </w:trPr>
        <w:tc>
          <w:tcPr>
            <w:tcW w:w="64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Total distributions declared per share</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0.60</w:t>
            </w:r>
          </w:p>
        </w:tc>
        <w:tc>
          <w:tcPr>
            <w:tcW w:w="280" w:type="dxa"/>
            <w:vAlign w:val="bottom"/>
          </w:tcPr>
          <w:p>
            <w:pPr>
              <w:spacing w:after="0"/>
              <w:rPr>
                <w:sz w:val="13"/>
                <w:szCs w:val="13"/>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0.72</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0.72</w:t>
            </w:r>
          </w:p>
        </w:tc>
        <w:tc>
          <w:tcPr>
            <w:tcW w:w="120" w:type="dxa"/>
            <w:vAlign w:val="bottom"/>
          </w:tcPr>
          <w:p>
            <w:pPr>
              <w:spacing w:after="0"/>
              <w:rPr>
                <w:sz w:val="13"/>
                <w:szCs w:val="13"/>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CASH AND CASH EQUIVALENTS</w:t>
      </w:r>
    </w:p>
    <w:p>
      <w:pPr>
        <w:spacing w:after="0" w:line="138" w:lineRule="exact"/>
        <w:rPr>
          <w:sz w:val="20"/>
          <w:szCs w:val="20"/>
          <w:color w:val="auto"/>
        </w:rPr>
      </w:pPr>
    </w:p>
    <w:p>
      <w:pPr>
        <w:ind w:right="80" w:firstLine="438"/>
        <w:spacing w:after="0" w:line="228" w:lineRule="auto"/>
        <w:rPr>
          <w:sz w:val="20"/>
          <w:szCs w:val="20"/>
          <w:color w:val="auto"/>
        </w:rPr>
      </w:pPr>
      <w:r>
        <w:rPr>
          <w:rFonts w:ascii="Times New Roman" w:cs="Times New Roman" w:eastAsia="Times New Roman" w:hAnsi="Times New Roman"/>
          <w:sz w:val="14"/>
          <w:szCs w:val="14"/>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2020 and 2019, cash and cash equivalents consisted of money market funds in the amounts of $25.8 million and $59.5 million at fair value,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10. FINANCIAL HIGHLIGHTS</w:t>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Below are the financial highlights for each of the years ended September 30:</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CFF"/>
            </w:tcBorders>
          </w:tcPr>
          <w:p>
            <w:pPr>
              <w:spacing w:after="0"/>
              <w:rPr>
                <w:sz w:val="2"/>
                <w:szCs w:val="2"/>
                <w:color w:val="auto"/>
              </w:rPr>
            </w:pPr>
          </w:p>
        </w:tc>
        <w:tc>
          <w:tcPr>
            <w:tcW w:w="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CFF"/>
            </w:tcBorders>
          </w:tcPr>
          <w:p>
            <w:pPr>
              <w:spacing w:after="0"/>
              <w:rPr>
                <w:sz w:val="2"/>
                <w:szCs w:val="2"/>
                <w:color w:val="auto"/>
              </w:rPr>
            </w:pPr>
          </w:p>
        </w:tc>
        <w:tc>
          <w:tcPr>
            <w:tcW w:w="80" w:type="dxa"/>
            <w:vAlign w:val="bottom"/>
            <w:tcBorders>
              <w:bottom w:val="single" w:sz="8" w:color="CCEC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CCEC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CFF"/>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98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Per Share Data:</w:t>
            </w:r>
          </w:p>
        </w:tc>
        <w:tc>
          <w:tcPr>
            <w:tcW w:w="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3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Net asset value, beginning of year</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40" w:type="dxa"/>
            <w:vAlign w:val="bottom"/>
          </w:tcPr>
          <w:p>
            <w:pPr>
              <w:spacing w:after="0"/>
              <w:rPr>
                <w:sz w:val="14"/>
                <w:szCs w:val="14"/>
                <w:color w:val="auto"/>
              </w:rPr>
            </w:pPr>
          </w:p>
        </w:tc>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32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80" w:type="dxa"/>
            <w:vAlign w:val="bottom"/>
          </w:tcPr>
          <w:p>
            <w:pPr>
              <w:spacing w:after="0"/>
              <w:rPr>
                <w:sz w:val="14"/>
                <w:szCs w:val="14"/>
                <w:color w:val="auto"/>
              </w:rPr>
            </w:pPr>
          </w:p>
        </w:tc>
        <w:tc>
          <w:tcPr>
            <w:tcW w:w="2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Net investment income </w:t>
            </w:r>
            <w:r>
              <w:rPr>
                <w:rFonts w:ascii="Times New Roman" w:cs="Times New Roman" w:eastAsia="Times New Roman" w:hAnsi="Times New Roman"/>
                <w:sz w:val="12"/>
                <w:szCs w:val="12"/>
                <w:color w:val="auto"/>
              </w:rPr>
              <w:t>(1)</w:t>
            </w: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3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0.75</w:t>
            </w: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0.79</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Net realized and unrealized (loss) gain </w:t>
            </w:r>
            <w:r>
              <w:rPr>
                <w:rFonts w:ascii="Times New Roman" w:cs="Times New Roman" w:eastAsia="Times New Roman" w:hAnsi="Times New Roman"/>
                <w:sz w:val="12"/>
                <w:szCs w:val="12"/>
                <w:color w:val="auto"/>
              </w:rPr>
              <w:t>(1)</w:t>
            </w:r>
          </w:p>
        </w:tc>
        <w:tc>
          <w:tcPr>
            <w:tcW w:w="16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(0.82)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(0.42)</w:t>
            </w: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(0.73)</w:t>
            </w:r>
          </w:p>
        </w:tc>
        <w:tc>
          <w:tcPr>
            <w:tcW w:w="0" w:type="dxa"/>
            <w:vAlign w:val="bottom"/>
          </w:tcPr>
          <w:p>
            <w:pPr>
              <w:spacing w:after="0"/>
              <w:rPr>
                <w:sz w:val="1"/>
                <w:szCs w:val="1"/>
                <w:color w:val="auto"/>
              </w:rPr>
            </w:pPr>
          </w:p>
        </w:tc>
      </w:tr>
      <w:tr>
        <w:trPr>
          <w:trHeight w:val="156"/>
        </w:trPr>
        <w:tc>
          <w:tcPr>
            <w:tcW w:w="498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Net (decrease) increase in net assets resulting from operations </w:t>
            </w:r>
            <w:r>
              <w:rPr>
                <w:rFonts w:ascii="Times New Roman" w:cs="Times New Roman" w:eastAsia="Times New Roman" w:hAnsi="Times New Roman"/>
                <w:sz w:val="12"/>
                <w:szCs w:val="12"/>
                <w:color w:val="auto"/>
              </w:rPr>
              <w:t>(1)</w:t>
            </w: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(0.24)</w:t>
            </w:r>
          </w:p>
        </w:tc>
        <w:tc>
          <w:tcPr>
            <w:tcW w:w="24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0.24</w:t>
            </w:r>
          </w:p>
        </w:tc>
        <w:tc>
          <w:tcPr>
            <w:tcW w:w="3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0.68</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0.87</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0.26</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Distributions to stockholders </w:t>
            </w:r>
            <w:r>
              <w:rPr>
                <w:rFonts w:ascii="Times New Roman" w:cs="Times New Roman" w:eastAsia="Times New Roman" w:hAnsi="Times New Roman"/>
                <w:sz w:val="12"/>
                <w:szCs w:val="12"/>
                <w:color w:val="auto"/>
              </w:rPr>
              <w:t>(1), (2)</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ind w:left="80"/>
              <w:spacing w:after="0"/>
              <w:rPr>
                <w:sz w:val="20"/>
                <w:szCs w:val="20"/>
                <w:color w:val="auto"/>
              </w:rPr>
            </w:pPr>
            <w:r>
              <w:rPr>
                <w:rFonts w:ascii="Times New Roman" w:cs="Times New Roman" w:eastAsia="Times New Roman" w:hAnsi="Times New Roman"/>
                <w:sz w:val="14"/>
                <w:szCs w:val="14"/>
                <w:color w:val="auto"/>
              </w:rPr>
              <w:t>Distribution of net investment income</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(0.60)</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Times New Roman" w:cs="Times New Roman" w:eastAsia="Times New Roman" w:hAnsi="Times New Roman"/>
                <w:sz w:val="14"/>
                <w:szCs w:val="14"/>
                <w:color w:val="auto"/>
              </w:rPr>
              <w:t>(0.72)</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(0.72)</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(0.82)</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80"/>
              <w:spacing w:after="0"/>
              <w:rPr>
                <w:sz w:val="20"/>
                <w:szCs w:val="20"/>
                <w:color w:val="auto"/>
              </w:rPr>
            </w:pPr>
            <w:r>
              <w:rPr>
                <w:rFonts w:ascii="Times New Roman" w:cs="Times New Roman" w:eastAsia="Times New Roman" w:hAnsi="Times New Roman"/>
                <w:sz w:val="14"/>
                <w:szCs w:val="14"/>
                <w:color w:val="auto"/>
              </w:rPr>
              <w:t>(0.81)</w:t>
            </w:r>
          </w:p>
        </w:tc>
        <w:tc>
          <w:tcPr>
            <w:tcW w:w="0" w:type="dxa"/>
            <w:vAlign w:val="bottom"/>
          </w:tcPr>
          <w:p>
            <w:pPr>
              <w:spacing w:after="0"/>
              <w:rPr>
                <w:sz w:val="1"/>
                <w:szCs w:val="1"/>
                <w:color w:val="auto"/>
              </w:rPr>
            </w:pPr>
          </w:p>
        </w:tc>
      </w:tr>
      <w:tr>
        <w:trPr>
          <w:trHeight w:val="162"/>
        </w:trPr>
        <w:tc>
          <w:tcPr>
            <w:tcW w:w="4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Distribution of realized gains</w:t>
            </w: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(0.30)</w:t>
            </w:r>
          </w:p>
        </w:tc>
        <w:tc>
          <w:tcPr>
            <w:tcW w:w="0" w:type="dxa"/>
            <w:vAlign w:val="bottom"/>
          </w:tcPr>
          <w:p>
            <w:pPr>
              <w:spacing w:after="0"/>
              <w:rPr>
                <w:sz w:val="1"/>
                <w:szCs w:val="1"/>
                <w:color w:val="auto"/>
              </w:rPr>
            </w:pPr>
          </w:p>
        </w:tc>
      </w:tr>
      <w:tr>
        <w:trPr>
          <w:trHeight w:val="156"/>
        </w:trPr>
        <w:tc>
          <w:tcPr>
            <w:tcW w:w="498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distributions to stockholders</w:t>
            </w: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(0.60)</w:t>
            </w:r>
          </w:p>
        </w:tc>
        <w:tc>
          <w:tcPr>
            <w:tcW w:w="24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(0.72)</w:t>
            </w:r>
          </w:p>
        </w:tc>
        <w:tc>
          <w:tcPr>
            <w:tcW w:w="3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(0.72)</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(0.82)</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(1.11)</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Repurchase of common stock </w:t>
            </w:r>
            <w:r>
              <w:rPr>
                <w:rFonts w:ascii="Times New Roman" w:cs="Times New Roman" w:eastAsia="Times New Roman" w:hAnsi="Times New Roman"/>
                <w:sz w:val="12"/>
                <w:szCs w:val="12"/>
                <w:color w:val="auto"/>
              </w:rPr>
              <w:t>(1)</w:t>
            </w: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Net asset value, end of year</w:t>
            </w:r>
          </w:p>
        </w:tc>
        <w:tc>
          <w:tcPr>
            <w:tcW w:w="160" w:type="dxa"/>
            <w:vAlign w:val="bottom"/>
            <w:tcBorders>
              <w:top w:val="single" w:sz="8" w:color="auto"/>
              <w:bottom w:val="single" w:sz="8" w:color="auto"/>
            </w:tcBorders>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7.84</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6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8.68</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9.11</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9.10</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9.05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Per share market value, end of year</w:t>
            </w: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80" w:type="dxa"/>
            <w:vAlign w:val="bottom"/>
            <w:tcBorders>
              <w:bottom w:val="single" w:sz="8" w:color="CCECFF"/>
            </w:tcBorders>
            <w:vMerge w:val="continue"/>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3.19</w:t>
            </w:r>
          </w:p>
        </w:tc>
        <w:tc>
          <w:tcPr>
            <w:tcW w:w="240" w:type="dxa"/>
            <w:vAlign w:val="bottom"/>
            <w:tcBorders>
              <w:bottom w:val="single" w:sz="8" w:color="CCECFF"/>
            </w:tcBorders>
          </w:tcPr>
          <w:p>
            <w:pPr>
              <w:spacing w:after="0"/>
              <w:rPr>
                <w:sz w:val="15"/>
                <w:szCs w:val="15"/>
                <w:color w:val="auto"/>
              </w:rPr>
            </w:pPr>
          </w:p>
        </w:tc>
        <w:tc>
          <w:tcPr>
            <w:tcW w:w="6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6.27</w:t>
            </w:r>
          </w:p>
        </w:tc>
        <w:tc>
          <w:tcPr>
            <w:tcW w:w="32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7.46</w:t>
            </w:r>
          </w:p>
        </w:tc>
        <w:tc>
          <w:tcPr>
            <w:tcW w:w="180" w:type="dxa"/>
            <w:vAlign w:val="bottom"/>
            <w:tcBorders>
              <w:bottom w:val="single" w:sz="8" w:color="CCECFF"/>
            </w:tcBorders>
          </w:tcPr>
          <w:p>
            <w:pPr>
              <w:spacing w:after="0"/>
              <w:rPr>
                <w:sz w:val="15"/>
                <w:szCs w:val="15"/>
                <w:color w:val="auto"/>
              </w:rPr>
            </w:pPr>
          </w:p>
        </w:tc>
        <w:tc>
          <w:tcPr>
            <w:tcW w:w="8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7.51</w:t>
            </w:r>
          </w:p>
        </w:tc>
        <w:tc>
          <w:tcPr>
            <w:tcW w:w="260" w:type="dxa"/>
            <w:vAlign w:val="bottom"/>
            <w:tcBorders>
              <w:bottom w:val="single" w:sz="8" w:color="CCEC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7.52</w:t>
            </w:r>
          </w:p>
        </w:tc>
        <w:tc>
          <w:tcPr>
            <w:tcW w:w="14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CFF"/>
          </w:tcPr>
          <w:p>
            <w:pPr>
              <w:spacing w:after="0" w:line="143" w:lineRule="exact"/>
              <w:rPr>
                <w:sz w:val="20"/>
                <w:szCs w:val="20"/>
                <w:color w:val="auto"/>
              </w:rPr>
            </w:pPr>
            <w:r>
              <w:rPr>
                <w:rFonts w:ascii="Times New Roman" w:cs="Times New Roman" w:eastAsia="Times New Roman" w:hAnsi="Times New Roman"/>
                <w:sz w:val="14"/>
                <w:szCs w:val="14"/>
                <w:color w:val="auto"/>
              </w:rPr>
              <w:t xml:space="preserve">Total return </w:t>
            </w:r>
            <w:r>
              <w:rPr>
                <w:rFonts w:ascii="Times New Roman" w:cs="Times New Roman" w:eastAsia="Times New Roman" w:hAnsi="Times New Roman"/>
                <w:sz w:val="12"/>
                <w:szCs w:val="12"/>
                <w:color w:val="auto"/>
              </w:rPr>
              <w:t>(3)</w:t>
            </w:r>
          </w:p>
        </w:tc>
        <w:tc>
          <w:tcPr>
            <w:tcW w:w="16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(39.62)%</w:t>
            </w: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140" w:type="dxa"/>
            <w:vAlign w:val="bottom"/>
            <w:gridSpan w:val="2"/>
            <w:shd w:val="clear" w:color="auto" w:fill="CCEC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(6.28)%</w:t>
            </w:r>
          </w:p>
        </w:tc>
        <w:tc>
          <w:tcPr>
            <w:tcW w:w="160" w:type="dxa"/>
            <w:vAlign w:val="bottom"/>
            <w:shd w:val="clear" w:color="auto" w:fill="CCECFF"/>
          </w:tcPr>
          <w:p>
            <w:pPr>
              <w:spacing w:after="0"/>
              <w:rPr>
                <w:sz w:val="12"/>
                <w:szCs w:val="12"/>
                <w:color w:val="auto"/>
              </w:rPr>
            </w:pPr>
          </w:p>
        </w:tc>
        <w:tc>
          <w:tcPr>
            <w:tcW w:w="1020" w:type="dxa"/>
            <w:vAlign w:val="bottom"/>
            <w:gridSpan w:val="2"/>
            <w:shd w:val="clear" w:color="auto" w:fill="CCEC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9.70%</w:t>
            </w: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1080" w:type="dxa"/>
            <w:vAlign w:val="bottom"/>
            <w:gridSpan w:val="2"/>
            <w:shd w:val="clear" w:color="auto" w:fill="CCEC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10.80%</w:t>
            </w:r>
          </w:p>
        </w:tc>
        <w:tc>
          <w:tcPr>
            <w:tcW w:w="18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20"/>
              <w:spacing w:after="0" w:line="143" w:lineRule="exact"/>
              <w:rPr>
                <w:sz w:val="20"/>
                <w:szCs w:val="20"/>
                <w:color w:val="auto"/>
              </w:rPr>
            </w:pPr>
            <w:r>
              <w:rPr>
                <w:rFonts w:ascii="Times New Roman" w:cs="Times New Roman" w:eastAsia="Times New Roman" w:hAnsi="Times New Roman"/>
                <w:sz w:val="14"/>
                <w:szCs w:val="14"/>
                <w:color w:val="auto"/>
              </w:rPr>
              <w:t>36.64%</w:t>
            </w:r>
          </w:p>
        </w:tc>
        <w:tc>
          <w:tcPr>
            <w:tcW w:w="0" w:type="dxa"/>
            <w:vAlign w:val="bottom"/>
          </w:tcPr>
          <w:p>
            <w:pPr>
              <w:spacing w:after="0"/>
              <w:rPr>
                <w:sz w:val="1"/>
                <w:szCs w:val="1"/>
                <w:color w:val="auto"/>
              </w:rPr>
            </w:pPr>
          </w:p>
        </w:tc>
      </w:tr>
      <w:tr>
        <w:trPr>
          <w:trHeight w:val="202"/>
        </w:trPr>
        <w:tc>
          <w:tcPr>
            <w:tcW w:w="498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4"/>
                <w:szCs w:val="14"/>
                <w:color w:val="auto"/>
              </w:rPr>
              <w:t>Shares outstanding at end of year</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240" w:type="dxa"/>
            <w:vAlign w:val="bottom"/>
            <w:tcBorders>
              <w:bottom w:val="single" w:sz="8" w:color="CCECFF"/>
            </w:tcBorders>
          </w:tcPr>
          <w:p>
            <w:pPr>
              <w:spacing w:after="0"/>
              <w:rPr>
                <w:sz w:val="17"/>
                <w:szCs w:val="17"/>
                <w:color w:val="auto"/>
              </w:rPr>
            </w:pPr>
          </w:p>
        </w:tc>
        <w:tc>
          <w:tcPr>
            <w:tcW w:w="6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67,045,105</w:t>
            </w:r>
          </w:p>
        </w:tc>
        <w:tc>
          <w:tcPr>
            <w:tcW w:w="32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69,053,958</w:t>
            </w:r>
          </w:p>
        </w:tc>
        <w:tc>
          <w:tcPr>
            <w:tcW w:w="18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71,060,836</w:t>
            </w:r>
          </w:p>
        </w:tc>
        <w:tc>
          <w:tcPr>
            <w:tcW w:w="260" w:type="dxa"/>
            <w:vAlign w:val="bottom"/>
            <w:tcBorders>
              <w:bottom w:val="single" w:sz="8" w:color="CCEC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71,060,836</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980" w:type="dxa"/>
            <w:vAlign w:val="bottom"/>
            <w:shd w:val="clear" w:color="auto" w:fill="CCECFF"/>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Ratios / Supplemental Data:</w:t>
            </w:r>
          </w:p>
        </w:tc>
        <w:tc>
          <w:tcPr>
            <w:tcW w:w="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4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Ratio of operating expenses to average net assets </w:t>
            </w:r>
            <w:r>
              <w:rPr>
                <w:rFonts w:ascii="Times New Roman" w:cs="Times New Roman" w:eastAsia="Times New Roman" w:hAnsi="Times New Roman"/>
                <w:sz w:val="12"/>
                <w:szCs w:val="12"/>
                <w:color w:val="auto"/>
              </w:rPr>
              <w:t>(4), (6)</w:t>
            </w:r>
          </w:p>
        </w:tc>
        <w:tc>
          <w:tcPr>
            <w:tcW w:w="16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4.91%</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4.83%</w:t>
            </w:r>
          </w:p>
        </w:tc>
        <w:tc>
          <w:tcPr>
            <w:tcW w:w="16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4.99%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5.78%</w:t>
            </w: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Ratio of interest and expenses on debt to average net assets </w:t>
            </w:r>
            <w:r>
              <w:rPr>
                <w:rFonts w:ascii="Times New Roman" w:cs="Times New Roman" w:eastAsia="Times New Roman" w:hAnsi="Times New Roman"/>
                <w:sz w:val="12"/>
                <w:szCs w:val="12"/>
                <w:color w:val="auto"/>
              </w:rPr>
              <w:t>(5)</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6.22%</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6.29%</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4.69%</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xml:space="preserve">Ratio of total expenses to average net assets </w:t>
            </w:r>
            <w:r>
              <w:rPr>
                <w:rFonts w:ascii="Times New Roman" w:cs="Times New Roman" w:eastAsia="Times New Roman" w:hAnsi="Times New Roman"/>
                <w:sz w:val="12"/>
                <w:szCs w:val="12"/>
                <w:color w:val="auto"/>
              </w:rPr>
              <w:t>(5), (6)</w:t>
            </w: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9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11.13%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11.12%</w:t>
            </w:r>
          </w:p>
        </w:tc>
        <w:tc>
          <w:tcPr>
            <w:tcW w:w="160" w:type="dxa"/>
            <w:vAlign w:val="bottom"/>
          </w:tcPr>
          <w:p>
            <w:pPr>
              <w:spacing w:after="0"/>
              <w:rPr>
                <w:sz w:val="13"/>
                <w:szCs w:val="13"/>
                <w:color w:val="auto"/>
              </w:rPr>
            </w:pPr>
          </w:p>
        </w:tc>
        <w:tc>
          <w:tcPr>
            <w:tcW w:w="102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8.53%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10.47%</w:t>
            </w:r>
          </w:p>
        </w:tc>
        <w:tc>
          <w:tcPr>
            <w:tcW w:w="180" w:type="dxa"/>
            <w:vAlign w:val="bottom"/>
          </w:tcPr>
          <w:p>
            <w:pPr>
              <w:spacing w:after="0"/>
              <w:rPr>
                <w:sz w:val="13"/>
                <w:szCs w:val="13"/>
                <w:color w:val="auto"/>
              </w:rPr>
            </w:pPr>
          </w:p>
        </w:tc>
        <w:tc>
          <w:tcPr>
            <w:tcW w:w="96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10.83%</w:t>
            </w: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Ratio of net investment income to average net assets </w:t>
            </w:r>
            <w:r>
              <w:rPr>
                <w:rFonts w:ascii="Times New Roman" w:cs="Times New Roman" w:eastAsia="Times New Roman" w:hAnsi="Times New Roman"/>
                <w:sz w:val="12"/>
                <w:szCs w:val="12"/>
                <w:color w:val="auto"/>
              </w:rPr>
              <w:t>(5)</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7.01%</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7.35%</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8.28%</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8.67%</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10.70%</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Net assets at end of year</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525,708,852</w:t>
            </w:r>
          </w:p>
        </w:tc>
        <w:tc>
          <w:tcPr>
            <w:tcW w:w="240" w:type="dxa"/>
            <w:vAlign w:val="bottom"/>
          </w:tcPr>
          <w:p>
            <w:pPr>
              <w:spacing w:after="0"/>
              <w:rPr>
                <w:sz w:val="14"/>
                <w:szCs w:val="14"/>
                <w:color w:val="auto"/>
              </w:rPr>
            </w:pPr>
          </w:p>
        </w:tc>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581,905,668</w:t>
            </w:r>
          </w:p>
        </w:tc>
        <w:tc>
          <w:tcPr>
            <w:tcW w:w="32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628,901,895</w:t>
            </w:r>
          </w:p>
        </w:tc>
        <w:tc>
          <w:tcPr>
            <w:tcW w:w="180" w:type="dxa"/>
            <w:vAlign w:val="bottom"/>
          </w:tcPr>
          <w:p>
            <w:pPr>
              <w:spacing w:after="0"/>
              <w:rPr>
                <w:sz w:val="14"/>
                <w:szCs w:val="14"/>
                <w:color w:val="auto"/>
              </w:rPr>
            </w:pPr>
          </w:p>
        </w:tc>
        <w:tc>
          <w:tcPr>
            <w:tcW w:w="2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646,808,471</w:t>
            </w:r>
          </w:p>
        </w:tc>
        <w:tc>
          <w:tcPr>
            <w:tcW w:w="26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643,366,856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8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 xml:space="preserve">Weighted average debt outstanding </w:t>
            </w:r>
            <w:r>
              <w:rPr>
                <w:rFonts w:ascii="Times New Roman" w:cs="Times New Roman" w:eastAsia="Times New Roman" w:hAnsi="Times New Roman"/>
                <w:sz w:val="12"/>
                <w:szCs w:val="12"/>
                <w:color w:val="auto"/>
              </w:rPr>
              <w:t>(7)</w:t>
            </w:r>
          </w:p>
        </w:tc>
        <w:tc>
          <w:tcPr>
            <w:tcW w:w="160" w:type="dxa"/>
            <w:vAlign w:val="bottom"/>
            <w:tcBorders>
              <w:top w:val="single" w:sz="8" w:color="auto"/>
              <w:bottom w:val="single" w:sz="8" w:color="auto"/>
            </w:tcBorders>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794,641,334</w:t>
            </w:r>
          </w:p>
        </w:tc>
        <w:tc>
          <w:tcPr>
            <w:tcW w:w="24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638,424,193</w:t>
            </w:r>
          </w:p>
        </w:tc>
        <w:tc>
          <w:tcPr>
            <w:tcW w:w="3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504,963,762</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605,661,674</w:t>
            </w:r>
          </w:p>
        </w:tc>
        <w:tc>
          <w:tcPr>
            <w:tcW w:w="26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634,769,508</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 xml:space="preserve">Weighted average debt per share </w:t>
            </w:r>
            <w:r>
              <w:rPr>
                <w:rFonts w:ascii="Times New Roman" w:cs="Times New Roman" w:eastAsia="Times New Roman" w:hAnsi="Times New Roman"/>
                <w:sz w:val="12"/>
                <w:szCs w:val="12"/>
                <w:color w:val="auto"/>
              </w:rPr>
              <w:t>(1), (7)</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11.85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9.43</w:t>
            </w:r>
          </w:p>
        </w:tc>
        <w:tc>
          <w:tcPr>
            <w:tcW w:w="32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8.52</w:t>
            </w:r>
          </w:p>
        </w:tc>
        <w:tc>
          <w:tcPr>
            <w:tcW w:w="26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8.86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 xml:space="preserve">Asset coverage per unit </w:t>
            </w:r>
            <w:r>
              <w:rPr>
                <w:rFonts w:ascii="Times New Roman" w:cs="Times New Roman" w:eastAsia="Times New Roman" w:hAnsi="Times New Roman"/>
                <w:sz w:val="12"/>
                <w:szCs w:val="12"/>
                <w:color w:val="auto"/>
              </w:rPr>
              <w:t>(8)</w:t>
            </w:r>
          </w:p>
        </w:tc>
        <w:tc>
          <w:tcPr>
            <w:tcW w:w="16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24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2,066</w:t>
            </w:r>
          </w:p>
        </w:tc>
        <w:tc>
          <w:tcPr>
            <w:tcW w:w="3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2,919</w:t>
            </w:r>
          </w:p>
        </w:tc>
        <w:tc>
          <w:tcPr>
            <w:tcW w:w="18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260" w:type="dxa"/>
            <w:vAlign w:val="bottom"/>
            <w:shd w:val="clear" w:color="auto" w:fill="CCECFF"/>
          </w:tcPr>
          <w:p>
            <w:pPr>
              <w:spacing w:after="0"/>
              <w:rPr>
                <w:sz w:val="14"/>
                <w:szCs w:val="14"/>
                <w:color w:val="auto"/>
              </w:rPr>
            </w:pPr>
          </w:p>
        </w:tc>
        <w:tc>
          <w:tcPr>
            <w:tcW w:w="180" w:type="dxa"/>
            <w:vAlign w:val="bottom"/>
            <w:shd w:val="clear" w:color="auto" w:fill="CCEC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Average market value per unit </w:t>
            </w:r>
            <w:r>
              <w:rPr>
                <w:rFonts w:ascii="Times New Roman" w:cs="Times New Roman" w:eastAsia="Times New Roman" w:hAnsi="Times New Roman"/>
                <w:sz w:val="12"/>
                <w:szCs w:val="12"/>
                <w:color w:val="auto"/>
              </w:rPr>
              <w:t>(9), (10)</w:t>
            </w: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240" w:type="dxa"/>
            <w:vAlign w:val="bottom"/>
          </w:tcPr>
          <w:p>
            <w:pPr>
              <w:spacing w:after="0"/>
              <w:rPr>
                <w:sz w:val="14"/>
                <w:szCs w:val="14"/>
                <w:color w:val="auto"/>
              </w:rPr>
            </w:pPr>
          </w:p>
        </w:tc>
        <w:tc>
          <w:tcPr>
            <w:tcW w:w="2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320" w:type="dxa"/>
            <w:vAlign w:val="bottom"/>
          </w:tcPr>
          <w:p>
            <w:pPr>
              <w:spacing w:after="0"/>
              <w:rPr>
                <w:sz w:val="14"/>
                <w:szCs w:val="14"/>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Portfolio turnover ratio</w:t>
            </w: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4"/>
                <w:szCs w:val="14"/>
                <w:color w:val="auto"/>
              </w:rPr>
              <w:t>12.74%</w:t>
            </w:r>
          </w:p>
        </w:tc>
        <w:tc>
          <w:tcPr>
            <w:tcW w:w="6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35.44%</w:t>
            </w:r>
          </w:p>
        </w:tc>
        <w:tc>
          <w:tcPr>
            <w:tcW w:w="1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56.51%</w:t>
            </w: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40"/>
              <w:spacing w:after="0"/>
              <w:rPr>
                <w:sz w:val="20"/>
                <w:szCs w:val="20"/>
                <w:color w:val="auto"/>
              </w:rPr>
            </w:pPr>
            <w:r>
              <w:rPr>
                <w:rFonts w:ascii="Times New Roman" w:cs="Times New Roman" w:eastAsia="Times New Roman" w:hAnsi="Times New Roman"/>
                <w:sz w:val="14"/>
                <w:szCs w:val="14"/>
                <w:color w:val="auto"/>
              </w:rPr>
              <w:t>43.60%</w:t>
            </w:r>
          </w:p>
        </w:tc>
        <w:tc>
          <w:tcPr>
            <w:tcW w:w="180" w:type="dxa"/>
            <w:vAlign w:val="bottom"/>
            <w:shd w:val="clear" w:color="auto" w:fill="CCECFF"/>
          </w:tcPr>
          <w:p>
            <w:pPr>
              <w:spacing w:after="0"/>
              <w:rPr>
                <w:sz w:val="14"/>
                <w:szCs w:val="14"/>
                <w:color w:val="auto"/>
              </w:rPr>
            </w:pPr>
          </w:p>
        </w:tc>
        <w:tc>
          <w:tcPr>
            <w:tcW w:w="9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4"/>
                <w:szCs w:val="14"/>
                <w:color w:val="auto"/>
              </w:rPr>
              <w:t>26.50%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11144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ind w:left="380" w:hanging="372"/>
        <w:spacing w:after="0"/>
        <w:tabs>
          <w:tab w:leader="none" w:pos="380" w:val="left"/>
        </w:tabs>
        <w:numPr>
          <w:ilvl w:val="0"/>
          <w:numId w:val="86"/>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Based on the weighted average shares outstanding for the respective periods.</w:t>
      </w:r>
    </w:p>
    <w:p>
      <w:pPr>
        <w:spacing w:after="0" w:line="10" w:lineRule="exact"/>
        <w:rPr>
          <w:rFonts w:ascii="Times New Roman" w:cs="Times New Roman" w:eastAsia="Times New Roman" w:hAnsi="Times New Roman"/>
          <w:sz w:val="20"/>
          <w:szCs w:val="20"/>
          <w:b w:val="1"/>
          <w:bCs w:val="1"/>
          <w:color w:val="auto"/>
          <w:vertAlign w:val="superscript"/>
        </w:rPr>
      </w:pPr>
    </w:p>
    <w:p>
      <w:pPr>
        <w:ind w:left="380" w:hanging="372"/>
        <w:spacing w:after="0" w:line="187" w:lineRule="auto"/>
        <w:tabs>
          <w:tab w:leader="none" w:pos="380" w:val="left"/>
        </w:tabs>
        <w:numPr>
          <w:ilvl w:val="0"/>
          <w:numId w:val="86"/>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The tax status of distributions is calculated in accordance with income tax regulations, which may differ from amounts determined under GAAP, and reported on Form 1099-DIV each calendar year.</w:t>
      </w:r>
    </w:p>
    <w:p>
      <w:pPr>
        <w:ind w:left="380" w:hanging="372"/>
        <w:spacing w:after="0" w:line="187" w:lineRule="auto"/>
        <w:tabs>
          <w:tab w:leader="none" w:pos="380" w:val="left"/>
        </w:tabs>
        <w:numPr>
          <w:ilvl w:val="0"/>
          <w:numId w:val="86"/>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Based on the change in market price per share during the period and assumes distributions, if any, are reinvested.</w:t>
      </w:r>
    </w:p>
    <w:p>
      <w:pPr>
        <w:ind w:left="380" w:hanging="372"/>
        <w:spacing w:after="0" w:line="187" w:lineRule="auto"/>
        <w:tabs>
          <w:tab w:leader="none" w:pos="380" w:val="left"/>
        </w:tabs>
        <w:numPr>
          <w:ilvl w:val="0"/>
          <w:numId w:val="86"/>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Excludes debt related costs.</w:t>
      </w:r>
    </w:p>
    <w:p>
      <w:pPr>
        <w:ind w:left="380" w:hanging="372"/>
        <w:spacing w:after="0" w:line="187" w:lineRule="auto"/>
        <w:tabs>
          <w:tab w:leader="none" w:pos="380" w:val="left"/>
        </w:tabs>
        <w:numPr>
          <w:ilvl w:val="0"/>
          <w:numId w:val="86"/>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Includes interest and expenses on debt (annualized) as well as Credit Facility amendment and debt issuance costs, if any (not annualized).</w:t>
      </w:r>
    </w:p>
    <w:p>
      <w:pPr>
        <w:ind w:left="380" w:right="440" w:hanging="372"/>
        <w:spacing w:after="0" w:line="187" w:lineRule="auto"/>
        <w:tabs>
          <w:tab w:leader="none" w:pos="380" w:val="left"/>
        </w:tabs>
        <w:numPr>
          <w:ilvl w:val="0"/>
          <w:numId w:val="86"/>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For the years ended September 30, 2020, 2018, 2017 and 2016, the ratio of operating expenses to average net assets before the waiver of certain Management Fees to average net assets was 5.26%, 5.21%, 6.65% and 7.64%, respectively, and the ratio of total expenses to average net assets before the waiver of certain Management Fees to average net assets was 11.48%, 8.75%, 11.33% and 11.82%, respectively.</w:t>
      </w:r>
    </w:p>
    <w:p>
      <w:pPr>
        <w:spacing w:after="0" w:line="1" w:lineRule="exact"/>
        <w:rPr>
          <w:rFonts w:ascii="Times New Roman" w:cs="Times New Roman" w:eastAsia="Times New Roman" w:hAnsi="Times New Roman"/>
          <w:sz w:val="19"/>
          <w:szCs w:val="19"/>
          <w:b w:val="1"/>
          <w:bCs w:val="1"/>
          <w:color w:val="auto"/>
          <w:vertAlign w:val="superscript"/>
        </w:rPr>
      </w:pPr>
    </w:p>
    <w:p>
      <w:pPr>
        <w:ind w:left="380" w:hanging="372"/>
        <w:spacing w:after="0" w:line="187" w:lineRule="auto"/>
        <w:tabs>
          <w:tab w:leader="none" w:pos="380" w:val="left"/>
        </w:tabs>
        <w:numPr>
          <w:ilvl w:val="0"/>
          <w:numId w:val="86"/>
        </w:numPr>
        <w:rPr>
          <w:rFonts w:ascii="Times New Roman" w:cs="Times New Roman" w:eastAsia="Times New Roman" w:hAnsi="Times New Roman"/>
          <w:sz w:val="15"/>
          <w:szCs w:val="15"/>
          <w:b w:val="1"/>
          <w:bCs w:val="1"/>
          <w:color w:val="auto"/>
          <w:vertAlign w:val="superscript"/>
        </w:rPr>
      </w:pPr>
      <w:r>
        <w:rPr>
          <w:rFonts w:ascii="Times New Roman" w:cs="Times New Roman" w:eastAsia="Times New Roman" w:hAnsi="Times New Roman"/>
          <w:sz w:val="9"/>
          <w:szCs w:val="9"/>
          <w:color w:val="auto"/>
        </w:rPr>
        <w:t>Includes SBA debentures outstanding.</w:t>
      </w:r>
    </w:p>
    <w:p>
      <w:pPr>
        <w:ind w:left="380" w:right="140" w:hanging="372"/>
        <w:spacing w:after="0" w:line="192" w:lineRule="auto"/>
        <w:tabs>
          <w:tab w:leader="none" w:pos="380" w:val="left"/>
        </w:tabs>
        <w:numPr>
          <w:ilvl w:val="0"/>
          <w:numId w:val="86"/>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 These amounts exclude SBA debentures from our asset coverage per unit computation pursuant to exemptive relief received from the SEC in June 2011.</w:t>
      </w:r>
    </w:p>
    <w:p>
      <w:pPr>
        <w:ind w:left="380" w:right="100" w:hanging="372"/>
        <w:spacing w:after="0" w:line="187" w:lineRule="auto"/>
        <w:tabs>
          <w:tab w:leader="none" w:pos="380" w:val="left"/>
        </w:tabs>
        <w:numPr>
          <w:ilvl w:val="0"/>
          <w:numId w:val="86"/>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The average market value per unit is derived based on the monthly average closing price of the 2025 Notes trading on NYSE under the symbol “PNTA,” which were issued in increments of $25 per unit. On June 29, 2017, the 2025 Notes were redeemed in full and no amounts were outstanding as of September 30, 2020, 2019 or 2018.</w:t>
      </w:r>
    </w:p>
    <w:p>
      <w:pPr>
        <w:spacing w:after="0" w:line="1" w:lineRule="exact"/>
        <w:rPr>
          <w:rFonts w:ascii="Times New Roman" w:cs="Times New Roman" w:eastAsia="Times New Roman" w:hAnsi="Times New Roman"/>
          <w:sz w:val="19"/>
          <w:szCs w:val="19"/>
          <w:b w:val="1"/>
          <w:bCs w:val="1"/>
          <w:color w:val="auto"/>
          <w:vertAlign w:val="superscript"/>
        </w:rPr>
      </w:pPr>
    </w:p>
    <w:p>
      <w:pPr>
        <w:ind w:left="380" w:right="420" w:hanging="372"/>
        <w:spacing w:after="0" w:line="190" w:lineRule="auto"/>
        <w:tabs>
          <w:tab w:leader="none" w:pos="380" w:val="left"/>
        </w:tabs>
        <w:numPr>
          <w:ilvl w:val="0"/>
          <w:numId w:val="86"/>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1"/>
          <w:szCs w:val="11"/>
          <w:color w:val="auto"/>
        </w:rPr>
        <w:t>The average market value per unit is derived based on the daily closing price of the 2024 Notes trading on The Nasdaq Global Select Market under the symbol “PNNTG,” which were issued in increments of $25 per unit and commenced trading on September 30, 2019.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DEBT</w:t>
      </w:r>
    </w:p>
    <w:p>
      <w:pPr>
        <w:spacing w:after="0" w:line="138" w:lineRule="exact"/>
        <w:rPr>
          <w:sz w:val="20"/>
          <w:szCs w:val="20"/>
          <w:color w:val="auto"/>
        </w:rPr>
      </w:pPr>
    </w:p>
    <w:p>
      <w:pPr>
        <w:ind w:firstLine="438"/>
        <w:spacing w:after="0" w:line="236" w:lineRule="auto"/>
        <w:rPr>
          <w:sz w:val="20"/>
          <w:szCs w:val="20"/>
          <w:color w:val="auto"/>
        </w:rPr>
      </w:pPr>
      <w:r>
        <w:rPr>
          <w:rFonts w:ascii="Times New Roman" w:cs="Times New Roman" w:eastAsia="Times New Roman" w:hAnsi="Times New Roman"/>
          <w:sz w:val="14"/>
          <w:szCs w:val="14"/>
          <w:color w:val="auto"/>
        </w:rPr>
        <w:t>The annualized weighted average cost of debt for the years ended September 30, 2020, 2019 and 2018, inclusive of the fee on the undrawn commitment and amendment costs on the Truist Credit Facility, debt issuance costs on the BNP Credit Facility and amortized upfront fees on SBA debentures and 2024 Notes, was 4.0%, 6.0% and 4.5%, respectively. As of September 30, 2020, in accordance with the 1940 Act, with certain limited exceptions, we are only allowed to borrow amounts such that we are in compliance with the 150% asset coverage ratio requirement after such borrowing, excluding SBA debentures, pursuant to exemptive relief from the SEC received in June 2011.</w:t>
      </w:r>
    </w:p>
    <w:p>
      <w:pPr>
        <w:spacing w:after="0" w:line="109" w:lineRule="exact"/>
        <w:rPr>
          <w:sz w:val="20"/>
          <w:szCs w:val="20"/>
          <w:color w:val="auto"/>
        </w:rPr>
      </w:pPr>
    </w:p>
    <w:p>
      <w:pPr>
        <w:jc w:val="both"/>
        <w:ind w:right="40" w:firstLine="438"/>
        <w:spacing w:after="0" w:line="236" w:lineRule="auto"/>
        <w:rPr>
          <w:sz w:val="20"/>
          <w:szCs w:val="20"/>
          <w:color w:val="auto"/>
        </w:rPr>
      </w:pPr>
      <w:r>
        <w:rPr>
          <w:rFonts w:ascii="Times New Roman" w:cs="Times New Roman" w:eastAsia="Times New Roman" w:hAnsi="Times New Roman"/>
          <w:sz w:val="14"/>
          <w:szCs w:val="14"/>
          <w:color w:val="auto"/>
        </w:rPr>
        <w:t>On February 5, 2019, our stockholders approved the application of the modified asset coverage requirement set forth in Section 61(a)(2) of the 1940 Act, as amended by the Consolidated Appropriations Act of 2018 (which includes the Small Business Credit Availability Act, or SBCAA) as approved by our board of directors on November 13, 2018. As a result, the asset coverage requirement applicable to us for senior securities was reduced from 200% (i.e., $1 of debt outstanding for each $1 of equity) to 150% (i.e., $2 of debt outstanding for each $1 of equity), subject to compliance with certain disclosure requirements. As of September 30, 2020 and 2019, our asset coverage ratio, as computed in accordance with the 1940 Act, was 208% and 207%,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BNP Credit Facility</w:t>
      </w:r>
    </w:p>
    <w:p>
      <w:pPr>
        <w:spacing w:after="0" w:line="140" w:lineRule="exact"/>
        <w:rPr>
          <w:sz w:val="20"/>
          <w:szCs w:val="20"/>
          <w:color w:val="auto"/>
        </w:rPr>
      </w:pPr>
    </w:p>
    <w:p>
      <w:pPr>
        <w:ind w:right="20" w:firstLine="438"/>
        <w:spacing w:after="0" w:line="229" w:lineRule="auto"/>
        <w:rPr>
          <w:sz w:val="20"/>
          <w:szCs w:val="20"/>
          <w:color w:val="auto"/>
        </w:rPr>
      </w:pPr>
      <w:r>
        <w:rPr>
          <w:rFonts w:ascii="Times New Roman" w:cs="Times New Roman" w:eastAsia="Times New Roman" w:hAnsi="Times New Roman"/>
          <w:sz w:val="14"/>
          <w:szCs w:val="14"/>
          <w:color w:val="auto"/>
        </w:rPr>
        <w:t>On February 22, 2019, Funding I closed the BNP Credit Facility for up to $250.0 million in borrowings with certain lenders and BNP Paribas, as administrative agent, and The Bank of New York Mellon Trust Company, N.A., as collateral agent. As of July 31, 2020, Funding I is no longer a subsidiary of the Company consolidated in our financial statements and thus the BNP credit facility is no longer presented on the Statement of Assets and Liabilities (See Note 4). As of September 30, 2019, Funding I had $171.0 million in outstanding borrowings under the BNP Credit Facility. The BNP Credit Facility had a weighted average interest rate of 4.6% as of September 30, 2019. The BNP Credit Facility is a five-year revolving facility with a stated maturity date of February 22, 2024 and pricing set at 260 basis points over LIBOR (or an alternative risk-free floating interest rate index). The BNP Credit Facility is secured by all of the assets of Funding I. Prior to deconsolidation on July 31, 2020, we owned 100% of the equity interest in Funding I and treat the indebtedness of Funding I as our leverage. Our Investment Adviser serves as the servicer to Funding I in connection with the BNP Credit Facility.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Truist Credit Facility</w:t>
      </w:r>
    </w:p>
    <w:p>
      <w:pPr>
        <w:spacing w:after="0" w:line="140" w:lineRule="exact"/>
        <w:rPr>
          <w:sz w:val="20"/>
          <w:szCs w:val="20"/>
          <w:color w:val="auto"/>
        </w:rPr>
      </w:pPr>
    </w:p>
    <w:p>
      <w:pPr>
        <w:ind w:right="120" w:firstLine="438"/>
        <w:spacing w:after="0" w:line="228" w:lineRule="auto"/>
        <w:rPr>
          <w:sz w:val="20"/>
          <w:szCs w:val="20"/>
          <w:color w:val="auto"/>
        </w:rPr>
      </w:pPr>
      <w:r>
        <w:rPr>
          <w:rFonts w:ascii="Times New Roman" w:cs="Times New Roman" w:eastAsia="Times New Roman" w:hAnsi="Times New Roman"/>
          <w:sz w:val="14"/>
          <w:szCs w:val="14"/>
          <w:color w:val="auto"/>
        </w:rPr>
        <w:t>As of September 30, 2020, we had the multi-currency Truist Credit Facility for up to $475.0 million in borrowings with certain lenders and Truist Bank (formerly SunTrust Bank), acting as administrative agent, and JPMorgan Chase Bank, N.A., acting as syndication agent for the lenders. As of September 30, 2020 and 2019, we had $388.3 million and $301.6 million, respectively, in outstanding borrowings under the Truist Credit Facility. The Truist Credit Facility had a weighted average interest rate of 2.5% and 4.2%, respectively, exclusive of the fee on undrawn commitment, as of September 30, 2020 and 2019. The Truist Credit Facility is a revolving facility with a stated maturity date of September 4, 2024 ($40.0 million of the $475 million commitment will mature May 25, 2022), a one-year term-out period on September 4, 2023 ($40.0 million of the $475 million commitment has a one year term-out period on May 25, 2021) and pricing set at 225 basis points over LIBOR (or an alternative risk-free floating interest rate index). As of September 30, 2020 and 2019, we had $86.7 million and $173.4 million of unused borrowing capacity under the Truist Credit Facility, respectively, subject to leverage and borrowing base restrictions. The Truist Credit Facility is secured by substantially all of our assets excluding assets held by SBIC II. As of September 30, 2020, we were in compliance with the terms of the Truist Credit Facility.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SBA Debentures</w:t>
      </w:r>
    </w:p>
    <w:p>
      <w:pPr>
        <w:spacing w:after="0" w:line="140" w:lineRule="exact"/>
        <w:rPr>
          <w:sz w:val="20"/>
          <w:szCs w:val="20"/>
          <w:color w:val="auto"/>
        </w:rPr>
      </w:pPr>
    </w:p>
    <w:p>
      <w:pPr>
        <w:jc w:val="both"/>
        <w:ind w:right="20" w:firstLine="438"/>
        <w:spacing w:after="0" w:line="233" w:lineRule="auto"/>
        <w:rPr>
          <w:sz w:val="20"/>
          <w:szCs w:val="20"/>
          <w:color w:val="auto"/>
        </w:rPr>
      </w:pPr>
      <w:r>
        <w:rPr>
          <w:rFonts w:ascii="Times New Roman" w:cs="Times New Roman" w:eastAsia="Times New Roman" w:hAnsi="Times New Roman"/>
          <w:sz w:val="14"/>
          <w:szCs w:val="14"/>
          <w:color w:val="auto"/>
        </w:rPr>
        <w:t>SBIC II is able to borrow funds from the SBA against regulatory capital (which approximates equity capital) that is paid-in and is subject to customary regulatory requirements including an examination by the SBA. We have funded SBIC II with $75.0 million of equity capital and it had SBA debentures outstanding of $118.5 million and $150.0 million as of September 30, 2020 and 2019, respectively.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$175.0 million, which is up to twice its potential regulatory capital, and as part of a group of SBICs under common control may borrow a maximum of $350 million in the aggregate.</w:t>
      </w:r>
    </w:p>
    <w:p>
      <w:pPr>
        <w:spacing w:after="0" w:line="110" w:lineRule="exact"/>
        <w:rPr>
          <w:sz w:val="20"/>
          <w:szCs w:val="20"/>
          <w:color w:val="auto"/>
        </w:rPr>
      </w:pPr>
    </w:p>
    <w:p>
      <w:pPr>
        <w:ind w:right="40" w:firstLine="438"/>
        <w:spacing w:after="0" w:line="241" w:lineRule="auto"/>
        <w:rPr>
          <w:sz w:val="20"/>
          <w:szCs w:val="20"/>
          <w:color w:val="auto"/>
        </w:rPr>
      </w:pPr>
      <w:r>
        <w:rPr>
          <w:rFonts w:ascii="Times New Roman" w:cs="Times New Roman" w:eastAsia="Times New Roman" w:hAnsi="Times New Roman"/>
          <w:sz w:val="14"/>
          <w:szCs w:val="14"/>
          <w:color w:val="auto"/>
        </w:rPr>
        <w:t>As of both September 30, 2020 and 2019, SBIC II had an initial $150.0 million in debt commitments, all of which were drawn. During the years ended September 30, 2020 and 2019, $31.5 million and zero in SBA debentures were repaid, respectively. As of September 30, 2020 and 2019, the unamortized fees on the SBA debentures were $2.7 million and $3.9 million, respectively. The SBA debentures’ upfront fees of 3.4% consist of a commitment fee of 1.0% and an issuance discount of 2.4%, which are being amortized.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20" w:type="dxa"/>
            <w:vAlign w:val="bottom"/>
            <w:gridSpan w:val="3"/>
          </w:tcPr>
          <w:p>
            <w:pPr>
              <w:ind w:left="440"/>
              <w:spacing w:after="0"/>
              <w:rPr>
                <w:sz w:val="20"/>
                <w:szCs w:val="20"/>
                <w:color w:val="auto"/>
              </w:rPr>
            </w:pPr>
            <w:r>
              <w:rPr>
                <w:rFonts w:ascii="Times New Roman" w:cs="Times New Roman" w:eastAsia="Times New Roman" w:hAnsi="Times New Roman"/>
                <w:sz w:val="14"/>
                <w:szCs w:val="14"/>
                <w:color w:val="auto"/>
              </w:rPr>
              <w:t>Our fixed-rate SBA debentures were as follows:</w:t>
            </w:r>
          </w:p>
        </w:tc>
        <w:tc>
          <w:tcPr>
            <w:tcW w:w="2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35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vMerge w:val="restart"/>
          </w:tcPr>
          <w:p>
            <w:pPr>
              <w:spacing w:after="0"/>
              <w:rPr>
                <w:sz w:val="23"/>
                <w:szCs w:val="23"/>
                <w:color w:val="auto"/>
              </w:rPr>
            </w:pPr>
          </w:p>
        </w:tc>
        <w:tc>
          <w:tcPr>
            <w:tcW w:w="21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vMerge w:val="restart"/>
          </w:tcPr>
          <w:p>
            <w:pPr>
              <w:spacing w:after="0"/>
              <w:rPr>
                <w:sz w:val="23"/>
                <w:szCs w:val="23"/>
                <w:color w:val="auto"/>
              </w:rPr>
            </w:pPr>
          </w:p>
        </w:tc>
        <w:tc>
          <w:tcPr>
            <w:tcW w:w="20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2"/>
                <w:szCs w:val="12"/>
                <w:b w:val="1"/>
                <w:bCs w:val="1"/>
                <w:color w:val="auto"/>
              </w:rPr>
              <w:t>(1)</w:t>
            </w:r>
          </w:p>
        </w:tc>
        <w:tc>
          <w:tcPr>
            <w:tcW w:w="360" w:type="dxa"/>
            <w:vAlign w:val="bottom"/>
            <w:vMerge w:val="restart"/>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CCECFF"/>
            </w:tcBorders>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CFF"/>
            </w:tcBorders>
            <w:vMerge w:val="continue"/>
          </w:tcPr>
          <w:p>
            <w:pPr>
              <w:spacing w:after="0"/>
              <w:rPr>
                <w:sz w:val="15"/>
                <w:szCs w:val="15"/>
                <w:color w:val="auto"/>
              </w:rPr>
            </w:pPr>
          </w:p>
        </w:tc>
        <w:tc>
          <w:tcPr>
            <w:tcW w:w="20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C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8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1, 2026</w:t>
            </w:r>
          </w:p>
        </w:tc>
        <w:tc>
          <w:tcPr>
            <w:tcW w:w="220" w:type="dxa"/>
            <w:vAlign w:val="bottom"/>
            <w:shd w:val="clear" w:color="auto" w:fill="CCECFF"/>
          </w:tcPr>
          <w:p>
            <w:pPr>
              <w:spacing w:after="0"/>
              <w:rPr>
                <w:sz w:val="13"/>
                <w:szCs w:val="13"/>
                <w:color w:val="auto"/>
              </w:rPr>
            </w:pPr>
          </w:p>
        </w:tc>
        <w:tc>
          <w:tcPr>
            <w:tcW w:w="2420" w:type="dxa"/>
            <w:vAlign w:val="bottom"/>
            <w:gridSpan w:val="2"/>
            <w:shd w:val="clear" w:color="auto" w:fill="CCECFF"/>
          </w:tcPr>
          <w:p>
            <w:pPr>
              <w:ind w:left="186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21, 2016</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1, 2026</w:t>
            </w:r>
          </w:p>
        </w:tc>
        <w:tc>
          <w:tcPr>
            <w:tcW w:w="206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27,500,000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color w:val="auto"/>
              </w:rPr>
              <w:t>3.5</w:t>
            </w:r>
          </w:p>
        </w:tc>
        <w:tc>
          <w:tcPr>
            <w:tcW w:w="3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2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20" w:type="dxa"/>
            <w:vAlign w:val="bottom"/>
            <w:gridSpan w:val="2"/>
            <w:shd w:val="clear" w:color="auto" w:fill="CCECFF"/>
          </w:tcPr>
          <w:p>
            <w:pPr>
              <w:ind w:left="1860"/>
              <w:spacing w:after="0" w:line="155" w:lineRule="exact"/>
              <w:rPr>
                <w:sz w:val="20"/>
                <w:szCs w:val="20"/>
                <w:color w:val="auto"/>
              </w:rPr>
            </w:pPr>
            <w:r>
              <w:rPr>
                <w:rFonts w:ascii="Times New Roman" w:cs="Times New Roman" w:eastAsia="Times New Roman" w:hAnsi="Times New Roman"/>
                <w:sz w:val="14"/>
                <w:szCs w:val="14"/>
                <w:color w:val="auto"/>
              </w:rPr>
              <w:t>3.2%</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118,500,000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14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5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Issuance Dates</w:t>
            </w:r>
          </w:p>
        </w:tc>
        <w:tc>
          <w:tcPr>
            <w:tcW w:w="240" w:type="dxa"/>
            <w:vAlign w:val="bottom"/>
            <w:vMerge w:val="restart"/>
          </w:tcPr>
          <w:p>
            <w:pPr>
              <w:spacing w:after="0"/>
              <w:rPr>
                <w:sz w:val="24"/>
                <w:szCs w:val="24"/>
                <w:color w:val="auto"/>
              </w:rPr>
            </w:pPr>
          </w:p>
        </w:tc>
        <w:tc>
          <w:tcPr>
            <w:tcW w:w="216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20" w:type="dxa"/>
            <w:vAlign w:val="bottom"/>
            <w:vMerge w:val="restart"/>
          </w:tcPr>
          <w:p>
            <w:pPr>
              <w:spacing w:after="0"/>
              <w:rPr>
                <w:sz w:val="24"/>
                <w:szCs w:val="24"/>
                <w:color w:val="auto"/>
              </w:rPr>
            </w:pPr>
          </w:p>
        </w:tc>
        <w:tc>
          <w:tcPr>
            <w:tcW w:w="20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xml:space="preserve">Fixed All-in Coupon Rate </w:t>
            </w:r>
            <w:r>
              <w:rPr>
                <w:rFonts w:ascii="Times New Roman" w:cs="Times New Roman" w:eastAsia="Times New Roman" w:hAnsi="Times New Roman"/>
                <w:sz w:val="12"/>
                <w:szCs w:val="12"/>
                <w:b w:val="1"/>
                <w:bCs w:val="1"/>
                <w:color w:val="auto"/>
              </w:rPr>
              <w:t>(1)</w:t>
            </w:r>
          </w:p>
        </w:tc>
        <w:tc>
          <w:tcPr>
            <w:tcW w:w="36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0" w:type="dxa"/>
            <w:vAlign w:val="bottom"/>
          </w:tcPr>
          <w:p>
            <w:pPr>
              <w:spacing w:after="0"/>
              <w:rPr>
                <w:sz w:val="1"/>
                <w:szCs w:val="1"/>
                <w:color w:val="auto"/>
              </w:rPr>
            </w:pPr>
          </w:p>
        </w:tc>
      </w:tr>
      <w:tr>
        <w:trPr>
          <w:trHeight w:val="173"/>
        </w:trPr>
        <w:tc>
          <w:tcPr>
            <w:tcW w:w="35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CCECFF"/>
            </w:tcBorders>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CFF"/>
            </w:tcBorders>
            <w:vMerge w:val="continue"/>
          </w:tcPr>
          <w:p>
            <w:pPr>
              <w:spacing w:after="0"/>
              <w:rPr>
                <w:sz w:val="15"/>
                <w:szCs w:val="15"/>
                <w:color w:val="auto"/>
              </w:rPr>
            </w:pPr>
          </w:p>
        </w:tc>
        <w:tc>
          <w:tcPr>
            <w:tcW w:w="20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CCECFF"/>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Principal Balance</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580" w:type="dxa"/>
            <w:vAlign w:val="bottom"/>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23, 2016</w:t>
            </w:r>
          </w:p>
        </w:tc>
        <w:tc>
          <w:tcPr>
            <w:tcW w:w="240" w:type="dxa"/>
            <w:vAlign w:val="bottom"/>
            <w:shd w:val="clear" w:color="auto" w:fill="CCECFF"/>
          </w:tcPr>
          <w:p>
            <w:pPr>
              <w:spacing w:after="0"/>
              <w:rPr>
                <w:sz w:val="13"/>
                <w:szCs w:val="13"/>
                <w:color w:val="auto"/>
              </w:rPr>
            </w:pPr>
          </w:p>
        </w:tc>
        <w:tc>
          <w:tcPr>
            <w:tcW w:w="2160" w:type="dxa"/>
            <w:vAlign w:val="bottom"/>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March 1, 2026</w:t>
            </w:r>
          </w:p>
        </w:tc>
        <w:tc>
          <w:tcPr>
            <w:tcW w:w="220" w:type="dxa"/>
            <w:vAlign w:val="bottom"/>
            <w:shd w:val="clear" w:color="auto" w:fill="CCECFF"/>
          </w:tcPr>
          <w:p>
            <w:pPr>
              <w:spacing w:after="0"/>
              <w:rPr>
                <w:sz w:val="13"/>
                <w:szCs w:val="13"/>
                <w:color w:val="auto"/>
              </w:rPr>
            </w:pPr>
          </w:p>
        </w:tc>
        <w:tc>
          <w:tcPr>
            <w:tcW w:w="2420" w:type="dxa"/>
            <w:vAlign w:val="bottom"/>
            <w:gridSpan w:val="2"/>
            <w:shd w:val="clear" w:color="auto" w:fill="CCECFF"/>
          </w:tcPr>
          <w:p>
            <w:pPr>
              <w:ind w:left="1860"/>
              <w:spacing w:after="0" w:line="155" w:lineRule="exact"/>
              <w:rPr>
                <w:sz w:val="20"/>
                <w:szCs w:val="20"/>
                <w:color w:val="auto"/>
              </w:rPr>
            </w:pPr>
            <w:r>
              <w:rPr>
                <w:rFonts w:ascii="Times New Roman" w:cs="Times New Roman" w:eastAsia="Times New Roman" w:hAnsi="Times New Roman"/>
                <w:sz w:val="14"/>
                <w:szCs w:val="14"/>
                <w:color w:val="auto"/>
              </w:rPr>
              <w:t>2.9%</w:t>
            </w:r>
          </w:p>
        </w:tc>
        <w:tc>
          <w:tcPr>
            <w:tcW w:w="280" w:type="dxa"/>
            <w:vAlign w:val="bottom"/>
            <w:shd w:val="clear" w:color="auto" w:fill="CCECFF"/>
          </w:tcPr>
          <w:p>
            <w:pPr>
              <w:spacing w:after="0"/>
              <w:rPr>
                <w:sz w:val="13"/>
                <w:szCs w:val="13"/>
                <w:color w:val="auto"/>
              </w:rPr>
            </w:pPr>
          </w:p>
        </w:tc>
        <w:tc>
          <w:tcPr>
            <w:tcW w:w="224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22,500,000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September 21, 2016</w:t>
            </w:r>
          </w:p>
        </w:tc>
        <w:tc>
          <w:tcPr>
            <w:tcW w:w="2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September 1, 2026</w:t>
            </w:r>
          </w:p>
        </w:tc>
        <w:tc>
          <w:tcPr>
            <w:tcW w:w="2060" w:type="dxa"/>
            <w:vAlign w:val="bottom"/>
          </w:tcPr>
          <w:p>
            <w:pPr>
              <w:ind w:left="1860"/>
              <w:spacing w:after="0"/>
              <w:rPr>
                <w:sz w:val="20"/>
                <w:szCs w:val="20"/>
                <w:color w:val="auto"/>
              </w:rPr>
            </w:pPr>
            <w:r>
              <w:rPr>
                <w:rFonts w:ascii="Times New Roman" w:cs="Times New Roman" w:eastAsia="Times New Roman" w:hAnsi="Times New Roman"/>
                <w:sz w:val="14"/>
                <w:szCs w:val="14"/>
                <w:color w:val="auto"/>
              </w:rPr>
              <w:t>2.4</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20, 2017</w:t>
            </w:r>
          </w:p>
        </w:tc>
        <w:tc>
          <w:tcPr>
            <w:tcW w:w="238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4"/>
                <w:szCs w:val="14"/>
                <w:color w:val="auto"/>
              </w:rPr>
              <w:t>September 1, 2027</w:t>
            </w:r>
          </w:p>
        </w:tc>
        <w:tc>
          <w:tcPr>
            <w:tcW w:w="2060" w:type="dxa"/>
            <w:vAlign w:val="bottom"/>
            <w:shd w:val="clear" w:color="auto" w:fill="CCECFF"/>
          </w:tcPr>
          <w:p>
            <w:pPr>
              <w:ind w:left="1860"/>
              <w:spacing w:after="0"/>
              <w:rPr>
                <w:sz w:val="20"/>
                <w:szCs w:val="20"/>
                <w:color w:val="auto"/>
              </w:rPr>
            </w:pPr>
            <w:r>
              <w:rPr>
                <w:rFonts w:ascii="Times New Roman" w:cs="Times New Roman" w:eastAsia="Times New Roman" w:hAnsi="Times New Roman"/>
                <w:sz w:val="14"/>
                <w:szCs w:val="14"/>
                <w:color w:val="auto"/>
              </w:rPr>
              <w:t>2.9</w:t>
            </w:r>
          </w:p>
        </w:tc>
        <w:tc>
          <w:tcPr>
            <w:tcW w:w="36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2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20" w:type="dxa"/>
            <w:vAlign w:val="bottom"/>
            <w:tcBorders>
              <w:bottom w:val="single" w:sz="8" w:color="CCECFF"/>
            </w:tcBorders>
            <w:gridSpan w:val="3"/>
          </w:tcPr>
          <w:p>
            <w:pPr>
              <w:spacing w:after="0"/>
              <w:rPr>
                <w:sz w:val="20"/>
                <w:szCs w:val="20"/>
                <w:color w:val="auto"/>
              </w:rPr>
            </w:pPr>
            <w:r>
              <w:rPr>
                <w:rFonts w:ascii="Times New Roman" w:cs="Times New Roman" w:eastAsia="Times New Roman" w:hAnsi="Times New Roman"/>
                <w:sz w:val="14"/>
                <w:szCs w:val="14"/>
                <w:color w:val="auto"/>
              </w:rPr>
              <w:t>March 21, 2018</w:t>
            </w:r>
          </w:p>
        </w:tc>
        <w:tc>
          <w:tcPr>
            <w:tcW w:w="2380" w:type="dxa"/>
            <w:vAlign w:val="bottom"/>
            <w:tcBorders>
              <w:bottom w:val="single" w:sz="8" w:color="CCECFF"/>
            </w:tcBorders>
            <w:gridSpan w:val="2"/>
          </w:tcPr>
          <w:p>
            <w:pPr>
              <w:spacing w:after="0"/>
              <w:rPr>
                <w:sz w:val="20"/>
                <w:szCs w:val="20"/>
                <w:color w:val="auto"/>
              </w:rPr>
            </w:pPr>
            <w:r>
              <w:rPr>
                <w:rFonts w:ascii="Times New Roman" w:cs="Times New Roman" w:eastAsia="Times New Roman" w:hAnsi="Times New Roman"/>
                <w:sz w:val="14"/>
                <w:szCs w:val="14"/>
                <w:color w:val="auto"/>
              </w:rPr>
              <w:t>March 1, 2028</w:t>
            </w:r>
          </w:p>
        </w:tc>
        <w:tc>
          <w:tcPr>
            <w:tcW w:w="206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color w:val="auto"/>
              </w:rPr>
              <w:t>3.5</w:t>
            </w:r>
          </w:p>
        </w:tc>
        <w:tc>
          <w:tcPr>
            <w:tcW w:w="36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71,000,000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20" w:type="dxa"/>
            <w:vAlign w:val="bottom"/>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Weighted Average Rate / Total</w:t>
            </w:r>
          </w:p>
        </w:tc>
        <w:tc>
          <w:tcPr>
            <w:tcW w:w="21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420" w:type="dxa"/>
            <w:vAlign w:val="bottom"/>
            <w:gridSpan w:val="2"/>
            <w:shd w:val="clear" w:color="auto" w:fill="CCECFF"/>
          </w:tcPr>
          <w:p>
            <w:pPr>
              <w:ind w:left="1860"/>
              <w:spacing w:after="0" w:line="155" w:lineRule="exact"/>
              <w:rPr>
                <w:sz w:val="20"/>
                <w:szCs w:val="20"/>
                <w:color w:val="auto"/>
              </w:rPr>
            </w:pPr>
            <w:r>
              <w:rPr>
                <w:rFonts w:ascii="Times New Roman" w:cs="Times New Roman" w:eastAsia="Times New Roman" w:hAnsi="Times New Roman"/>
                <w:sz w:val="14"/>
                <w:szCs w:val="14"/>
                <w:color w:val="auto"/>
              </w:rPr>
              <w:t>3.1%</w:t>
            </w:r>
          </w:p>
        </w:tc>
        <w:tc>
          <w:tcPr>
            <w:tcW w:w="280" w:type="dxa"/>
            <w:vAlign w:val="bottom"/>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150,000,000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CFF"/>
            </w:tcBorders>
          </w:tcPr>
          <w:p>
            <w:pPr>
              <w:spacing w:after="0" w:line="20" w:lineRule="exact"/>
              <w:rPr>
                <w:sz w:val="1"/>
                <w:szCs w:val="1"/>
                <w:color w:val="auto"/>
              </w:rPr>
            </w:pPr>
          </w:p>
        </w:tc>
        <w:tc>
          <w:tcPr>
            <w:tcW w:w="14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2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87"/>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Excluding 3.4% of upfront fees.</w:t>
      </w:r>
    </w:p>
    <w:p>
      <w:pPr>
        <w:spacing w:after="0" w:line="119"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The SBIC program is designed to stimulate the flow of capital into eligible businesses. Under SBA regulations, SBIC II is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2019 Notes</w:t>
      </w:r>
    </w:p>
    <w:p>
      <w:pPr>
        <w:spacing w:after="0" w:line="140"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The 2019 Notes were redeemed on March 4, 2019 at a redemption price equal to $1,008.65 for each $1,000.00 of principal of notes outstanding, plus accrued and unpaid interest to March 4, 2019, pursuant to the indenture governing the 2019 Notes. Interest on the 2019 Notes was paid semi-annually on April 1 and October 1, at a rate of 4.50% per year. The 2019 Notes were scheduled to mature on October 1, 2019. The 2019 Notes were general, unsecured obligations and ranked equal in right of payment with all of our existing and future senior unsecured indebtedness. The 2019 Notes were structurally subordinated to our SBA debentures and the assets pledged or secured under our Credit Facilities.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2024 Notes</w:t>
      </w:r>
    </w:p>
    <w:p>
      <w:pPr>
        <w:spacing w:after="0" w:line="140" w:lineRule="exact"/>
        <w:rPr>
          <w:sz w:val="20"/>
          <w:szCs w:val="20"/>
          <w:color w:val="auto"/>
        </w:rPr>
      </w:pPr>
    </w:p>
    <w:p>
      <w:pPr>
        <w:ind w:right="40" w:firstLine="438"/>
        <w:spacing w:after="0" w:line="236" w:lineRule="auto"/>
        <w:rPr>
          <w:sz w:val="20"/>
          <w:szCs w:val="20"/>
          <w:color w:val="auto"/>
        </w:rPr>
      </w:pPr>
      <w:r>
        <w:rPr>
          <w:rFonts w:ascii="Times New Roman" w:cs="Times New Roman" w:eastAsia="Times New Roman" w:hAnsi="Times New Roman"/>
          <w:sz w:val="14"/>
          <w:szCs w:val="14"/>
          <w:color w:val="auto"/>
        </w:rPr>
        <w:t>As of September 30, 2020 and 2019, we had $86.3 million and $75.0 million in aggregate principal amount of 2024 Notes outstanding, respectively. Interest on the 2024 Notes is paid quarterly on January 15, April 15, July 15 and October 15, at a rate of 5.5% per year. The 2024 Notes mature on October 15, 2024. The 2024 Notes are general, unsecured obligations and rank equal in right of payment with all of our existing and future senior unsecured indebtedness. The 2024 Notes are structurally subordinated to our SBA debentures and the assets pledged or secured under our Credit Facility. The 2024 Notes may be repurchased from time to time in open market purchases and privately-negotiated transactions.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CORPORATION AND SUBSIDIARIES</w:t>
      </w:r>
    </w:p>
    <w:p>
      <w:pPr>
        <w:jc w:val="center"/>
        <w:spacing w:after="0" w:line="231" w:lineRule="auto"/>
        <w:rPr>
          <w:sz w:val="20"/>
          <w:szCs w:val="20"/>
          <w:color w:val="auto"/>
        </w:rPr>
      </w:pPr>
      <w:r>
        <w:rPr>
          <w:rFonts w:ascii="Times New Roman" w:cs="Times New Roman" w:eastAsia="Times New Roman" w:hAnsi="Times New Roman"/>
          <w:sz w:val="14"/>
          <w:szCs w:val="14"/>
          <w:b w:val="1"/>
          <w:bCs w:val="1"/>
          <w:color w:val="auto"/>
        </w:rPr>
        <w:t>NOTES TO CONSOLIDATED FINANCIAL STATEMENTS—(Continued)</w:t>
      </w:r>
    </w:p>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2020</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COMMITMENTS AND CONTINGENCIES</w:t>
      </w:r>
    </w:p>
    <w:p>
      <w:pPr>
        <w:spacing w:after="0" w:line="125" w:lineRule="exact"/>
        <w:rPr>
          <w:sz w:val="20"/>
          <w:szCs w:val="20"/>
          <w:color w:val="auto"/>
        </w:rPr>
      </w:pPr>
    </w:p>
    <w:p>
      <w:pPr>
        <w:ind w:right="20" w:firstLine="438"/>
        <w:spacing w:after="0" w:line="233" w:lineRule="auto"/>
        <w:rPr>
          <w:sz w:val="20"/>
          <w:szCs w:val="20"/>
          <w:color w:val="auto"/>
        </w:rPr>
      </w:pPr>
      <w:r>
        <w:rPr>
          <w:rFonts w:ascii="Times New Roman" w:cs="Times New Roman" w:eastAsia="Times New Roman" w:hAnsi="Times New Roman"/>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September 30, 2020 and 2019, we had $37.4 million and $30.4 million, respectively, in commitments to fund investments. For the same periods, there were no letters of credit issued.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UNCONSOLIDATED SIGNIFICANT SUBSIDIARIES</w:t>
      </w:r>
    </w:p>
    <w:p>
      <w:pPr>
        <w:spacing w:after="0" w:line="138" w:lineRule="exact"/>
        <w:rPr>
          <w:sz w:val="20"/>
          <w:szCs w:val="20"/>
          <w:color w:val="auto"/>
        </w:rPr>
      </w:pPr>
    </w:p>
    <w:p>
      <w:pPr>
        <w:ind w:right="20" w:firstLine="438"/>
        <w:spacing w:after="0" w:line="228" w:lineRule="auto"/>
        <w:rPr>
          <w:sz w:val="20"/>
          <w:szCs w:val="20"/>
          <w:color w:val="auto"/>
        </w:rPr>
      </w:pPr>
      <w:r>
        <w:rPr>
          <w:rFonts w:ascii="Times New Roman" w:cs="Times New Roman" w:eastAsia="Times New Roman" w:hAnsi="Times New Roman"/>
          <w:sz w:val="14"/>
          <w:szCs w:val="14"/>
          <w:color w:val="auto"/>
        </w:rPr>
        <w:t>We must determine which, if any, of our unconsolidated controlled portfolio companies is a "significant subsidiary" within the meaning of Regulation S-X. We have determined that, as of September 30, 2020, PennantPark Senior Loan Fund, LLC, PT Networks, LLC and RAM Energy Holdings LLC triggered at least one of the significance tests. As a result and in accordance with Rule 3-09 of Regulation S-X, presented below is summarized unaudited financial information for PT Networks, LLC as of September 30, 2020 and 2019 as well as for the years ended September 30, 2020, 2019 and 2018. In accordance with Rule 3-09, separate audited financial statements of RAM Energy Holdings LLC for the years ended September 30, 2020 and 2019 are being filed herewith as Exhibit 99.2, and Exhibit 99.3 and separate unaudited financial statements for the year ending September 30, 2018 are being filed herewith as Exhibit 99.4. In addition, audited financial statements will be filed for PT Networks, LLC. Similarly, in accordance with Rule 4-08(g) of Regulation S-X which requires summarized financial information to be included in the notes to the Company’s financial statements, please refer to Note 4. to review the Statement of Assets and Liabilities as well as the Statement of Operations for PennantPark Senior Loan Fund, LLC. PennantPark Senior Loan Fund, LLC did not meet the significance threshold under Rule 3-09 which requires separate audited financial statements.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PT Networks, LLC:</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93"/>
        </w:trPr>
        <w:tc>
          <w:tcPr>
            <w:tcW w:w="5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xml:space="preserve">Balance Sheet </w:t>
            </w:r>
            <w:r>
              <w:rPr>
                <w:rFonts w:ascii="Times New Roman" w:cs="Times New Roman" w:eastAsia="Times New Roman" w:hAnsi="Times New Roman"/>
                <w:sz w:val="12"/>
                <w:szCs w:val="12"/>
                <w:b w:val="1"/>
                <w:bCs w:val="1"/>
                <w:color w:val="auto"/>
              </w:rPr>
              <w:t>(1)</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September 30, 2020</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155"/>
        </w:trPr>
        <w:tc>
          <w:tcPr>
            <w:tcW w:w="5560" w:type="dxa"/>
            <w:vAlign w:val="bottom"/>
            <w:tcBorders>
              <w:top w:val="single" w:sz="8" w:color="auto"/>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53,466</w:t>
            </w:r>
          </w:p>
        </w:tc>
        <w:tc>
          <w:tcPr>
            <w:tcW w:w="3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12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33,149</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215,550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211,337</w:t>
            </w:r>
          </w:p>
        </w:tc>
        <w:tc>
          <w:tcPr>
            <w:tcW w:w="120" w:type="dxa"/>
            <w:vAlign w:val="bottom"/>
          </w:tcPr>
          <w:p>
            <w:pPr>
              <w:spacing w:after="0"/>
              <w:rPr>
                <w:sz w:val="14"/>
                <w:szCs w:val="14"/>
                <w:color w:val="auto"/>
              </w:rPr>
            </w:pPr>
          </w:p>
        </w:tc>
      </w:tr>
      <w:tr>
        <w:trPr>
          <w:trHeight w:val="162"/>
        </w:trPr>
        <w:tc>
          <w:tcPr>
            <w:tcW w:w="556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2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54,504</w:t>
            </w:r>
          </w:p>
        </w:tc>
        <w:tc>
          <w:tcPr>
            <w:tcW w:w="3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24,890</w:t>
            </w:r>
          </w:p>
        </w:tc>
        <w:tc>
          <w:tcPr>
            <w:tcW w:w="120" w:type="dxa"/>
            <w:vAlign w:val="bottom"/>
            <w:shd w:val="clear" w:color="auto" w:fill="CCECFF"/>
          </w:tcPr>
          <w:p>
            <w:pPr>
              <w:spacing w:after="0"/>
              <w:rPr>
                <w:sz w:val="14"/>
                <w:szCs w:val="14"/>
                <w:color w:val="auto"/>
              </w:rPr>
            </w:pPr>
          </w:p>
        </w:tc>
      </w:tr>
      <w:tr>
        <w:trPr>
          <w:trHeight w:val="188"/>
        </w:trPr>
        <w:tc>
          <w:tcPr>
            <w:tcW w:w="5560" w:type="dxa"/>
            <w:vAlign w:val="bottom"/>
          </w:tcPr>
          <w:p>
            <w:pPr>
              <w:spacing w:after="0"/>
              <w:rPr>
                <w:sz w:val="20"/>
                <w:szCs w:val="20"/>
                <w:color w:val="auto"/>
              </w:rPr>
            </w:pPr>
            <w:r>
              <w:rPr>
                <w:rFonts w:ascii="Times New Roman" w:cs="Times New Roman" w:eastAsia="Times New Roman" w:hAnsi="Times New Roman"/>
                <w:sz w:val="14"/>
                <w:szCs w:val="14"/>
                <w:color w:val="auto"/>
              </w:rPr>
              <w:t>Noncurrent liabilities</w:t>
            </w:r>
          </w:p>
        </w:tc>
        <w:tc>
          <w:tcPr>
            <w:tcW w:w="62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189,677</w:t>
            </w:r>
          </w:p>
        </w:tc>
        <w:tc>
          <w:tcPr>
            <w:tcW w:w="7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181,322</w:t>
            </w:r>
          </w:p>
        </w:tc>
        <w:tc>
          <w:tcPr>
            <w:tcW w:w="120" w:type="dxa"/>
            <w:vAlign w:val="bottom"/>
          </w:tcPr>
          <w:p>
            <w:pPr>
              <w:spacing w:after="0"/>
              <w:rPr>
                <w:sz w:val="16"/>
                <w:szCs w:val="16"/>
                <w:color w:val="auto"/>
              </w:rPr>
            </w:pPr>
          </w:p>
        </w:tc>
      </w:tr>
    </w:tbl>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Income Statement </w:t>
            </w:r>
            <w:r>
              <w:rPr>
                <w:rFonts w:ascii="Times New Roman" w:cs="Times New Roman" w:eastAsia="Times New Roman" w:hAnsi="Times New Roman"/>
                <w:sz w:val="12"/>
                <w:szCs w:val="12"/>
                <w:b w:val="1"/>
                <w:bCs w:val="1"/>
                <w:color w:val="auto"/>
              </w:rPr>
              <w:t>(1)</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Years Ended September 30,</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20" w:type="dxa"/>
            <w:vAlign w:val="bottom"/>
            <w:gridSpan w:val="3"/>
            <w:vMerge w:val="continue"/>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jc w:val="right"/>
              <w:ind w:right="74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jc w:val="right"/>
              <w:ind w:right="7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jc w:val="right"/>
              <w:ind w:right="76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Borders>
              <w:top w:val="single" w:sz="8" w:color="auto"/>
            </w:tcBorders>
            <w:gridSpan w:val="2"/>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215,458</w:t>
            </w:r>
          </w:p>
        </w:tc>
        <w:tc>
          <w:tcPr>
            <w:tcW w:w="3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197,602</w:t>
            </w:r>
          </w:p>
        </w:tc>
        <w:tc>
          <w:tcPr>
            <w:tcW w:w="32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201,364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6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Total expenses</w:t>
            </w:r>
          </w:p>
        </w:tc>
        <w:tc>
          <w:tcPr>
            <w:tcW w:w="460" w:type="dxa"/>
            <w:vAlign w:val="bottom"/>
          </w:tcPr>
          <w:p>
            <w:pPr>
              <w:spacing w:after="0"/>
              <w:rPr>
                <w:sz w:val="14"/>
                <w:szCs w:val="14"/>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(227,227)</w:t>
            </w:r>
          </w:p>
        </w:tc>
        <w:tc>
          <w:tcPr>
            <w:tcW w:w="100" w:type="dxa"/>
            <w:vAlign w:val="bottom"/>
          </w:tcPr>
          <w:p>
            <w:pPr>
              <w:spacing w:after="0"/>
              <w:rPr>
                <w:sz w:val="14"/>
                <w:szCs w:val="14"/>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(247,125)</w:t>
            </w:r>
          </w:p>
        </w:tc>
        <w:tc>
          <w:tcPr>
            <w:tcW w:w="460" w:type="dxa"/>
            <w:vAlign w:val="bottom"/>
          </w:tcPr>
          <w:p>
            <w:pPr>
              <w:spacing w:after="0"/>
              <w:rPr>
                <w:sz w:val="14"/>
                <w:szCs w:val="14"/>
                <w:color w:val="auto"/>
              </w:rPr>
            </w:pP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(235,391)</w:t>
            </w:r>
          </w:p>
        </w:tc>
        <w:tc>
          <w:tcPr>
            <w:tcW w:w="0" w:type="dxa"/>
            <w:vAlign w:val="bottom"/>
          </w:tcPr>
          <w:p>
            <w:pPr>
              <w:spacing w:after="0"/>
              <w:rPr>
                <w:sz w:val="1"/>
                <w:szCs w:val="1"/>
                <w:color w:val="auto"/>
              </w:rPr>
            </w:pPr>
          </w:p>
        </w:tc>
      </w:tr>
      <w:tr>
        <w:trPr>
          <w:trHeight w:val="155"/>
        </w:trPr>
        <w:tc>
          <w:tcPr>
            <w:tcW w:w="4620" w:type="dxa"/>
            <w:vAlign w:val="bottom"/>
            <w:tcBorders>
              <w:top w:val="single" w:sz="8" w:color="CCECFF"/>
              <w:bottom w:val="single" w:sz="8" w:color="CCECFF"/>
            </w:tcBorders>
            <w:gridSpan w:val="3"/>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460" w:type="dxa"/>
            <w:vAlign w:val="bottom"/>
            <w:tcBorders>
              <w:top w:val="single" w:sz="8" w:color="auto"/>
              <w:bottom w:val="single" w:sz="8" w:color="auto"/>
            </w:tcBorders>
            <w:shd w:val="clear" w:color="auto" w:fill="CCECFF"/>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(11,769)</w:t>
            </w:r>
          </w:p>
        </w:tc>
        <w:tc>
          <w:tcPr>
            <w:tcW w:w="3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(49,523)</w:t>
            </w:r>
          </w:p>
        </w:tc>
        <w:tc>
          <w:tcPr>
            <w:tcW w:w="320" w:type="dxa"/>
            <w:vAlign w:val="bottom"/>
            <w:tcBorders>
              <w:top w:val="single" w:sz="8" w:color="CCECFF"/>
              <w:bottom w:val="single" w:sz="8" w:color="CCECFF"/>
            </w:tcBorders>
            <w:shd w:val="clear" w:color="auto" w:fill="CCECFF"/>
          </w:tcPr>
          <w:p>
            <w:pPr>
              <w:spacing w:after="0"/>
              <w:rPr>
                <w:sz w:val="13"/>
                <w:szCs w:val="13"/>
                <w:color w:val="auto"/>
              </w:rPr>
            </w:pPr>
          </w:p>
        </w:tc>
        <w:tc>
          <w:tcPr>
            <w:tcW w:w="460" w:type="dxa"/>
            <w:vAlign w:val="bottom"/>
            <w:tcBorders>
              <w:top w:val="single" w:sz="8" w:color="auto"/>
              <w:bottom w:val="single" w:sz="8" w:color="auto"/>
            </w:tcBorders>
            <w:shd w:val="clear" w:color="auto" w:fill="CCECFF"/>
          </w:tcPr>
          <w:p>
            <w:pPr>
              <w:jc w:val="right"/>
              <w:ind w:right="3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(34,027)</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120" w:type="dxa"/>
            <w:vAlign w:val="bottom"/>
            <w:tcBorders>
              <w:bottom w:val="single" w:sz="8" w:color="auto"/>
            </w:tcBorders>
          </w:tcPr>
          <w:p>
            <w:pPr>
              <w:spacing w:after="0"/>
              <w:rPr>
                <w:sz w:val="3"/>
                <w:szCs w:val="3"/>
                <w:color w:val="auto"/>
              </w:rPr>
            </w:pPr>
          </w:p>
        </w:tc>
        <w:tc>
          <w:tcPr>
            <w:tcW w:w="2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380" w:hanging="372"/>
        <w:spacing w:after="0" w:line="190" w:lineRule="auto"/>
        <w:tabs>
          <w:tab w:leader="none" w:pos="380" w:val="left"/>
        </w:tabs>
        <w:numPr>
          <w:ilvl w:val="0"/>
          <w:numId w:val="88"/>
        </w:numPr>
        <w:rPr>
          <w:rFonts w:ascii="Times New Roman" w:cs="Times New Roman" w:eastAsia="Times New Roman" w:hAnsi="Times New Roman"/>
          <w:sz w:val="20"/>
          <w:szCs w:val="20"/>
          <w:b w:val="1"/>
          <w:bCs w:val="1"/>
          <w:color w:val="auto"/>
          <w:vertAlign w:val="superscript"/>
        </w:rPr>
      </w:pPr>
      <w:r>
        <w:rPr>
          <w:rFonts w:ascii="Times New Roman" w:cs="Times New Roman" w:eastAsia="Times New Roman" w:hAnsi="Times New Roman"/>
          <w:sz w:val="12"/>
          <w:szCs w:val="12"/>
          <w:color w:val="auto"/>
        </w:rPr>
        <w:t>All amounts are in thousands.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STOCK REPURCHASE PROGRAM</w:t>
      </w:r>
    </w:p>
    <w:p>
      <w:pPr>
        <w:spacing w:after="0" w:line="138" w:lineRule="exact"/>
        <w:rPr>
          <w:sz w:val="20"/>
          <w:szCs w:val="20"/>
          <w:color w:val="auto"/>
        </w:rPr>
      </w:pPr>
    </w:p>
    <w:p>
      <w:pPr>
        <w:jc w:val="both"/>
        <w:ind w:right="80" w:firstLine="438"/>
        <w:spacing w:after="0" w:line="241" w:lineRule="auto"/>
        <w:rPr>
          <w:sz w:val="20"/>
          <w:szCs w:val="20"/>
          <w:color w:val="auto"/>
        </w:rPr>
      </w:pPr>
      <w:r>
        <w:rPr>
          <w:rFonts w:ascii="Times New Roman" w:cs="Times New Roman" w:eastAsia="Times New Roman" w:hAnsi="Times New Roman"/>
          <w:sz w:val="14"/>
          <w:szCs w:val="14"/>
          <w:color w:val="auto"/>
        </w:rPr>
        <w:t>On May 9, 2018, we announced a share repurchase program which allowed us to repurchase up to $30 million of our outstanding common stock in the open market at prices below our NAV as reported in our then most recently published consolidated financial statements. The program expired on May 9, 2019. For the years ended September 30, 2019 and 2018, we repurchased 2.0 million, 2.0 million and zero shares of common stock in open market transactions for an aggregate cost (including transaction costs) of $14.5 million and $15.0 million,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SUBSEQUENT EVENTS</w:t>
      </w:r>
    </w:p>
    <w:p>
      <w:pPr>
        <w:spacing w:after="0" w:line="138" w:lineRule="exact"/>
        <w:rPr>
          <w:sz w:val="20"/>
          <w:szCs w:val="20"/>
          <w:color w:val="auto"/>
        </w:rPr>
      </w:pPr>
    </w:p>
    <w:p>
      <w:pPr>
        <w:ind w:right="140" w:firstLine="729"/>
        <w:spacing w:after="0" w:line="236" w:lineRule="auto"/>
        <w:rPr>
          <w:sz w:val="20"/>
          <w:szCs w:val="20"/>
          <w:color w:val="auto"/>
        </w:rPr>
      </w:pPr>
      <w:r>
        <w:rPr>
          <w:rFonts w:ascii="Times New Roman" w:cs="Times New Roman" w:eastAsia="Times New Roman" w:hAnsi="Times New Roman"/>
          <w:sz w:val="14"/>
          <w:szCs w:val="14"/>
          <w:color w:val="auto"/>
        </w:rPr>
        <w:t>Effective October 31, 2020, certain entities and managed accounts of the private credit investment manager of Pantheon Ventures (UK) LLP, or Pantheon, our joint-venture partner, contributed an additional $27.5 million to PSLF, bringing their total contribution to $62.5 million. Pantheon’s additional investment came in at the then current net asset value. At the same time, the Company has also invested an additional $1.8 million in PSLF. As a result, the Company currently owns 60.5% of the joint venture. Additionally, in connection with this transaction, BNP Paribas has increased the size of PSLF’s credit facility from $250.0 million to $275.0 million.</w:t>
      </w:r>
    </w:p>
    <w:p>
      <w:pPr>
        <w:spacing w:after="0" w:line="96" w:lineRule="exact"/>
        <w:rPr>
          <w:sz w:val="20"/>
          <w:szCs w:val="20"/>
          <w:color w:val="auto"/>
        </w:rPr>
      </w:pPr>
    </w:p>
    <w:p>
      <w:pPr>
        <w:ind w:firstLine="438"/>
        <w:spacing w:after="0"/>
        <w:rPr>
          <w:sz w:val="20"/>
          <w:szCs w:val="20"/>
          <w:color w:val="auto"/>
        </w:rPr>
      </w:pPr>
      <w:r>
        <w:rPr>
          <w:rFonts w:ascii="Times New Roman" w:cs="Times New Roman" w:eastAsia="Times New Roman" w:hAnsi="Times New Roman"/>
          <w:sz w:val="14"/>
          <w:szCs w:val="14"/>
          <w:color w:val="auto"/>
        </w:rPr>
        <w:t>Subsequent to September 30, 2020, our portfolio company, Cano Health, LLC (ITC Rumba, LLC), entered into a business combination agreement with Jaws Acquisition Corp (“JWS”), a special purpose acquisition vehicle, and other parties, subject to certain closing conditions, with an expected closing late first quarter or early second quarter 2021. Based on the closing stock price of JWS on November 13, 2020, our $18.8 million common stock fair valuation as of September 30, 2020 would increase to an estimated $72.3 million, which includes a combination of cash and stock, assuming the transaction closes based on the agreed terms. This would represent a net asset value increase of $0.80 per share, as of November 13, 2020. Our shares are owned by a limited partnership controlled by the financial sponsor and are subject to customary lock up restrictions. As a result, the fair value on December 31, 2020, may likely include an illiquidity discount not in the public trading values indicated above. There can be no assurance that the implied value of our equity interest will be representative of the value ultimately realized on our equity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4"/>
          <w:szCs w:val="14"/>
          <w:color w:val="auto"/>
        </w:rPr>
        <w:t>SUPPLEMENTARY DATA</w:t>
      </w:r>
    </w:p>
    <w:p>
      <w:pPr>
        <w:jc w:val="center"/>
        <w:spacing w:after="0" w:line="225" w:lineRule="auto"/>
        <w:rPr>
          <w:sz w:val="20"/>
          <w:szCs w:val="20"/>
          <w:color w:val="auto"/>
        </w:rPr>
      </w:pPr>
      <w:r>
        <w:rPr>
          <w:rFonts w:ascii="Times New Roman" w:cs="Times New Roman" w:eastAsia="Times New Roman" w:hAnsi="Times New Roman"/>
          <w:sz w:val="14"/>
          <w:szCs w:val="14"/>
          <w:color w:val="auto"/>
        </w:rPr>
        <w:t>Selected Quarterly Data (Unaudited)</w:t>
      </w:r>
    </w:p>
    <w:p>
      <w:pPr>
        <w:jc w:val="center"/>
        <w:spacing w:after="0"/>
        <w:rPr>
          <w:sz w:val="20"/>
          <w:szCs w:val="20"/>
          <w:color w:val="auto"/>
        </w:rPr>
      </w:pPr>
      <w:r>
        <w:rPr>
          <w:rFonts w:ascii="Times New Roman" w:cs="Times New Roman" w:eastAsia="Times New Roman" w:hAnsi="Times New Roman"/>
          <w:sz w:val="14"/>
          <w:szCs w:val="14"/>
          <w:color w:val="auto"/>
        </w:rPr>
        <w:t>(dollar amounts 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2020</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3"/>
                <w:szCs w:val="13"/>
                <w:color w:val="auto"/>
              </w:rPr>
            </w:pPr>
          </w:p>
        </w:tc>
      </w:tr>
      <w:tr>
        <w:trPr>
          <w:trHeight w:val="155"/>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 income</w:t>
            </w:r>
          </w:p>
        </w:tc>
        <w:tc>
          <w:tcPr>
            <w:tcW w:w="680" w:type="dxa"/>
            <w:vAlign w:val="bottom"/>
            <w:tcBorders>
              <w:top w:val="single" w:sz="8" w:color="auto"/>
            </w:tcBorders>
            <w:shd w:val="clear" w:color="auto" w:fill="CCECFF"/>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21,278</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25,408</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27,535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26,004</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10,983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and change in unrealized (gain) loss</w:t>
            </w:r>
          </w:p>
        </w:tc>
        <w:tc>
          <w:tcPr>
            <w:tcW w:w="680" w:type="dxa"/>
            <w:vAlign w:val="bottom"/>
            <w:shd w:val="clear" w:color="auto" w:fill="CCECFF"/>
          </w:tcPr>
          <w:p>
            <w:pPr>
              <w:spacing w:after="0"/>
              <w:rPr>
                <w:sz w:val="14"/>
                <w:szCs w:val="14"/>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2,253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(70,601)</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9,017</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15,614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(60,293)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19,203</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 per common share *</w:t>
            </w:r>
          </w:p>
        </w:tc>
        <w:tc>
          <w:tcPr>
            <w:tcW w:w="680" w:type="dxa"/>
            <w:vAlign w:val="bottom"/>
            <w:shd w:val="clear" w:color="auto" w:fill="CCECFF"/>
          </w:tcPr>
          <w:p>
            <w:pPr>
              <w:spacing w:after="0"/>
              <w:rPr>
                <w:sz w:val="14"/>
                <w:szCs w:val="14"/>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(0.90)</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Net asset value per share at the end of the quarter</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Market value per share at the end of the quarter</w:t>
            </w:r>
          </w:p>
        </w:tc>
        <w:tc>
          <w:tcPr>
            <w:tcW w:w="680" w:type="dxa"/>
            <w:vAlign w:val="bottom"/>
            <w:shd w:val="clear" w:color="auto" w:fill="CCEC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shd w:val="clear" w:color="auto" w:fill="CCECFF"/>
          </w:tcPr>
          <w:p>
            <w:pPr>
              <w:spacing w:after="0"/>
              <w:rPr>
                <w:sz w:val="14"/>
                <w:szCs w:val="14"/>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74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3"/>
                <w:szCs w:val="13"/>
                <w:color w:val="auto"/>
              </w:rPr>
            </w:pPr>
          </w:p>
        </w:tc>
      </w:tr>
      <w:tr>
        <w:trPr>
          <w:trHeight w:val="155"/>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 income</w:t>
            </w:r>
          </w:p>
        </w:tc>
        <w:tc>
          <w:tcPr>
            <w:tcW w:w="680" w:type="dxa"/>
            <w:vAlign w:val="bottom"/>
            <w:tcBorders>
              <w:top w:val="single" w:sz="8" w:color="auto"/>
            </w:tcBorders>
            <w:shd w:val="clear" w:color="auto" w:fill="CCECFF"/>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27,926</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28,113</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28,688</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27,380</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and change in unrealized loss</w:t>
            </w:r>
          </w:p>
        </w:tc>
        <w:tc>
          <w:tcPr>
            <w:tcW w:w="680" w:type="dxa"/>
            <w:vAlign w:val="bottom"/>
            <w:shd w:val="clear" w:color="auto" w:fill="CCECFF"/>
          </w:tcPr>
          <w:p>
            <w:pPr>
              <w:spacing w:after="0"/>
              <w:rPr>
                <w:sz w:val="14"/>
                <w:szCs w:val="14"/>
                <w:color w:val="auto"/>
              </w:rPr>
            </w:pPr>
          </w:p>
        </w:tc>
        <w:tc>
          <w:tcPr>
            <w:tcW w:w="7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(1,356)</w:t>
            </w:r>
          </w:p>
        </w:tc>
        <w:tc>
          <w:tcPr>
            <w:tcW w:w="26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(6,021)</w:t>
            </w:r>
          </w:p>
        </w:tc>
        <w:tc>
          <w:tcPr>
            <w:tcW w:w="2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(15,499)</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(5,796)</w:t>
            </w:r>
          </w:p>
        </w:tc>
      </w:tr>
      <w:tr>
        <w:trPr>
          <w:trHeight w:val="16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8,624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(4,746)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increase (decrease) in net assets resulting from operations per common share *</w:t>
            </w:r>
          </w:p>
        </w:tc>
        <w:tc>
          <w:tcPr>
            <w:tcW w:w="680" w:type="dxa"/>
            <w:vAlign w:val="bottom"/>
            <w:shd w:val="clear" w:color="auto" w:fill="CCECFF"/>
          </w:tcPr>
          <w:p>
            <w:pPr>
              <w:spacing w:after="0"/>
              <w:rPr>
                <w:sz w:val="14"/>
                <w:szCs w:val="14"/>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Net asset value per share at the end of the quarter</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Market value per share at the end of the quarter</w:t>
            </w:r>
          </w:p>
        </w:tc>
        <w:tc>
          <w:tcPr>
            <w:tcW w:w="680" w:type="dxa"/>
            <w:vAlign w:val="bottom"/>
            <w:shd w:val="clear" w:color="auto" w:fill="CCEC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shd w:val="clear" w:color="auto" w:fill="CCECFF"/>
          </w:tcPr>
          <w:p>
            <w:pPr>
              <w:spacing w:after="0"/>
              <w:rPr>
                <w:sz w:val="14"/>
                <w:szCs w:val="14"/>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2018</w:t>
            </w: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8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Q4</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Q3</w:t>
            </w:r>
          </w:p>
        </w:tc>
        <w:tc>
          <w:tcPr>
            <w:tcW w:w="260" w:type="dxa"/>
            <w:vAlign w:val="bottom"/>
          </w:tcPr>
          <w:p>
            <w:pPr>
              <w:spacing w:after="0"/>
              <w:rPr>
                <w:sz w:val="13"/>
                <w:szCs w:val="13"/>
                <w:color w:val="auto"/>
              </w:rPr>
            </w:pPr>
          </w:p>
        </w:tc>
        <w:tc>
          <w:tcPr>
            <w:tcW w:w="1020" w:type="dxa"/>
            <w:vAlign w:val="bottom"/>
            <w:gridSpan w:val="2"/>
          </w:tcPr>
          <w:p>
            <w:pPr>
              <w:jc w:val="right"/>
              <w:ind w:right="620"/>
              <w:spacing w:after="0" w:line="155" w:lineRule="exact"/>
              <w:rPr>
                <w:sz w:val="20"/>
                <w:szCs w:val="20"/>
                <w:color w:val="auto"/>
              </w:rPr>
            </w:pPr>
            <w:r>
              <w:rPr>
                <w:rFonts w:ascii="Times New Roman" w:cs="Times New Roman" w:eastAsia="Times New Roman" w:hAnsi="Times New Roman"/>
                <w:sz w:val="14"/>
                <w:szCs w:val="14"/>
                <w:b w:val="1"/>
                <w:bCs w:val="1"/>
                <w:color w:val="auto"/>
              </w:rPr>
              <w:t>Q2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jc w:val="right"/>
              <w:ind w:right="428"/>
              <w:spacing w:after="0" w:line="155" w:lineRule="exact"/>
              <w:rPr>
                <w:sz w:val="20"/>
                <w:szCs w:val="20"/>
                <w:color w:val="auto"/>
              </w:rPr>
            </w:pPr>
            <w:r>
              <w:rPr>
                <w:rFonts w:ascii="Times New Roman" w:cs="Times New Roman" w:eastAsia="Times New Roman" w:hAnsi="Times New Roman"/>
                <w:sz w:val="14"/>
                <w:szCs w:val="14"/>
                <w:b w:val="1"/>
                <w:bCs w:val="1"/>
                <w:color w:val="auto"/>
              </w:rPr>
              <w:t>Q1</w:t>
            </w:r>
          </w:p>
        </w:tc>
        <w:tc>
          <w:tcPr>
            <w:tcW w:w="100" w:type="dxa"/>
            <w:vAlign w:val="bottom"/>
          </w:tcPr>
          <w:p>
            <w:pPr>
              <w:spacing w:after="0"/>
              <w:rPr>
                <w:sz w:val="13"/>
                <w:szCs w:val="13"/>
                <w:color w:val="auto"/>
              </w:rPr>
            </w:pPr>
          </w:p>
        </w:tc>
      </w:tr>
      <w:tr>
        <w:trPr>
          <w:trHeight w:val="155"/>
        </w:trPr>
        <w:tc>
          <w:tcPr>
            <w:tcW w:w="5840" w:type="dxa"/>
            <w:vAlign w:val="bottom"/>
            <w:tcBorders>
              <w:top w:val="single" w:sz="8" w:color="CCECFF"/>
            </w:tcBorders>
            <w:shd w:val="clear" w:color="auto" w:fill="CCECFF"/>
          </w:tcPr>
          <w:p>
            <w:pPr>
              <w:spacing w:after="0" w:line="155" w:lineRule="exact"/>
              <w:rPr>
                <w:sz w:val="20"/>
                <w:szCs w:val="20"/>
                <w:color w:val="auto"/>
              </w:rPr>
            </w:pPr>
            <w:r>
              <w:rPr>
                <w:rFonts w:ascii="Times New Roman" w:cs="Times New Roman" w:eastAsia="Times New Roman" w:hAnsi="Times New Roman"/>
                <w:sz w:val="14"/>
                <w:szCs w:val="14"/>
                <w:color w:val="auto"/>
              </w:rPr>
              <w:t>Total investment income</w:t>
            </w:r>
          </w:p>
        </w:tc>
        <w:tc>
          <w:tcPr>
            <w:tcW w:w="680" w:type="dxa"/>
            <w:vAlign w:val="bottom"/>
            <w:tcBorders>
              <w:top w:val="single" w:sz="8" w:color="auto"/>
            </w:tcBorders>
            <w:shd w:val="clear" w:color="auto" w:fill="CCECFF"/>
          </w:tcPr>
          <w:p>
            <w:pPr>
              <w:jc w:val="right"/>
              <w:ind w:right="5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27,624</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24,760</w:t>
            </w:r>
          </w:p>
        </w:tc>
        <w:tc>
          <w:tcPr>
            <w:tcW w:w="24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27,226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C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28,668</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Net investment income</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13,975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11,776</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14,168</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realized and unrealized (loss) gain</w:t>
            </w:r>
          </w:p>
        </w:tc>
        <w:tc>
          <w:tcPr>
            <w:tcW w:w="680" w:type="dxa"/>
            <w:vAlign w:val="bottom"/>
            <w:shd w:val="clear" w:color="auto" w:fill="CCECFF"/>
          </w:tcPr>
          <w:p>
            <w:pPr>
              <w:spacing w:after="0"/>
              <w:rPr>
                <w:sz w:val="14"/>
                <w:szCs w:val="14"/>
                <w:color w:val="auto"/>
              </w:rPr>
            </w:pPr>
          </w:p>
        </w:tc>
        <w:tc>
          <w:tcPr>
            <w:tcW w:w="700" w:type="dxa"/>
            <w:vAlign w:val="bottom"/>
            <w:gridSpan w:val="2"/>
            <w:shd w:val="clear" w:color="auto" w:fill="CCECFF"/>
          </w:tcPr>
          <w:p>
            <w:pPr>
              <w:jc w:val="right"/>
              <w:ind w:right="200"/>
              <w:spacing w:after="0"/>
              <w:rPr>
                <w:sz w:val="20"/>
                <w:szCs w:val="20"/>
                <w:color w:val="auto"/>
              </w:rPr>
            </w:pPr>
            <w:r>
              <w:rPr>
                <w:rFonts w:ascii="Times New Roman" w:cs="Times New Roman" w:eastAsia="Times New Roman" w:hAnsi="Times New Roman"/>
                <w:sz w:val="14"/>
                <w:szCs w:val="14"/>
                <w:color w:val="auto"/>
              </w:rPr>
              <w:t>(1,502)</w:t>
            </w:r>
          </w:p>
        </w:tc>
        <w:tc>
          <w:tcPr>
            <w:tcW w:w="26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5,134</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4"/>
                <w:szCs w:val="14"/>
                <w:color w:val="auto"/>
              </w:rPr>
              <w:t>(7,380)</w:t>
            </w: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80" w:type="dxa"/>
            <w:vAlign w:val="bottom"/>
            <w:gridSpan w:val="2"/>
            <w:shd w:val="clear" w:color="auto" w:fill="CCECFF"/>
          </w:tcPr>
          <w:p>
            <w:pPr>
              <w:jc w:val="right"/>
              <w:ind w:right="60"/>
              <w:spacing w:after="0"/>
              <w:rPr>
                <w:sz w:val="20"/>
                <w:szCs w:val="20"/>
                <w:color w:val="auto"/>
              </w:rPr>
            </w:pPr>
            <w:r>
              <w:rPr>
                <w:rFonts w:ascii="Times New Roman" w:cs="Times New Roman" w:eastAsia="Times New Roman" w:hAnsi="Times New Roman"/>
                <w:sz w:val="14"/>
                <w:szCs w:val="14"/>
                <w:color w:val="auto"/>
              </w:rPr>
              <w:t>(1,873)</w:t>
            </w:r>
          </w:p>
        </w:tc>
      </w:tr>
      <w:tr>
        <w:trPr>
          <w:trHeight w:val="16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12,473</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16,910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12,295</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Net increase in net assets resulting from operations per common share *</w:t>
            </w:r>
          </w:p>
        </w:tc>
        <w:tc>
          <w:tcPr>
            <w:tcW w:w="680" w:type="dxa"/>
            <w:vAlign w:val="bottom"/>
            <w:shd w:val="clear" w:color="auto" w:fill="CCECFF"/>
          </w:tcPr>
          <w:p>
            <w:pPr>
              <w:spacing w:after="0"/>
              <w:rPr>
                <w:sz w:val="14"/>
                <w:szCs w:val="14"/>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shd w:val="clear" w:color="auto" w:fill="CCECFF"/>
          </w:tcPr>
          <w:p>
            <w:pPr>
              <w:spacing w:after="0"/>
              <w:rPr>
                <w:sz w:val="14"/>
                <w:szCs w:val="14"/>
                <w:color w:val="auto"/>
              </w:rPr>
            </w:pPr>
          </w:p>
        </w:tc>
      </w:tr>
      <w:tr>
        <w:trPr>
          <w:trHeight w:val="162"/>
        </w:trPr>
        <w:tc>
          <w:tcPr>
            <w:tcW w:w="5840" w:type="dxa"/>
            <w:vAlign w:val="bottom"/>
          </w:tcPr>
          <w:p>
            <w:pPr>
              <w:spacing w:after="0"/>
              <w:rPr>
                <w:sz w:val="20"/>
                <w:szCs w:val="20"/>
                <w:color w:val="auto"/>
              </w:rPr>
            </w:pPr>
            <w:r>
              <w:rPr>
                <w:rFonts w:ascii="Times New Roman" w:cs="Times New Roman" w:eastAsia="Times New Roman" w:hAnsi="Times New Roman"/>
                <w:sz w:val="14"/>
                <w:szCs w:val="14"/>
                <w:color w:val="auto"/>
              </w:rPr>
              <w:t>Net asset value per share at the end of the quarter</w:t>
            </w:r>
          </w:p>
        </w:tc>
        <w:tc>
          <w:tcPr>
            <w:tcW w:w="6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spacing w:after="0"/>
              <w:rPr>
                <w:sz w:val="20"/>
                <w:szCs w:val="20"/>
                <w:color w:val="auto"/>
              </w:rPr>
            </w:pPr>
            <w:r>
              <w:rPr>
                <w:rFonts w:ascii="Times New Roman" w:cs="Times New Roman" w:eastAsia="Times New Roman" w:hAnsi="Times New Roman"/>
                <w:sz w:val="14"/>
                <w:szCs w:val="14"/>
                <w:color w:val="auto"/>
              </w:rPr>
              <w:t>Market value per share at the end of the quarter</w:t>
            </w:r>
          </w:p>
        </w:tc>
        <w:tc>
          <w:tcPr>
            <w:tcW w:w="680" w:type="dxa"/>
            <w:vAlign w:val="bottom"/>
            <w:shd w:val="clear" w:color="auto" w:fill="CCECFF"/>
          </w:tcPr>
          <w:p>
            <w:pPr>
              <w:jc w:val="right"/>
              <w:ind w:right="52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24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140" w:type="dxa"/>
            <w:vAlign w:val="bottom"/>
            <w:shd w:val="clear" w:color="auto" w:fill="CCECFF"/>
          </w:tcPr>
          <w:p>
            <w:pPr>
              <w:spacing w:after="0"/>
              <w:rPr>
                <w:sz w:val="14"/>
                <w:szCs w:val="14"/>
                <w:color w:val="auto"/>
              </w:rPr>
            </w:pPr>
          </w:p>
        </w:tc>
        <w:tc>
          <w:tcPr>
            <w:tcW w:w="380" w:type="dxa"/>
            <w:vAlign w:val="bottom"/>
            <w:gridSpan w:val="2"/>
            <w:shd w:val="clear" w:color="auto" w:fill="CCEC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shd w:val="clear" w:color="auto" w:fill="CCEC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3455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39" w:lineRule="exact"/>
        <w:rPr>
          <w:sz w:val="20"/>
          <w:szCs w:val="20"/>
          <w:color w:val="auto"/>
        </w:rPr>
      </w:pPr>
    </w:p>
    <w:p>
      <w:pPr>
        <w:ind w:left="380" w:hanging="372"/>
        <w:spacing w:after="0"/>
        <w:tabs>
          <w:tab w:leader="none" w:pos="380" w:val="left"/>
        </w:tabs>
        <w:numPr>
          <w:ilvl w:val="0"/>
          <w:numId w:val="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Based on the weighted average shares outstanding for the respective periods.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None.</w:t>
      </w:r>
    </w:p>
    <w:p>
      <w:pPr>
        <w:spacing w:after="0" w:line="12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9A.</w:t>
      </w:r>
      <w:r>
        <w:rPr>
          <w:sz w:val="20"/>
          <w:szCs w:val="20"/>
          <w:color w:val="auto"/>
        </w:rPr>
        <w:tab/>
      </w:r>
      <w:r>
        <w:rPr>
          <w:rFonts w:ascii="Times New Roman" w:cs="Times New Roman" w:eastAsia="Times New Roman" w:hAnsi="Times New Roman"/>
          <w:sz w:val="14"/>
          <w:szCs w:val="14"/>
          <w:b w:val="1"/>
          <w:bCs w:val="1"/>
          <w:color w:val="auto"/>
        </w:rPr>
        <w:t>Controls and Procedures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 Evaluation of Disclosure Controls and Procedures</w:t>
      </w:r>
    </w:p>
    <w:p>
      <w:pPr>
        <w:spacing w:after="0" w:line="140" w:lineRule="exact"/>
        <w:rPr>
          <w:sz w:val="20"/>
          <w:szCs w:val="20"/>
          <w:color w:val="auto"/>
        </w:rPr>
      </w:pPr>
    </w:p>
    <w:p>
      <w:pPr>
        <w:ind w:firstLine="438"/>
        <w:spacing w:after="0" w:line="229" w:lineRule="auto"/>
        <w:rPr>
          <w:sz w:val="20"/>
          <w:szCs w:val="20"/>
          <w:color w:val="auto"/>
        </w:rPr>
      </w:pPr>
      <w:r>
        <w:rPr>
          <w:rFonts w:ascii="Times New Roman" w:cs="Times New Roman" w:eastAsia="Times New Roman" w:hAnsi="Times New Roman"/>
          <w:sz w:val="14"/>
          <w:szCs w:val="14"/>
          <w:color w:val="auto"/>
        </w:rPr>
        <w:t>As of September 30, 2020,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 Management’s Report on Internal Control Over Financial Reporting</w:t>
      </w:r>
    </w:p>
    <w:p>
      <w:pPr>
        <w:spacing w:after="0" w:line="1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Management’s Report on Internal Control Over Financial Reporting, which appears on page 55 of this Form 10-K, is incorporated by reference 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 Changes in Internal Controls Over Financial Reporting</w:t>
      </w:r>
    </w:p>
    <w:p>
      <w:pPr>
        <w:spacing w:after="0" w:line="140"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of the Exchange Act) during our most recently completed fiscal quarter, that have materially affected, or are reasonably likely to materially affect, our internal control over financial reporting.</w:t>
      </w:r>
    </w:p>
    <w:p>
      <w:pPr>
        <w:spacing w:after="0" w:line="8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9B.</w:t>
      </w:r>
      <w:r>
        <w:rPr>
          <w:sz w:val="20"/>
          <w:szCs w:val="20"/>
          <w:color w:val="auto"/>
        </w:rPr>
        <w:tab/>
      </w:r>
      <w:r>
        <w:rPr>
          <w:rFonts w:ascii="Times New Roman" w:cs="Times New Roman" w:eastAsia="Times New Roman" w:hAnsi="Times New Roman"/>
          <w:sz w:val="14"/>
          <w:szCs w:val="14"/>
          <w:b w:val="1"/>
          <w:bCs w:val="1"/>
          <w:color w:val="auto"/>
        </w:rPr>
        <w:t>Other Information</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None.</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4" w:right="399" w:bottom="1440" w:gutter="0" w:footer="0" w:header="0"/>
        </w:sectPr>
      </w:pPr>
    </w:p>
    <w:bookmarkStart w:id="85" w:name="page86"/>
    <w:bookmarkEnd w:id="85"/>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38" w:lineRule="exact"/>
        <w:rPr>
          <w:sz w:val="20"/>
          <w:szCs w:val="20"/>
          <w:color w:val="auto"/>
        </w:rPr>
      </w:pPr>
    </w:p>
    <w:p>
      <w:pPr>
        <w:ind w:firstLine="438"/>
        <w:spacing w:after="0" w:line="241" w:lineRule="auto"/>
        <w:rPr>
          <w:sz w:val="20"/>
          <w:szCs w:val="20"/>
          <w:color w:val="auto"/>
        </w:rPr>
      </w:pPr>
      <w:r>
        <w:rPr>
          <w:rFonts w:ascii="Times New Roman" w:cs="Times New Roman" w:eastAsia="Times New Roman" w:hAnsi="Times New Roman"/>
          <w:sz w:val="14"/>
          <w:szCs w:val="14"/>
          <w:color w:val="auto"/>
        </w:rPr>
        <w:t>We will file a definitive Proxy Statement for our 2021 Annual Meeting of Stockholders with the SEC, pursuant to Regulation 14A, not later than 120 days after the end of our fiscal year. Accordingly, certain information required by Part III has been omitted under General Instruction G (3) to Form 10-K. Only those sections of our definitive Proxy Statement that specifically address the items set forth herein are incorporated by reference.</w:t>
      </w:r>
    </w:p>
    <w:p>
      <w:pPr>
        <w:spacing w:after="0" w:line="9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10.</w:t>
      </w:r>
      <w:r>
        <w:rPr>
          <w:sz w:val="20"/>
          <w:szCs w:val="20"/>
          <w:color w:val="auto"/>
        </w:rPr>
        <w:tab/>
      </w:r>
      <w:r>
        <w:rPr>
          <w:rFonts w:ascii="Times New Roman" w:cs="Times New Roman" w:eastAsia="Times New Roman" w:hAnsi="Times New Roman"/>
          <w:sz w:val="14"/>
          <w:szCs w:val="14"/>
          <w:b w:val="1"/>
          <w:bCs w:val="1"/>
          <w:color w:val="auto"/>
        </w:rPr>
        <w:t>Directors, Executive Officers and Corporate Governance</w:t>
      </w:r>
    </w:p>
    <w:p>
      <w:pPr>
        <w:spacing w:after="0" w:line="138"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The information required by Item 10 is hereby incorporated by reference from our definitive Proxy Statement relating to our 2021 Annual Meeting of Stockholders, to be filed with the SEC within 120 days following the end of our fiscal year.</w:t>
      </w:r>
    </w:p>
    <w:p>
      <w:pPr>
        <w:spacing w:after="0" w:line="9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138"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The information required by Item 11 is hereby incorporated by reference from our definitive Proxy Statement relating to our 2021 Annual Meeting of Stockholders, to be filed with the SEC within 120 days following the end of our fiscal year.</w:t>
      </w:r>
    </w:p>
    <w:p>
      <w:pPr>
        <w:spacing w:after="0" w:line="9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138"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The information required by Item 12 is hereby incorporated by reference from our definitive Proxy Statement relating to our 2021 Annual Meeting of Stockholders, to be filed with the SEC within 120 days following the end of our fiscal year.</w:t>
      </w:r>
    </w:p>
    <w:p>
      <w:pPr>
        <w:spacing w:after="0" w:line="80"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13.</w:t>
      </w:r>
      <w:r>
        <w:rPr>
          <w:sz w:val="20"/>
          <w:szCs w:val="20"/>
          <w:color w:val="auto"/>
        </w:rPr>
        <w:tab/>
      </w:r>
      <w:r>
        <w:rPr>
          <w:rFonts w:ascii="Times New Roman" w:cs="Times New Roman" w:eastAsia="Times New Roman" w:hAnsi="Times New Roman"/>
          <w:sz w:val="14"/>
          <w:szCs w:val="14"/>
          <w:b w:val="1"/>
          <w:bCs w:val="1"/>
          <w:color w:val="auto"/>
        </w:rPr>
        <w:t>Certain Relationships and Related Transactions, and Director Independence</w:t>
      </w:r>
    </w:p>
    <w:p>
      <w:pPr>
        <w:spacing w:after="0" w:line="138"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The information required by Item 13 is hereby incorporated by reference from our definitive Proxy Statement relating to our 2021 Annual Meeting of Stockholders, to be filed with the SEC within 120 days following the end of our fiscal year.</w:t>
      </w:r>
    </w:p>
    <w:p>
      <w:pPr>
        <w:spacing w:after="0" w:line="93"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Principal Accountant Fees and Services</w:t>
      </w:r>
    </w:p>
    <w:p>
      <w:pPr>
        <w:spacing w:after="0" w:line="138" w:lineRule="exact"/>
        <w:rPr>
          <w:sz w:val="20"/>
          <w:szCs w:val="20"/>
          <w:color w:val="auto"/>
        </w:rPr>
      </w:pPr>
    </w:p>
    <w:p>
      <w:pPr>
        <w:ind w:right="120" w:firstLine="438"/>
        <w:spacing w:after="0" w:line="261" w:lineRule="auto"/>
        <w:rPr>
          <w:sz w:val="20"/>
          <w:szCs w:val="20"/>
          <w:color w:val="auto"/>
        </w:rPr>
      </w:pPr>
      <w:r>
        <w:rPr>
          <w:rFonts w:ascii="Times New Roman" w:cs="Times New Roman" w:eastAsia="Times New Roman" w:hAnsi="Times New Roman"/>
          <w:sz w:val="14"/>
          <w:szCs w:val="14"/>
          <w:color w:val="auto"/>
        </w:rPr>
        <w:t>The information required by Item 14 is hereby incorporated by reference from our definitive Proxy Statement relating to our 2021 Annual Meeting of Stockholders, to be filed with the SEC within 120 days following the end of our fiscal year.</w: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263" w:right="45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13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Exhibits and Financial Statement Schedules</w:t>
      </w:r>
    </w:p>
    <w:p>
      <w:pPr>
        <w:spacing w:after="0" w:line="1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color w:val="auto"/>
        </w:rPr>
        <w:t>The following documents are filed as part of this Annual Report:</w:t>
      </w:r>
    </w:p>
    <w:p>
      <w:pPr>
        <w:spacing w:after="0" w:line="123" w:lineRule="exact"/>
        <w:rPr>
          <w:sz w:val="20"/>
          <w:szCs w:val="20"/>
          <w:color w:val="auto"/>
        </w:rPr>
      </w:pPr>
    </w:p>
    <w:p>
      <w:pPr>
        <w:ind w:left="920" w:hanging="359"/>
        <w:spacing w:after="0"/>
        <w:tabs>
          <w:tab w:leader="none" w:pos="9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Statements—Refer to Item 8 starting on page 54.</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Schedules—None.</w:t>
      </w:r>
    </w:p>
    <w:p>
      <w:pPr>
        <w:spacing w:after="0" w:line="136" w:lineRule="exact"/>
        <w:rPr>
          <w:rFonts w:ascii="Times New Roman" w:cs="Times New Roman" w:eastAsia="Times New Roman" w:hAnsi="Times New Roman"/>
          <w:sz w:val="14"/>
          <w:szCs w:val="14"/>
          <w:color w:val="auto"/>
        </w:rPr>
      </w:pPr>
    </w:p>
    <w:p>
      <w:pPr>
        <w:ind w:left="920" w:hanging="359"/>
        <w:spacing w:after="0"/>
        <w:tabs>
          <w:tab w:leader="none" w:pos="92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3.1</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Articles of Incorporation (Incorporated by reference to Exhibit 99(a) to the Registrant’s Pre-Effective Amendment No. 3 to the Registration Statement on Form N-2/A (File No. 333-</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440" w:type="dxa"/>
            <w:vAlign w:val="bottom"/>
            <w:tcBorders>
              <w:top w:val="single" w:sz="8" w:color="0000EE"/>
            </w:tcBorders>
            <w:gridSpan w:val="25"/>
          </w:tcPr>
          <w:p>
            <w:pPr>
              <w:spacing w:after="0" w:line="129" w:lineRule="exact"/>
              <w:rPr>
                <w:rFonts w:ascii="Times New Roman" w:cs="Times New Roman" w:eastAsia="Times New Roman" w:hAnsi="Times New Roman"/>
                <w:sz w:val="14"/>
                <w:szCs w:val="14"/>
                <w:color w:val="0000EE"/>
              </w:rPr>
            </w:pPr>
            <w:hyperlink r:id="rId121">
              <w:r>
                <w:rPr>
                  <w:rFonts w:ascii="Times New Roman" w:cs="Times New Roman" w:eastAsia="Times New Roman" w:hAnsi="Times New Roman"/>
                  <w:sz w:val="14"/>
                  <w:szCs w:val="14"/>
                  <w:color w:val="0000EE"/>
                </w:rPr>
                <w:t>140092)</w:t>
              </w:r>
              <w:r>
                <w:rPr>
                  <w:rFonts w:ascii="Times New Roman" w:cs="Times New Roman" w:eastAsia="Times New Roman" w:hAnsi="Times New Roman"/>
                  <w:sz w:val="14"/>
                  <w:szCs w:val="14"/>
                  <w:u w:val="single" w:color="auto"/>
                  <w:color w:val="0000EE"/>
                </w:rPr>
                <w:t>,</w:t>
              </w:r>
              <w:r>
                <w:rPr>
                  <w:rFonts w:ascii="Times New Roman" w:cs="Times New Roman" w:eastAsia="Times New Roman" w:hAnsi="Times New Roman"/>
                  <w:sz w:val="14"/>
                  <w:szCs w:val="14"/>
                  <w:color w:val="0000EE"/>
                </w:rPr>
                <w:t xml:space="preserve"> filed on April 5, 2007).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0" w:type="dxa"/>
            <w:vAlign w:val="bottom"/>
            <w:vMerge w:val="continue"/>
          </w:tcPr>
          <w:p>
            <w:pPr>
              <w:spacing w:after="0"/>
              <w:rPr>
                <w:sz w:val="24"/>
                <w:szCs w:val="24"/>
                <w:color w:val="auto"/>
              </w:rPr>
            </w:pPr>
          </w:p>
        </w:tc>
        <w:tc>
          <w:tcPr>
            <w:tcW w:w="10540" w:type="dxa"/>
            <w:vAlign w:val="bottom"/>
            <w:gridSpan w:val="29"/>
          </w:tcPr>
          <w:p>
            <w:pPr>
              <w:spacing w:after="0"/>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Second Amended and Restated Bylaws of the Registrant (Incorporated by reference to Exhibit 3.2 to the Registrant’s Quarterly Report on Form 10-Q (File No. 814-00736), filed on</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400" w:type="dxa"/>
            <w:vAlign w:val="bottom"/>
            <w:tcBorders>
              <w:top w:val="single" w:sz="8" w:color="0000EE"/>
            </w:tcBorders>
            <w:gridSpan w:val="23"/>
          </w:tcPr>
          <w:p>
            <w:pPr>
              <w:spacing w:after="0" w:line="129" w:lineRule="exact"/>
              <w:rPr>
                <w:rFonts w:ascii="Times New Roman" w:cs="Times New Roman" w:eastAsia="Times New Roman" w:hAnsi="Times New Roman"/>
                <w:sz w:val="14"/>
                <w:szCs w:val="14"/>
                <w:color w:val="0000EE"/>
              </w:rPr>
            </w:pPr>
            <w:hyperlink r:id="rId122">
              <w:r>
                <w:rPr>
                  <w:rFonts w:ascii="Times New Roman" w:cs="Times New Roman" w:eastAsia="Times New Roman" w:hAnsi="Times New Roman"/>
                  <w:sz w:val="14"/>
                  <w:szCs w:val="14"/>
                  <w:color w:val="0000EE"/>
                </w:rPr>
                <w:t>May 11, 2020).</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4.1</w:t>
            </w:r>
          </w:p>
        </w:tc>
        <w:tc>
          <w:tcPr>
            <w:tcW w:w="10540" w:type="dxa"/>
            <w:vAlign w:val="bottom"/>
            <w:gridSpan w:val="29"/>
          </w:tcPr>
          <w:p>
            <w:pPr>
              <w:spacing w:after="0"/>
              <w:rPr>
                <w:rFonts w:ascii="Times New Roman" w:cs="Times New Roman" w:eastAsia="Times New Roman" w:hAnsi="Times New Roman"/>
                <w:sz w:val="14"/>
                <w:szCs w:val="14"/>
                <w:u w:val="single" w:color="auto"/>
                <w:color w:val="0000EE"/>
              </w:rPr>
            </w:pPr>
            <w:hyperlink r:id="rId123">
              <w:r>
                <w:rPr>
                  <w:rFonts w:ascii="Times New Roman" w:cs="Times New Roman" w:eastAsia="Times New Roman" w:hAnsi="Times New Roman"/>
                  <w:sz w:val="14"/>
                  <w:szCs w:val="14"/>
                  <w:u w:val="single" w:color="auto"/>
                  <w:color w:val="0000EE"/>
                </w:rPr>
                <w:t>Form of Share Certificate (Incorporated by reference to Exhibit 99(d)(1) to the Registrant’s Registration Statement on Form N-2 (File No. 333-150033), filed on April 2, 2008).</w:t>
              </w:r>
            </w:hyperlink>
          </w:p>
        </w:tc>
        <w:tc>
          <w:tcPr>
            <w:tcW w:w="0" w:type="dxa"/>
            <w:vAlign w:val="bottom"/>
          </w:tcPr>
          <w:p>
            <w:pPr>
              <w:spacing w:after="0"/>
              <w:rPr>
                <w:sz w:val="1"/>
                <w:szCs w:val="1"/>
                <w:color w:val="auto"/>
              </w:rPr>
            </w:pPr>
          </w:p>
        </w:tc>
      </w:tr>
      <w:tr>
        <w:trPr>
          <w:trHeight w:val="266"/>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4.2</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Base Indenture, dated as of January 22, 2013, relating to the 6.25% Senior Notes due 2025, between the Registrant and American Stock Transfer &amp; Trust Company, LLC, as trustee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360" w:type="dxa"/>
            <w:vAlign w:val="bottom"/>
            <w:tcBorders>
              <w:top w:val="single" w:sz="8" w:color="0000EE"/>
            </w:tcBorders>
            <w:gridSpan w:val="21"/>
          </w:tcPr>
          <w:p>
            <w:pPr>
              <w:spacing w:after="0" w:line="129"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(Incorporated by reference to Exhibit 99(d)(8) to the Registrant’s Post-Effective Amendment No.4 to the Registration Statement on Form N-2/A (File No.333-172524), filed on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80" w:type="dxa"/>
            <w:vAlign w:val="bottom"/>
            <w:tcBorders>
              <w:top w:val="single" w:sz="8" w:color="0000EE"/>
              <w:bottom w:val="single" w:sz="8" w:color="0000EE"/>
            </w:tcBorders>
            <w:gridSpan w:val="4"/>
          </w:tcPr>
          <w:p>
            <w:pPr>
              <w:spacing w:after="0" w:line="129" w:lineRule="exact"/>
              <w:rPr>
                <w:rFonts w:ascii="Times New Roman" w:cs="Times New Roman" w:eastAsia="Times New Roman" w:hAnsi="Times New Roman"/>
                <w:sz w:val="14"/>
                <w:szCs w:val="14"/>
                <w:color w:val="0000EE"/>
              </w:rPr>
            </w:pPr>
            <w:hyperlink r:id="rId124">
              <w:r>
                <w:rPr>
                  <w:rFonts w:ascii="Times New Roman" w:cs="Times New Roman" w:eastAsia="Times New Roman" w:hAnsi="Times New Roman"/>
                  <w:sz w:val="14"/>
                  <w:szCs w:val="14"/>
                  <w:color w:val="0000EE"/>
                </w:rPr>
                <w:t>January 22, 2013).</w:t>
              </w:r>
            </w:hyperlink>
          </w:p>
        </w:tc>
        <w:tc>
          <w:tcPr>
            <w:tcW w:w="9040" w:type="dxa"/>
            <w:vAlign w:val="bottom"/>
            <w:tcBorders>
              <w:top w:val="single" w:sz="8" w:color="0000EE"/>
            </w:tcBorders>
            <w:gridSpan w:val="11"/>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4.3</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Second Supplemental Indenture, dated as of September 23, 2014, relating to the 4.50% Notes due 2019, between the Registrant and American Stock Transfer &amp; Trust Company,</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180" w:type="dxa"/>
            <w:vAlign w:val="bottom"/>
            <w:tcBorders>
              <w:top w:val="single" w:sz="8" w:color="0000EE"/>
              <w:bottom w:val="single" w:sz="8" w:color="0000EE"/>
            </w:tcBorders>
            <w:gridSpan w:val="17"/>
          </w:tcPr>
          <w:p>
            <w:pPr>
              <w:spacing w:after="0" w:line="129"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LLC, as trustee (Incorporated by reference to Exhibit 99 (d)(11) to the Registrant’s Post-Effective Amendment No. 2 to Form N-2 (File No. 333-192782), filed on September 23,</w:t>
              </w:r>
            </w:hyperlink>
          </w:p>
        </w:tc>
        <w:tc>
          <w:tcPr>
            <w:tcW w:w="20" w:type="dxa"/>
            <w:vAlign w:val="bottom"/>
            <w:tcBorders>
              <w:bottom w:val="single" w:sz="8" w:color="0000EE"/>
            </w:tcBorders>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380" w:type="dxa"/>
            <w:vAlign w:val="bottom"/>
            <w:gridSpan w:val="2"/>
          </w:tcPr>
          <w:p>
            <w:pPr>
              <w:spacing w:after="0" w:line="129" w:lineRule="exact"/>
              <w:rPr>
                <w:rFonts w:ascii="Times New Roman" w:cs="Times New Roman" w:eastAsia="Times New Roman" w:hAnsi="Times New Roman"/>
                <w:sz w:val="14"/>
                <w:szCs w:val="14"/>
                <w:color w:val="0000EE"/>
              </w:rPr>
            </w:pPr>
            <w:hyperlink r:id="rId125">
              <w:r>
                <w:rPr>
                  <w:rFonts w:ascii="Times New Roman" w:cs="Times New Roman" w:eastAsia="Times New Roman" w:hAnsi="Times New Roman"/>
                  <w:sz w:val="14"/>
                  <w:szCs w:val="14"/>
                  <w:color w:val="0000EE"/>
                </w:rPr>
                <w:t>2014.</w:t>
              </w:r>
            </w:hyperlink>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4.4</w:t>
            </w:r>
          </w:p>
        </w:tc>
        <w:tc>
          <w:tcPr>
            <w:tcW w:w="10540" w:type="dxa"/>
            <w:vAlign w:val="bottom"/>
            <w:gridSpan w:val="29"/>
          </w:tcPr>
          <w:p>
            <w:pPr>
              <w:spacing w:after="0"/>
              <w:rPr>
                <w:rFonts w:ascii="Times New Roman" w:cs="Times New Roman" w:eastAsia="Times New Roman" w:hAnsi="Times New Roman"/>
                <w:sz w:val="14"/>
                <w:szCs w:val="14"/>
                <w:u w:val="single" w:color="auto"/>
                <w:color w:val="0000EE"/>
              </w:rPr>
            </w:pPr>
            <w:hyperlink r:id="rId125">
              <w:r>
                <w:rPr>
                  <w:rFonts w:ascii="Times New Roman" w:cs="Times New Roman" w:eastAsia="Times New Roman" w:hAnsi="Times New Roman"/>
                  <w:sz w:val="14"/>
                  <w:szCs w:val="14"/>
                  <w:u w:val="single" w:color="auto"/>
                  <w:color w:val="0000EE"/>
                </w:rPr>
                <w:t>Form of 4.50% Notes due 2019 (included as part of Exhibit 4.3).</w:t>
              </w:r>
            </w:hyperlink>
          </w:p>
        </w:tc>
        <w:tc>
          <w:tcPr>
            <w:tcW w:w="0" w:type="dxa"/>
            <w:vAlign w:val="bottom"/>
          </w:tcPr>
          <w:p>
            <w:pPr>
              <w:spacing w:after="0"/>
              <w:rPr>
                <w:sz w:val="1"/>
                <w:szCs w:val="1"/>
                <w:color w:val="auto"/>
              </w:rPr>
            </w:pPr>
          </w:p>
        </w:tc>
      </w:tr>
      <w:tr>
        <w:trPr>
          <w:trHeight w:val="266"/>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4.5</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Third Supplemental Indenture, dated as of September 27, 2019, by and between the Company and American Stock Transfer &amp; Trust Company, LLC, as trustee (Incorporated by</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160" w:type="dxa"/>
            <w:vAlign w:val="bottom"/>
            <w:tcBorders>
              <w:top w:val="single" w:sz="8" w:color="0000EE"/>
            </w:tcBorders>
            <w:gridSpan w:val="16"/>
          </w:tcPr>
          <w:p>
            <w:pPr>
              <w:spacing w:after="0" w:line="129" w:lineRule="exact"/>
              <w:rPr>
                <w:rFonts w:ascii="Times New Roman" w:cs="Times New Roman" w:eastAsia="Times New Roman" w:hAnsi="Times New Roman"/>
                <w:sz w:val="14"/>
                <w:szCs w:val="14"/>
                <w:color w:val="0000EE"/>
              </w:rPr>
            </w:pPr>
            <w:hyperlink r:id="rId126">
              <w:r>
                <w:rPr>
                  <w:rFonts w:ascii="Times New Roman" w:cs="Times New Roman" w:eastAsia="Times New Roman" w:hAnsi="Times New Roman"/>
                  <w:sz w:val="14"/>
                  <w:szCs w:val="14"/>
                  <w:color w:val="0000EE"/>
                </w:rPr>
                <w:t>reference to Exhibit 4.1 to the Registrant’s Form 8-K (File No. 814-00736), filed September 27, 2019).</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8"/>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4.6</w:t>
            </w:r>
          </w:p>
        </w:tc>
        <w:tc>
          <w:tcPr>
            <w:tcW w:w="5920" w:type="dxa"/>
            <w:vAlign w:val="bottom"/>
            <w:tcBorders>
              <w:top w:val="single" w:sz="8" w:color="0000EE"/>
            </w:tcBorders>
            <w:gridSpan w:val="10"/>
          </w:tcPr>
          <w:p>
            <w:pPr>
              <w:spacing w:after="0"/>
              <w:rPr>
                <w:rFonts w:ascii="Times New Roman" w:cs="Times New Roman" w:eastAsia="Times New Roman" w:hAnsi="Times New Roman"/>
                <w:sz w:val="14"/>
                <w:szCs w:val="14"/>
                <w:u w:val="single" w:color="auto"/>
                <w:color w:val="0000EE"/>
              </w:rPr>
            </w:pPr>
            <w:hyperlink r:id="rId125">
              <w:r>
                <w:rPr>
                  <w:rFonts w:ascii="Times New Roman" w:cs="Times New Roman" w:eastAsia="Times New Roman" w:hAnsi="Times New Roman"/>
                  <w:sz w:val="14"/>
                  <w:szCs w:val="14"/>
                  <w:u w:val="single" w:color="auto"/>
                  <w:color w:val="0000EE"/>
                </w:rPr>
                <w:t>Form of 5.50% Notes due 2024 (included as part of Exhibit 4.5).</w:t>
              </w:r>
            </w:hyperlink>
          </w:p>
        </w:tc>
        <w:tc>
          <w:tcPr>
            <w:tcW w:w="46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4.7</w:t>
            </w:r>
          </w:p>
        </w:tc>
        <w:tc>
          <w:tcPr>
            <w:tcW w:w="10540" w:type="dxa"/>
            <w:vAlign w:val="bottom"/>
            <w:gridSpan w:val="29"/>
          </w:tcPr>
          <w:p>
            <w:pPr>
              <w:spacing w:after="0"/>
              <w:rPr>
                <w:rFonts w:ascii="Times New Roman" w:cs="Times New Roman" w:eastAsia="Times New Roman" w:hAnsi="Times New Roman"/>
                <w:sz w:val="14"/>
                <w:szCs w:val="14"/>
                <w:u w:val="single" w:color="auto"/>
                <w:color w:val="0000EE"/>
              </w:rPr>
            </w:pPr>
            <w:hyperlink r:id="rId127">
              <w:r>
                <w:rPr>
                  <w:rFonts w:ascii="Times New Roman" w:cs="Times New Roman" w:eastAsia="Times New Roman" w:hAnsi="Times New Roman"/>
                  <w:sz w:val="14"/>
                  <w:szCs w:val="14"/>
                  <w:u w:val="single" w:color="auto"/>
                  <w:color w:val="0000EE"/>
                </w:rPr>
                <w:t>Description of Securities (Incorporated by reference to Exhibit 4.7 to the Registrant’s Form 10-K (File No. 814-00736), filed November 21, 2019).</w:t>
              </w:r>
            </w:hyperlink>
          </w:p>
        </w:tc>
        <w:tc>
          <w:tcPr>
            <w:tcW w:w="0" w:type="dxa"/>
            <w:vAlign w:val="bottom"/>
          </w:tcPr>
          <w:p>
            <w:pPr>
              <w:spacing w:after="0"/>
              <w:rPr>
                <w:sz w:val="1"/>
                <w:szCs w:val="1"/>
                <w:color w:val="auto"/>
              </w:rPr>
            </w:pPr>
          </w:p>
        </w:tc>
      </w:tr>
      <w:tr>
        <w:trPr>
          <w:trHeight w:val="266"/>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7"/>
              </w:rPr>
              <w:t>10.1</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Form of Administration Agreement between the Registrant and PennantPark Investment Administration LLC (Incorporated by reference to Exhibit 99(k)(1) to the Registrant’s</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080" w:type="dxa"/>
            <w:vAlign w:val="bottom"/>
            <w:tcBorders>
              <w:top w:val="single" w:sz="8" w:color="0000EE"/>
            </w:tcBorders>
            <w:gridSpan w:val="13"/>
          </w:tcPr>
          <w:p>
            <w:pPr>
              <w:spacing w:after="0" w:line="129" w:lineRule="exact"/>
              <w:rPr>
                <w:rFonts w:ascii="Times New Roman" w:cs="Times New Roman" w:eastAsia="Times New Roman" w:hAnsi="Times New Roman"/>
                <w:sz w:val="14"/>
                <w:szCs w:val="14"/>
                <w:color w:val="0000EE"/>
              </w:rPr>
            </w:pPr>
            <w:hyperlink r:id="rId128">
              <w:r>
                <w:rPr>
                  <w:rFonts w:ascii="Times New Roman" w:cs="Times New Roman" w:eastAsia="Times New Roman" w:hAnsi="Times New Roman"/>
                  <w:sz w:val="14"/>
                  <w:szCs w:val="14"/>
                  <w:color w:val="0000EE"/>
                </w:rPr>
                <w:t>Registration Statement on Form N-2 (File No. 333-150033), filed on April 2, 2008).</w:t>
              </w:r>
            </w:hyperlink>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7"/>
              </w:rPr>
              <w:t>10.2</w:t>
            </w:r>
          </w:p>
        </w:tc>
        <w:tc>
          <w:tcPr>
            <w:tcW w:w="10540" w:type="dxa"/>
            <w:vAlign w:val="bottom"/>
            <w:gridSpan w:val="29"/>
          </w:tcPr>
          <w:p>
            <w:pPr>
              <w:spacing w:after="0"/>
              <w:rPr>
                <w:rFonts w:ascii="Times New Roman" w:cs="Times New Roman" w:eastAsia="Times New Roman" w:hAnsi="Times New Roman"/>
                <w:sz w:val="14"/>
                <w:szCs w:val="14"/>
                <w:u w:val="single" w:color="auto"/>
                <w:color w:val="0000EE"/>
              </w:rPr>
            </w:pPr>
            <w:hyperlink r:id="rId129">
              <w:r>
                <w:rPr>
                  <w:rFonts w:ascii="Times New Roman" w:cs="Times New Roman" w:eastAsia="Times New Roman" w:hAnsi="Times New Roman"/>
                  <w:sz w:val="14"/>
                  <w:szCs w:val="14"/>
                  <w:u w:val="single" w:color="auto"/>
                  <w:color w:val="0000EE"/>
                </w:rPr>
                <w:t>Dividend Reinvestment Plan (Incorporated by reference to Exhibit 99(e) to the Registrant’s Registration Statement on Form N-2 (File No. 333-150033), filed on April 2, 2008).</w:t>
              </w:r>
            </w:hyperlink>
          </w:p>
        </w:tc>
        <w:tc>
          <w:tcPr>
            <w:tcW w:w="0" w:type="dxa"/>
            <w:vAlign w:val="bottom"/>
          </w:tcPr>
          <w:p>
            <w:pPr>
              <w:spacing w:after="0"/>
              <w:rPr>
                <w:sz w:val="1"/>
                <w:szCs w:val="1"/>
                <w:color w:val="auto"/>
              </w:rPr>
            </w:pPr>
          </w:p>
        </w:tc>
      </w:tr>
      <w:tr>
        <w:trPr>
          <w:trHeight w:val="266"/>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7"/>
              </w:rPr>
              <w:t>10.3</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First Omnibus Amendment to Second Amended and Restated Senior Secured Revolving Credit Agreement and Second Amended and Restated Guarantee and Security Agreement,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720" w:type="dxa"/>
            <w:vAlign w:val="bottom"/>
          </w:tcPr>
          <w:p>
            <w:pPr>
              <w:spacing w:after="0"/>
              <w:rPr>
                <w:sz w:val="11"/>
                <w:szCs w:val="11"/>
                <w:color w:val="auto"/>
              </w:rPr>
            </w:pPr>
          </w:p>
        </w:tc>
        <w:tc>
          <w:tcPr>
            <w:tcW w:w="10540" w:type="dxa"/>
            <w:vAlign w:val="bottom"/>
            <w:gridSpan w:val="29"/>
          </w:tcPr>
          <w:p>
            <w:pPr>
              <w:spacing w:after="0" w:line="129"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dated as of May 25, 2017, among the Registrant, the lenders party thereto and SunTrust Bank, as administrative agent for the lenders (Incorporated by reference to Exhibit 10.1 to the</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480" w:type="dxa"/>
            <w:vAlign w:val="bottom"/>
            <w:tcBorders>
              <w:top w:val="single" w:sz="8" w:color="0000EE"/>
            </w:tcBorders>
            <w:gridSpan w:val="27"/>
          </w:tcPr>
          <w:p>
            <w:pPr>
              <w:spacing w:after="0" w:line="129" w:lineRule="exact"/>
              <w:rPr>
                <w:rFonts w:ascii="Times New Roman" w:cs="Times New Roman" w:eastAsia="Times New Roman" w:hAnsi="Times New Roman"/>
                <w:sz w:val="14"/>
                <w:szCs w:val="14"/>
                <w:color w:val="0000EE"/>
              </w:rPr>
            </w:pPr>
            <w:hyperlink r:id="rId130">
              <w:r>
                <w:rPr>
                  <w:rFonts w:ascii="Times New Roman" w:cs="Times New Roman" w:eastAsia="Times New Roman" w:hAnsi="Times New Roman"/>
                  <w:sz w:val="14"/>
                  <w:szCs w:val="14"/>
                  <w:color w:val="0000EE"/>
                </w:rPr>
                <w:t>Registrant’s Quarterly Report on Form 10-Q (File No. 814-00736), filed on August 7, 2017).</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7"/>
              </w:rPr>
              <w:t>10.4</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31">
              <w:r>
                <w:rPr>
                  <w:rFonts w:ascii="Times New Roman" w:cs="Times New Roman" w:eastAsia="Times New Roman" w:hAnsi="Times New Roman"/>
                  <w:sz w:val="14"/>
                  <w:szCs w:val="14"/>
                  <w:color w:val="0000EE"/>
                </w:rPr>
                <w:t>Indemnification Agreement, dated as of November 15, 2016, between PennantPark Investment Corporation and each of the directors and officers listed on Schedule A attached</w:t>
              </w:r>
            </w:hyperlink>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10100" w:type="dxa"/>
            <w:vAlign w:val="bottom"/>
            <w:tcBorders>
              <w:top w:val="single" w:sz="8" w:color="0000EE"/>
            </w:tcBorders>
            <w:gridSpan w:val="14"/>
          </w:tcPr>
          <w:p>
            <w:pPr>
              <w:spacing w:after="0"/>
              <w:rPr>
                <w:rFonts w:ascii="Times New Roman" w:cs="Times New Roman" w:eastAsia="Times New Roman" w:hAnsi="Times New Roman"/>
                <w:sz w:val="14"/>
                <w:szCs w:val="14"/>
                <w:u w:val="single" w:color="auto"/>
                <w:color w:val="0000EE"/>
              </w:rPr>
            </w:pPr>
            <w:hyperlink r:id="rId131">
              <w:r>
                <w:rPr>
                  <w:rFonts w:ascii="Times New Roman" w:cs="Times New Roman" w:eastAsia="Times New Roman" w:hAnsi="Times New Roman"/>
                  <w:sz w:val="14"/>
                  <w:szCs w:val="14"/>
                  <w:u w:val="single" w:color="auto"/>
                  <w:color w:val="0000EE"/>
                </w:rPr>
                <w:t>thereto (Incorporated by reference to Exhibit 10.5 to the Registrant’s Annual Report on Form 10-K (File No. 814-00736) filed on November 21, 2016).</w:t>
              </w:r>
            </w:hyperlink>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7"/>
              </w:rPr>
              <w:t>10.5</w:t>
            </w:r>
          </w:p>
        </w:tc>
        <w:tc>
          <w:tcPr>
            <w:tcW w:w="10020" w:type="dxa"/>
            <w:vAlign w:val="bottom"/>
            <w:tcBorders>
              <w:bottom w:val="single" w:sz="8" w:color="0000EE"/>
            </w:tcBorders>
            <w:gridSpan w:val="12"/>
          </w:tcPr>
          <w:p>
            <w:pPr>
              <w:spacing w:after="0"/>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Revolving Credit and Security Agreement by and among PennantPark Investment Funding I, LLC, as borrower, the lenders from time to time parties thereto, BNP Paribas, as</w:t>
              </w:r>
            </w:hyperlink>
          </w:p>
        </w:tc>
        <w:tc>
          <w:tcPr>
            <w:tcW w:w="52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10540" w:type="dxa"/>
            <w:vAlign w:val="bottom"/>
            <w:gridSpan w:val="29"/>
          </w:tcPr>
          <w:p>
            <w:pPr>
              <w:spacing w:after="0" w:line="129"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administrative agent, PennantPark Investment Corporation, as equityholder, PennantPark Investment Advisers, LLC, as servicer, and The Bank of New York Mellon Trust Company,</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460" w:type="dxa"/>
            <w:vAlign w:val="bottom"/>
            <w:tcBorders>
              <w:top w:val="single" w:sz="8" w:color="0000EE"/>
            </w:tcBorders>
            <w:gridSpan w:val="26"/>
          </w:tcPr>
          <w:p>
            <w:pPr>
              <w:spacing w:after="0" w:line="129"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National Association, as collateral agent, dated as of February 22, 2019 (Incorporated by reference to Exhibit 10.1 to the Registrant’s Current Report on Form 8-K (File No. 814-</w:t>
              </w:r>
            </w:hyperlink>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220" w:type="dxa"/>
            <w:vAlign w:val="bottom"/>
            <w:tcBorders>
              <w:top w:val="single" w:sz="8" w:color="0000EE"/>
            </w:tcBorders>
            <w:gridSpan w:val="19"/>
          </w:tcPr>
          <w:p>
            <w:pPr>
              <w:spacing w:after="0" w:line="129" w:lineRule="exact"/>
              <w:rPr>
                <w:rFonts w:ascii="Times New Roman" w:cs="Times New Roman" w:eastAsia="Times New Roman" w:hAnsi="Times New Roman"/>
                <w:sz w:val="14"/>
                <w:szCs w:val="14"/>
                <w:color w:val="0000EE"/>
              </w:rPr>
            </w:pPr>
            <w:hyperlink r:id="rId132">
              <w:r>
                <w:rPr>
                  <w:rFonts w:ascii="Times New Roman" w:cs="Times New Roman" w:eastAsia="Times New Roman" w:hAnsi="Times New Roman"/>
                  <w:sz w:val="14"/>
                  <w:szCs w:val="14"/>
                  <w:color w:val="0000EE"/>
                </w:rPr>
                <w:t>00736)</w:t>
              </w:r>
              <w:r>
                <w:rPr>
                  <w:rFonts w:ascii="Times New Roman" w:cs="Times New Roman" w:eastAsia="Times New Roman" w:hAnsi="Times New Roman"/>
                  <w:sz w:val="14"/>
                  <w:szCs w:val="14"/>
                  <w:u w:val="single" w:color="auto"/>
                  <w:color w:val="0000EE"/>
                </w:rPr>
                <w:t>,</w:t>
              </w:r>
              <w:r>
                <w:rPr>
                  <w:rFonts w:ascii="Times New Roman" w:cs="Times New Roman" w:eastAsia="Times New Roman" w:hAnsi="Times New Roman"/>
                  <w:sz w:val="14"/>
                  <w:szCs w:val="14"/>
                  <w:color w:val="0000EE"/>
                </w:rPr>
                <w:t xml:space="preserve"> filed on February 26, 2019).</w:t>
              </w:r>
            </w:hyperlink>
          </w:p>
        </w:tc>
        <w:tc>
          <w:tcPr>
            <w:tcW w:w="1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720" w:type="dxa"/>
            <w:vAlign w:val="bottom"/>
            <w:gridSpan w:val="4"/>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800" w:type="dxa"/>
            <w:vAlign w:val="bottom"/>
            <w:gridSpan w:val="4"/>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7"/>
              </w:rPr>
              <w:t>10.6</w:t>
            </w:r>
          </w:p>
        </w:tc>
        <w:tc>
          <w:tcPr>
            <w:tcW w:w="10340" w:type="dxa"/>
            <w:vAlign w:val="bottom"/>
            <w:tcBorders>
              <w:bottom w:val="single" w:sz="8" w:color="0000EE"/>
            </w:tcBorders>
            <w:gridSpan w:val="20"/>
          </w:tcPr>
          <w:p>
            <w:pPr>
              <w:spacing w:after="0"/>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Account Control Agreement by and among PennantPark Investment Funding I, LLC, as pledgor, The Bank of New York Mellon Trust Company, National Association, as secured</w:t>
              </w:r>
            </w:hyperlink>
          </w:p>
        </w:tc>
        <w:tc>
          <w:tcPr>
            <w:tcW w:w="2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540" w:type="dxa"/>
            <w:vAlign w:val="bottom"/>
            <w:gridSpan w:val="29"/>
          </w:tcPr>
          <w:p>
            <w:pPr>
              <w:spacing w:after="0" w:line="129" w:lineRule="exact"/>
              <w:rPr>
                <w:rFonts w:ascii="Times New Roman" w:cs="Times New Roman" w:eastAsia="Times New Roman" w:hAnsi="Times New Roman"/>
                <w:sz w:val="14"/>
                <w:szCs w:val="14"/>
                <w:color w:val="0000EE"/>
              </w:rPr>
            </w:pPr>
            <w:hyperlink r:id="rId133">
              <w:r>
                <w:rPr>
                  <w:rFonts w:ascii="Times New Roman" w:cs="Times New Roman" w:eastAsia="Times New Roman" w:hAnsi="Times New Roman"/>
                  <w:sz w:val="14"/>
                  <w:szCs w:val="14"/>
                  <w:color w:val="0000EE"/>
                </w:rPr>
                <w:t>party, PennantPark Investment Advisers, LLC, as servicer, and The Bank of New York Mellon Trust Company, National Association, as securities intermediary, dated as of February</w:t>
              </w:r>
            </w:hyperlink>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10420" w:type="dxa"/>
            <w:vAlign w:val="bottom"/>
            <w:tcBorders>
              <w:top w:val="single" w:sz="8" w:color="0000EE"/>
            </w:tcBorders>
            <w:gridSpan w:val="24"/>
          </w:tcPr>
          <w:p>
            <w:pPr>
              <w:spacing w:after="0"/>
              <w:rPr>
                <w:rFonts w:ascii="Times New Roman" w:cs="Times New Roman" w:eastAsia="Times New Roman" w:hAnsi="Times New Roman"/>
                <w:sz w:val="14"/>
                <w:szCs w:val="14"/>
                <w:u w:val="single" w:color="auto"/>
                <w:color w:val="0000EE"/>
              </w:rPr>
            </w:pPr>
            <w:hyperlink r:id="rId133">
              <w:r>
                <w:rPr>
                  <w:rFonts w:ascii="Times New Roman" w:cs="Times New Roman" w:eastAsia="Times New Roman" w:hAnsi="Times New Roman"/>
                  <w:sz w:val="14"/>
                  <w:szCs w:val="14"/>
                  <w:u w:val="single" w:color="auto"/>
                  <w:color w:val="0000EE"/>
                </w:rPr>
                <w:t>22, 2019 (Incorporated by reference to Exhibit 10.2 to the Registrant’s Current Report on Form 8-K (File No. 814-00736), filed on February 26, 2019).</w:t>
              </w:r>
            </w:hyperlink>
          </w:p>
        </w:tc>
        <w:tc>
          <w:tcPr>
            <w:tcW w:w="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7"/>
              </w:rPr>
              <w:t>10.7</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Custodian Agreement by and among PennantPark Investment Funding I, LLC, The Bank of New York Mellon Trust Company, National Association, as custodian, and The Bank of</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10380" w:type="dxa"/>
            <w:vAlign w:val="bottom"/>
            <w:tcBorders>
              <w:top w:val="single" w:sz="8" w:color="0000EE"/>
            </w:tcBorders>
            <w:gridSpan w:val="22"/>
          </w:tcPr>
          <w:p>
            <w:pPr>
              <w:spacing w:after="0" w:line="129"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New York Mellon Trust Company, National Association, as collateral agent, dated as of February 22, 2019 (Incorporated by reference to Exhibit 10.3 to the Registrant’s Current</w:t>
              </w:r>
            </w:hyperlink>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4140" w:type="dxa"/>
            <w:vAlign w:val="bottom"/>
            <w:tcBorders>
              <w:top w:val="single" w:sz="8" w:color="0000EE"/>
              <w:bottom w:val="single" w:sz="8" w:color="0000EE"/>
            </w:tcBorders>
            <w:gridSpan w:val="7"/>
          </w:tcPr>
          <w:p>
            <w:pPr>
              <w:spacing w:after="0" w:line="129" w:lineRule="exact"/>
              <w:rPr>
                <w:rFonts w:ascii="Times New Roman" w:cs="Times New Roman" w:eastAsia="Times New Roman" w:hAnsi="Times New Roman"/>
                <w:sz w:val="14"/>
                <w:szCs w:val="14"/>
                <w:color w:val="0000EE"/>
              </w:rPr>
            </w:pPr>
            <w:hyperlink r:id="rId134">
              <w:r>
                <w:rPr>
                  <w:rFonts w:ascii="Times New Roman" w:cs="Times New Roman" w:eastAsia="Times New Roman" w:hAnsi="Times New Roman"/>
                  <w:sz w:val="14"/>
                  <w:szCs w:val="14"/>
                  <w:color w:val="0000EE"/>
                </w:rPr>
                <w:t>Report on Form 8-K (File No. 814-00736), filed on February 26, 2019).</w:t>
              </w:r>
            </w:hyperlink>
          </w:p>
        </w:tc>
        <w:tc>
          <w:tcPr>
            <w:tcW w:w="6060" w:type="dxa"/>
            <w:vAlign w:val="bottom"/>
            <w:tcBorders>
              <w:top w:val="single" w:sz="8" w:color="0000EE"/>
            </w:tcBorders>
            <w:gridSpan w:val="11"/>
          </w:tcPr>
          <w:p>
            <w:pPr>
              <w:spacing w:after="0"/>
              <w:rPr>
                <w:sz w:val="11"/>
                <w:szCs w:val="11"/>
                <w:color w:val="auto"/>
              </w:rPr>
            </w:pPr>
          </w:p>
        </w:tc>
        <w:tc>
          <w:tcPr>
            <w:tcW w:w="200" w:type="dxa"/>
            <w:vAlign w:val="bottom"/>
            <w:gridSpan w:val="5"/>
          </w:tcPr>
          <w:p>
            <w:pPr>
              <w:spacing w:after="0"/>
              <w:rPr>
                <w:sz w:val="11"/>
                <w:szCs w:val="11"/>
                <w:color w:val="auto"/>
              </w:rPr>
            </w:pPr>
          </w:p>
        </w:tc>
        <w:tc>
          <w:tcPr>
            <w:tcW w:w="100" w:type="dxa"/>
            <w:vAlign w:val="bottom"/>
            <w:gridSpan w:val="5"/>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7"/>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7"/>
              </w:rPr>
              <w:t>10.8</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35">
              <w:r>
                <w:rPr>
                  <w:rFonts w:ascii="Times New Roman" w:cs="Times New Roman" w:eastAsia="Times New Roman" w:hAnsi="Times New Roman"/>
                  <w:sz w:val="14"/>
                  <w:szCs w:val="14"/>
                  <w:color w:val="0000EE"/>
                </w:rPr>
                <w:t>Purchase and Sale Agreement by and between PennantPark Investment Funding I, LLC, as the purchaser, and PennantPark Investment Corporation, as the seller, dated as of February</w:t>
              </w:r>
            </w:hyperlink>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10500" w:type="dxa"/>
            <w:vAlign w:val="bottom"/>
            <w:tcBorders>
              <w:top w:val="single" w:sz="8" w:color="0000EE"/>
            </w:tcBorders>
            <w:gridSpan w:val="28"/>
          </w:tcPr>
          <w:p>
            <w:pPr>
              <w:spacing w:after="0"/>
              <w:rPr>
                <w:rFonts w:ascii="Times New Roman" w:cs="Times New Roman" w:eastAsia="Times New Roman" w:hAnsi="Times New Roman"/>
                <w:sz w:val="14"/>
                <w:szCs w:val="14"/>
                <w:u w:val="single" w:color="auto"/>
                <w:color w:val="0000EE"/>
              </w:rPr>
            </w:pPr>
            <w:hyperlink r:id="rId135">
              <w:r>
                <w:rPr>
                  <w:rFonts w:ascii="Times New Roman" w:cs="Times New Roman" w:eastAsia="Times New Roman" w:hAnsi="Times New Roman"/>
                  <w:sz w:val="14"/>
                  <w:szCs w:val="14"/>
                  <w:u w:val="single" w:color="auto"/>
                  <w:color w:val="0000EE"/>
                </w:rPr>
                <w:t>22, 2019 (Incorporated by reference to Exhibit 10.4 to the Registrant’s Current Report on Form 8-K (File No. 814-00736), filed on February 26, 2019).</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72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w w:val="97"/>
              </w:rPr>
              <w:t>10.9</w:t>
            </w:r>
          </w:p>
        </w:tc>
        <w:tc>
          <w:tcPr>
            <w:tcW w:w="10540" w:type="dxa"/>
            <w:vAlign w:val="bottom"/>
            <w:gridSpan w:val="29"/>
          </w:tcPr>
          <w:p>
            <w:pPr>
              <w:spacing w:after="0"/>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Third Amended and Restated Investment Advisory Management Agreement, dated as of April 12, 2019, between the Registrant and PennantPark Investment Advisers, LLC</w:t>
              </w:r>
            </w:hyperlink>
          </w:p>
        </w:tc>
        <w:tc>
          <w:tcPr>
            <w:tcW w:w="0" w:type="dxa"/>
            <w:vAlign w:val="bottom"/>
          </w:tcPr>
          <w:p>
            <w:pPr>
              <w:spacing w:after="0"/>
              <w:rPr>
                <w:sz w:val="1"/>
                <w:szCs w:val="1"/>
                <w:color w:val="auto"/>
              </w:rPr>
            </w:pPr>
          </w:p>
        </w:tc>
      </w:tr>
      <w:tr>
        <w:trPr>
          <w:trHeight w:val="129"/>
        </w:trPr>
        <w:tc>
          <w:tcPr>
            <w:tcW w:w="720" w:type="dxa"/>
            <w:vAlign w:val="bottom"/>
          </w:tcPr>
          <w:p>
            <w:pPr>
              <w:spacing w:after="0"/>
              <w:rPr>
                <w:sz w:val="11"/>
                <w:szCs w:val="11"/>
                <w:color w:val="auto"/>
              </w:rPr>
            </w:pPr>
          </w:p>
        </w:tc>
        <w:tc>
          <w:tcPr>
            <w:tcW w:w="9940" w:type="dxa"/>
            <w:vAlign w:val="bottom"/>
            <w:tcBorders>
              <w:top w:val="single" w:sz="8" w:color="0000EE"/>
            </w:tcBorders>
            <w:gridSpan w:val="11"/>
          </w:tcPr>
          <w:p>
            <w:pPr>
              <w:spacing w:after="0" w:line="129"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(Incorporated by reference to Exhibit (g)(3) to the Registrant’s Pre-Effective Amendment No. 1 to the Registration Statement on Form N-2 (File No. 333-230014), filed on</w:t>
              </w:r>
            </w:hyperlink>
          </w:p>
        </w:tc>
        <w:tc>
          <w:tcPr>
            <w:tcW w:w="600" w:type="dxa"/>
            <w:vAlign w:val="bottom"/>
            <w:gridSpan w:val="18"/>
          </w:tcPr>
          <w:p>
            <w:pPr>
              <w:spacing w:after="0" w:line="129" w:lineRule="exact"/>
              <w:rPr>
                <w:rFonts w:ascii="Times New Roman" w:cs="Times New Roman" w:eastAsia="Times New Roman" w:hAnsi="Times New Roman"/>
                <w:sz w:val="14"/>
                <w:szCs w:val="14"/>
                <w:color w:val="0000EE"/>
              </w:rPr>
            </w:pPr>
            <w:hyperlink r:id="rId136">
              <w:r>
                <w:rPr>
                  <w:rFonts w:ascii="Times New Roman" w:cs="Times New Roman" w:eastAsia="Times New Roman" w:hAnsi="Times New Roman"/>
                  <w:sz w:val="14"/>
                  <w:szCs w:val="14"/>
                  <w:color w:val="0000EE"/>
                </w:rPr>
                <w:t>April 12,</w:t>
              </w:r>
            </w:hyperlink>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380" w:type="dxa"/>
            <w:vAlign w:val="bottom"/>
            <w:tcBorders>
              <w:top w:val="single" w:sz="8" w:color="0000EE"/>
              <w:bottom w:val="single" w:sz="8" w:color="0000EE"/>
            </w:tcBorders>
            <w:gridSpan w:val="2"/>
          </w:tcPr>
          <w:p>
            <w:pPr>
              <w:spacing w:after="0" w:line="129" w:lineRule="exact"/>
              <w:rPr>
                <w:rFonts w:ascii="Times New Roman" w:cs="Times New Roman" w:eastAsia="Times New Roman" w:hAnsi="Times New Roman"/>
                <w:sz w:val="14"/>
                <w:szCs w:val="14"/>
                <w:color w:val="0000EE"/>
                <w:w w:val="99"/>
              </w:rPr>
            </w:pPr>
            <w:hyperlink r:id="rId136">
              <w:r>
                <w:rPr>
                  <w:rFonts w:ascii="Times New Roman" w:cs="Times New Roman" w:eastAsia="Times New Roman" w:hAnsi="Times New Roman"/>
                  <w:sz w:val="14"/>
                  <w:szCs w:val="14"/>
                  <w:color w:val="0000EE"/>
                  <w:w w:val="99"/>
                </w:rPr>
                <w:t>2019).</w:t>
              </w:r>
            </w:hyperlink>
          </w:p>
        </w:tc>
        <w:tc>
          <w:tcPr>
            <w:tcW w:w="5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204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50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40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5"/>
        </w:trPr>
        <w:tc>
          <w:tcPr>
            <w:tcW w:w="720" w:type="dxa"/>
            <w:vAlign w:val="bottom"/>
          </w:tcPr>
          <w:p>
            <w:pPr>
              <w:spacing w:after="0"/>
              <w:rPr>
                <w:sz w:val="24"/>
                <w:szCs w:val="24"/>
                <w:color w:val="auto"/>
              </w:rPr>
            </w:pPr>
          </w:p>
        </w:tc>
        <w:tc>
          <w:tcPr>
            <w:tcW w:w="5340" w:type="dxa"/>
            <w:vAlign w:val="bottom"/>
            <w:gridSpan w:val="9"/>
          </w:tcPr>
          <w:p>
            <w:pPr>
              <w:ind w:left="4840"/>
              <w:spacing w:after="0"/>
              <w:rPr>
                <w:sz w:val="20"/>
                <w:szCs w:val="20"/>
                <w:color w:val="auto"/>
              </w:rPr>
            </w:pPr>
            <w:r>
              <w:rPr>
                <w:rFonts w:ascii="Times New Roman" w:cs="Times New Roman" w:eastAsia="Times New Roman" w:hAnsi="Times New Roman"/>
                <w:sz w:val="14"/>
                <w:szCs w:val="14"/>
                <w:color w:val="auto"/>
              </w:rPr>
              <w:t>87</w:t>
            </w:r>
          </w:p>
        </w:tc>
        <w:tc>
          <w:tcPr>
            <w:tcW w:w="5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3" w:right="319" w:bottom="1440" w:gutter="0" w:footer="0" w:header="0"/>
        </w:sectPr>
      </w:pPr>
    </w:p>
    <w:bookmarkStart w:id="87" w:name="page88"/>
    <w:bookmarkEnd w:id="87"/>
    <w:p>
      <w:pPr>
        <w:ind w:left="720" w:right="260" w:hanging="714"/>
        <w:spacing w:after="0" w:line="236" w:lineRule="auto"/>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10.10</w:t>
      </w:r>
      <w:r>
        <w:rPr>
          <w:sz w:val="20"/>
          <w:szCs w:val="20"/>
          <w:color w:val="auto"/>
        </w:rPr>
        <w:tab/>
      </w:r>
      <w:hyperlink r:id="rId139">
        <w:r>
          <w:rPr>
            <w:rFonts w:ascii="Times New Roman" w:cs="Times New Roman" w:eastAsia="Times New Roman" w:hAnsi="Times New Roman"/>
            <w:sz w:val="14"/>
            <w:szCs w:val="14"/>
            <w:u w:val="single" w:color="auto"/>
            <w:color w:val="0000EE"/>
          </w:rPr>
          <w:t>Second Amendment to Second Amended and Restated Senior Secured Revolving Credit Agreement, dated as of September 4, 2019, by and among PennantPark Investment</w:t>
        </w:r>
      </w:hyperlink>
      <w:r>
        <w:rPr>
          <w:rFonts w:ascii="Times New Roman" w:cs="Times New Roman" w:eastAsia="Times New Roman" w:hAnsi="Times New Roman"/>
          <w:sz w:val="14"/>
          <w:szCs w:val="14"/>
          <w:u w:val="single" w:color="auto"/>
          <w:color w:val="0000EE"/>
        </w:rPr>
        <w:t xml:space="preserve"> </w:t>
      </w:r>
      <w:hyperlink r:id="rId139">
        <w:r>
          <w:rPr>
            <w:rFonts w:ascii="Times New Roman" w:cs="Times New Roman" w:eastAsia="Times New Roman" w:hAnsi="Times New Roman"/>
            <w:sz w:val="14"/>
            <w:szCs w:val="14"/>
            <w:u w:val="single" w:color="auto"/>
            <w:color w:val="0000EE"/>
          </w:rPr>
          <w:t>Corporation, as borrower, the lenders party thereto, SunTrust Bank, as administrative agent and collateral agent, and solely with respect to Section 4.9, PNNT CI (GALLS) Prime</w:t>
        </w:r>
      </w:hyperlink>
      <w:r>
        <w:rPr>
          <w:rFonts w:ascii="Times New Roman" w:cs="Times New Roman" w:eastAsia="Times New Roman" w:hAnsi="Times New Roman"/>
          <w:sz w:val="14"/>
          <w:szCs w:val="14"/>
          <w:u w:val="single" w:color="auto"/>
          <w:color w:val="0000EE"/>
        </w:rPr>
        <w:t xml:space="preserve"> </w:t>
      </w:r>
      <w:hyperlink r:id="rId139">
        <w:r>
          <w:rPr>
            <w:rFonts w:ascii="Times New Roman" w:cs="Times New Roman" w:eastAsia="Times New Roman" w:hAnsi="Times New Roman"/>
            <w:sz w:val="14"/>
            <w:szCs w:val="14"/>
            <w:u w:val="single" w:color="auto"/>
            <w:color w:val="0000EE"/>
          </w:rPr>
          <w:t>Investment Holdings, LLC, PNNT Investment Holdings, LLC, PNNT New Gulf Resources, LLC, PNNT ecoserve, LLC and PNNT Cascade Environmental Holdings, LLC</w:t>
        </w:r>
      </w:hyperlink>
      <w:r>
        <w:rPr>
          <w:rFonts w:ascii="Times New Roman" w:cs="Times New Roman" w:eastAsia="Times New Roman" w:hAnsi="Times New Roman"/>
          <w:sz w:val="14"/>
          <w:szCs w:val="14"/>
          <w:u w:val="single" w:color="auto"/>
          <w:color w:val="0000EE"/>
        </w:rPr>
        <w:t xml:space="preserve"> </w:t>
      </w:r>
      <w:hyperlink r:id="rId139">
        <w:r>
          <w:rPr>
            <w:rFonts w:ascii="Times New Roman" w:cs="Times New Roman" w:eastAsia="Times New Roman" w:hAnsi="Times New Roman"/>
            <w:sz w:val="14"/>
            <w:szCs w:val="14"/>
            <w:u w:val="single" w:color="auto"/>
            <w:color w:val="0000EE"/>
          </w:rPr>
          <w:t>(Incorporated by reference to Exhibit 10.1 to the Registrant’s Form 8-K (File No. 814-00736), filed on September 4, 2019).</w:t>
        </w:r>
      </w:hyperlink>
    </w:p>
    <w:p>
      <w:pPr>
        <w:spacing w:after="0" w:line="136" w:lineRule="exact"/>
        <w:rPr>
          <w:rFonts w:ascii="Times New Roman" w:cs="Times New Roman" w:eastAsia="Times New Roman" w:hAnsi="Times New Roman"/>
          <w:sz w:val="14"/>
          <w:szCs w:val="14"/>
          <w:u w:val="single" w:color="auto"/>
          <w:color w:val="0000EE"/>
        </w:rPr>
      </w:pPr>
    </w:p>
    <w:p>
      <w:pPr>
        <w:ind w:left="720" w:right="100" w:hanging="714"/>
        <w:spacing w:after="0" w:line="241" w:lineRule="auto"/>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10.11</w:t>
      </w:r>
      <w:r>
        <w:rPr>
          <w:sz w:val="20"/>
          <w:szCs w:val="20"/>
          <w:color w:val="auto"/>
        </w:rPr>
        <w:tab/>
      </w:r>
      <w:hyperlink r:id="rId140">
        <w:r>
          <w:rPr>
            <w:rFonts w:ascii="Times New Roman" w:cs="Times New Roman" w:eastAsia="Times New Roman" w:hAnsi="Times New Roman"/>
            <w:sz w:val="14"/>
            <w:szCs w:val="14"/>
            <w:u w:val="single" w:color="auto"/>
            <w:color w:val="0000EE"/>
          </w:rPr>
          <w:t>Amended and Restated Limited Liability Company Agreement of PennantPark Senior Loan Fund, LLC, dated as of July 31, 2020, by and among PennantPark Investment</w:t>
        </w:r>
      </w:hyperlink>
      <w:r>
        <w:rPr>
          <w:rFonts w:ascii="Times New Roman" w:cs="Times New Roman" w:eastAsia="Times New Roman" w:hAnsi="Times New Roman"/>
          <w:sz w:val="14"/>
          <w:szCs w:val="14"/>
          <w:u w:val="single" w:color="auto"/>
          <w:color w:val="0000EE"/>
        </w:rPr>
        <w:t xml:space="preserve"> </w:t>
      </w:r>
      <w:hyperlink r:id="rId140">
        <w:r>
          <w:rPr>
            <w:rFonts w:ascii="Times New Roman" w:cs="Times New Roman" w:eastAsia="Times New Roman" w:hAnsi="Times New Roman"/>
            <w:sz w:val="14"/>
            <w:szCs w:val="14"/>
            <w:u w:val="single" w:color="auto"/>
            <w:color w:val="0000EE"/>
          </w:rPr>
          <w:t>Corporation, Pantheon Private Debt Program SCSp SICAV – RAIF In Respect Of Its Compartment Pantheon Senior Debt Secondaries II (USD) and Solutio Premium Private Debt I</w:t>
        </w:r>
      </w:hyperlink>
      <w:r>
        <w:rPr>
          <w:rFonts w:ascii="Times New Roman" w:cs="Times New Roman" w:eastAsia="Times New Roman" w:hAnsi="Times New Roman"/>
          <w:sz w:val="14"/>
          <w:szCs w:val="14"/>
          <w:u w:val="single" w:color="auto"/>
          <w:color w:val="0000EE"/>
        </w:rPr>
        <w:t xml:space="preserve"> </w:t>
      </w:r>
      <w:hyperlink r:id="rId140">
        <w:r>
          <w:rPr>
            <w:rFonts w:ascii="Times New Roman" w:cs="Times New Roman" w:eastAsia="Times New Roman" w:hAnsi="Times New Roman"/>
            <w:sz w:val="14"/>
            <w:szCs w:val="14"/>
            <w:u w:val="single" w:color="auto"/>
            <w:color w:val="0000EE"/>
          </w:rPr>
          <w:t>SCSp (Incorporated by reference to Exhibit 10.1 to the Registrant’s Form 8-K (File No. 814-00736), filed on August 4, 2020).</w:t>
        </w:r>
      </w:hyperlink>
    </w:p>
    <w:p>
      <w:pPr>
        <w:spacing w:after="0" w:line="123" w:lineRule="exact"/>
        <w:rPr>
          <w:rFonts w:ascii="Times New Roman" w:cs="Times New Roman" w:eastAsia="Times New Roman" w:hAnsi="Times New Roman"/>
          <w:sz w:val="14"/>
          <w:szCs w:val="14"/>
          <w:u w:val="single" w:color="auto"/>
          <w:color w:val="0000EE"/>
        </w:rPr>
      </w:pPr>
    </w:p>
    <w:p>
      <w:pPr>
        <w:ind w:left="720" w:right="160" w:hanging="714"/>
        <w:spacing w:after="0" w:line="236" w:lineRule="auto"/>
        <w:tabs>
          <w:tab w:leader="none" w:pos="700" w:val="left"/>
        </w:tabs>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10.12*</w:t>
      </w:r>
      <w:r>
        <w:rPr>
          <w:sz w:val="20"/>
          <w:szCs w:val="20"/>
          <w:color w:val="auto"/>
        </w:rPr>
        <w:tab/>
      </w:r>
      <w:hyperlink w:anchor="page90">
        <w:r>
          <w:rPr>
            <w:rFonts w:ascii="Times New Roman" w:cs="Times New Roman" w:eastAsia="Times New Roman" w:hAnsi="Times New Roman"/>
            <w:sz w:val="14"/>
            <w:szCs w:val="14"/>
            <w:u w:val="single" w:color="auto"/>
            <w:color w:val="0000EE"/>
          </w:rPr>
          <w:t>First Amendment to the Amended and Restated Limited Liability Company Agreement of PennantPark Senior Loan Fund, LLC, dated as of October 31, 2020, by and among</w:t>
        </w:r>
      </w:hyperlink>
      <w:r>
        <w:rPr>
          <w:rFonts w:ascii="Times New Roman" w:cs="Times New Roman" w:eastAsia="Times New Roman" w:hAnsi="Times New Roman"/>
          <w:sz w:val="14"/>
          <w:szCs w:val="14"/>
          <w:u w:val="single" w:color="auto"/>
          <w:color w:val="0000EE"/>
        </w:rPr>
        <w:t xml:space="preserve"> </w:t>
      </w:r>
      <w:hyperlink w:anchor="page90">
        <w:r>
          <w:rPr>
            <w:rFonts w:ascii="Times New Roman" w:cs="Times New Roman" w:eastAsia="Times New Roman" w:hAnsi="Times New Roman"/>
            <w:sz w:val="14"/>
            <w:szCs w:val="14"/>
            <w:u w:val="single" w:color="auto"/>
            <w:color w:val="0000EE"/>
          </w:rPr>
          <w:t>PennantPark Investment Corporation, Pantheon Private Debt Program SCSp SICAV – RAIF In Respect Of Its Compartment Pantheon Senior Debt Secondaries II (USD), Pantheon</w:t>
        </w:r>
      </w:hyperlink>
      <w:r>
        <w:rPr>
          <w:rFonts w:ascii="Times New Roman" w:cs="Times New Roman" w:eastAsia="Times New Roman" w:hAnsi="Times New Roman"/>
          <w:sz w:val="14"/>
          <w:szCs w:val="14"/>
          <w:u w:val="single" w:color="auto"/>
          <w:color w:val="0000EE"/>
        </w:rPr>
        <w:t xml:space="preserve"> </w:t>
      </w:r>
      <w:hyperlink w:anchor="page90">
        <w:r>
          <w:rPr>
            <w:rFonts w:ascii="Times New Roman" w:cs="Times New Roman" w:eastAsia="Times New Roman" w:hAnsi="Times New Roman"/>
            <w:sz w:val="14"/>
            <w:szCs w:val="14"/>
            <w:u w:val="single" w:color="auto"/>
            <w:color w:val="0000EE"/>
          </w:rPr>
          <w:t>Private Debt Program SCSp SICAV-RAIF In Respect Of Its Compartment Pantheon Credit Opportunities II (USD), Pantheon Private Debt Program SCSp SICAV-RAIF In Respect</w:t>
        </w:r>
      </w:hyperlink>
      <w:r>
        <w:rPr>
          <w:rFonts w:ascii="Times New Roman" w:cs="Times New Roman" w:eastAsia="Times New Roman" w:hAnsi="Times New Roman"/>
          <w:sz w:val="14"/>
          <w:szCs w:val="14"/>
          <w:u w:val="single" w:color="auto"/>
          <w:color w:val="0000EE"/>
        </w:rPr>
        <w:t xml:space="preserve"> </w:t>
      </w:r>
      <w:hyperlink w:anchor="page90">
        <w:r>
          <w:rPr>
            <w:rFonts w:ascii="Times New Roman" w:cs="Times New Roman" w:eastAsia="Times New Roman" w:hAnsi="Times New Roman"/>
            <w:sz w:val="14"/>
            <w:szCs w:val="14"/>
            <w:u w:val="single" w:color="auto"/>
            <w:color w:val="0000EE"/>
          </w:rPr>
          <w:t>Of Its Compartment Tubera Credit 2020 and Solutio Premium Private Debt I SCSp</w:t>
        </w:r>
        <w:r>
          <w:rPr>
            <w:rFonts w:ascii="Times New Roman" w:cs="Times New Roman" w:eastAsia="Times New Roman" w:hAnsi="Times New Roman"/>
            <w:sz w:val="14"/>
            <w:szCs w:val="14"/>
            <w:color w:val="000000"/>
          </w:rPr>
          <w:t>.</w:t>
        </w:r>
      </w:hyperlink>
    </w:p>
    <w:p>
      <w:pPr>
        <w:spacing w:after="0" w:line="204" w:lineRule="exact"/>
        <w:rPr>
          <w:rFonts w:ascii="Times New Roman" w:cs="Times New Roman" w:eastAsia="Times New Roman" w:hAnsi="Times New Roman"/>
          <w:sz w:val="14"/>
          <w:szCs w:val="14"/>
          <w:u w:val="single" w:color="auto"/>
          <w:color w:val="0000EE"/>
        </w:rPr>
      </w:pPr>
    </w:p>
    <w:p>
      <w:pPr>
        <w:ind w:left="720" w:hanging="714"/>
        <w:spacing w:after="0" w:line="236" w:lineRule="auto"/>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10.13</w:t>
      </w:r>
      <w:r>
        <w:rPr>
          <w:sz w:val="20"/>
          <w:szCs w:val="20"/>
          <w:color w:val="auto"/>
        </w:rPr>
        <w:tab/>
      </w:r>
      <w:hyperlink r:id="rId141">
        <w:r>
          <w:rPr>
            <w:rFonts w:ascii="Times New Roman" w:cs="Times New Roman" w:eastAsia="Times New Roman" w:hAnsi="Times New Roman"/>
            <w:sz w:val="14"/>
            <w:szCs w:val="14"/>
            <w:u w:val="single" w:color="auto"/>
            <w:color w:val="0000EE"/>
          </w:rPr>
          <w:t>First Omnibus Amendment, dated as of July 31, 2020, by and among PennantPark Investment Funding I, LLC, as borrower, PennantPark Senior Loan Fund, LLC, as equityholder of</w:t>
        </w:r>
      </w:hyperlink>
      <w:r>
        <w:rPr>
          <w:rFonts w:ascii="Times New Roman" w:cs="Times New Roman" w:eastAsia="Times New Roman" w:hAnsi="Times New Roman"/>
          <w:sz w:val="14"/>
          <w:szCs w:val="14"/>
          <w:u w:val="single" w:color="auto"/>
          <w:color w:val="0000EE"/>
        </w:rPr>
        <w:t xml:space="preserve"> </w:t>
      </w:r>
      <w:hyperlink r:id="rId141">
        <w:r>
          <w:rPr>
            <w:rFonts w:ascii="Times New Roman" w:cs="Times New Roman" w:eastAsia="Times New Roman" w:hAnsi="Times New Roman"/>
            <w:sz w:val="14"/>
            <w:szCs w:val="14"/>
            <w:u w:val="single" w:color="auto"/>
            <w:color w:val="0000EE"/>
          </w:rPr>
          <w:t>the borrower, PennantPark Investment Corporation, PennantPark Investment Advisers, LLC, as servicer, and The Bank of New York Mellon Trust Company, National Association, as</w:t>
        </w:r>
      </w:hyperlink>
      <w:r>
        <w:rPr>
          <w:rFonts w:ascii="Times New Roman" w:cs="Times New Roman" w:eastAsia="Times New Roman" w:hAnsi="Times New Roman"/>
          <w:sz w:val="14"/>
          <w:szCs w:val="14"/>
          <w:u w:val="single" w:color="auto"/>
          <w:color w:val="0000EE"/>
        </w:rPr>
        <w:t xml:space="preserve"> </w:t>
      </w:r>
      <w:hyperlink r:id="rId141">
        <w:r>
          <w:rPr>
            <w:rFonts w:ascii="Times New Roman" w:cs="Times New Roman" w:eastAsia="Times New Roman" w:hAnsi="Times New Roman"/>
            <w:sz w:val="14"/>
            <w:szCs w:val="14"/>
            <w:u w:val="single" w:color="auto"/>
            <w:color w:val="0000EE"/>
          </w:rPr>
          <w:t>collateral agent, Sterling National Bank, as lender and BNP Paribas, as administrative agent and as lender (Incorporated by reference to Exhibit 10.2 to the Registrant’s Form 8-K</w:t>
        </w:r>
      </w:hyperlink>
      <w:r>
        <w:rPr>
          <w:rFonts w:ascii="Times New Roman" w:cs="Times New Roman" w:eastAsia="Times New Roman" w:hAnsi="Times New Roman"/>
          <w:sz w:val="14"/>
          <w:szCs w:val="14"/>
          <w:u w:val="single" w:color="auto"/>
          <w:color w:val="0000EE"/>
        </w:rPr>
        <w:t xml:space="preserve"> </w:t>
      </w:r>
      <w:hyperlink r:id="rId141">
        <w:r>
          <w:rPr>
            <w:rFonts w:ascii="Times New Roman" w:cs="Times New Roman" w:eastAsia="Times New Roman" w:hAnsi="Times New Roman"/>
            <w:sz w:val="14"/>
            <w:szCs w:val="14"/>
            <w:u w:val="single" w:color="auto"/>
            <w:color w:val="0000EE"/>
          </w:rPr>
          <w:t>(File No. 814-00736), filed on August 4, 2020).</w:t>
        </w:r>
      </w:hyperlink>
    </w:p>
    <w:p>
      <w:pPr>
        <w:spacing w:after="0" w:line="123"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14.1*</w:t>
      </w:r>
      <w:r>
        <w:rPr>
          <w:sz w:val="20"/>
          <w:szCs w:val="20"/>
          <w:color w:val="auto"/>
        </w:rPr>
        <w:tab/>
      </w:r>
      <w:hyperlink w:anchor="page96">
        <w:r>
          <w:rPr>
            <w:rFonts w:ascii="Times New Roman" w:cs="Times New Roman" w:eastAsia="Times New Roman" w:hAnsi="Times New Roman"/>
            <w:sz w:val="14"/>
            <w:szCs w:val="14"/>
            <w:u w:val="single" w:color="auto"/>
            <w:color w:val="0000EE"/>
          </w:rPr>
          <w:t>Joint Code of Ethics of the Registrant.</w:t>
        </w:r>
      </w:hyperlink>
    </w:p>
    <w:p>
      <w:pPr>
        <w:spacing w:after="0" w:line="136"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21.1*</w:t>
      </w:r>
      <w:r>
        <w:rPr>
          <w:sz w:val="20"/>
          <w:szCs w:val="20"/>
          <w:color w:val="auto"/>
        </w:rPr>
        <w:tab/>
      </w:r>
      <w:hyperlink w:anchor="page102">
        <w:r>
          <w:rPr>
            <w:rFonts w:ascii="Times New Roman" w:cs="Times New Roman" w:eastAsia="Times New Roman" w:hAnsi="Times New Roman"/>
            <w:sz w:val="14"/>
            <w:szCs w:val="14"/>
            <w:u w:val="single" w:color="auto"/>
            <w:color w:val="0000EE"/>
          </w:rPr>
          <w:t>Subsidiaries of the Registrant</w:t>
        </w:r>
        <w:r>
          <w:rPr>
            <w:rFonts w:ascii="Times New Roman" w:cs="Times New Roman" w:eastAsia="Times New Roman" w:hAnsi="Times New Roman"/>
            <w:sz w:val="14"/>
            <w:szCs w:val="14"/>
            <w:color w:val="0000EE"/>
          </w:rPr>
          <w:t>.</w:t>
        </w:r>
      </w:hyperlink>
    </w:p>
    <w:p>
      <w:pPr>
        <w:spacing w:after="0" w:line="231"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23.1*</w:t>
      </w:r>
      <w:r>
        <w:rPr>
          <w:sz w:val="20"/>
          <w:szCs w:val="20"/>
          <w:color w:val="auto"/>
        </w:rPr>
        <w:tab/>
      </w:r>
      <w:hyperlink w:anchor="page103">
        <w:r>
          <w:rPr>
            <w:rFonts w:ascii="Times New Roman" w:cs="Times New Roman" w:eastAsia="Times New Roman" w:hAnsi="Times New Roman"/>
            <w:sz w:val="14"/>
            <w:szCs w:val="14"/>
            <w:u w:val="single" w:color="auto"/>
            <w:color w:val="0000EE"/>
          </w:rPr>
          <w:t>Consent of RSM US LLP.</w:t>
        </w:r>
      </w:hyperlink>
    </w:p>
    <w:p>
      <w:pPr>
        <w:spacing w:after="0" w:line="163"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23.2*</w:t>
      </w:r>
      <w:r>
        <w:rPr>
          <w:sz w:val="20"/>
          <w:szCs w:val="20"/>
          <w:color w:val="auto"/>
        </w:rPr>
        <w:tab/>
      </w:r>
      <w:hyperlink w:anchor="page104">
        <w:r>
          <w:rPr>
            <w:rFonts w:ascii="Times New Roman" w:cs="Times New Roman" w:eastAsia="Times New Roman" w:hAnsi="Times New Roman"/>
            <w:sz w:val="14"/>
            <w:szCs w:val="14"/>
            <w:u w:val="single" w:color="auto"/>
            <w:color w:val="0000EE"/>
          </w:rPr>
          <w:t>Consent of BDO USA, LLP</w:t>
        </w:r>
        <w:r>
          <w:rPr>
            <w:rFonts w:ascii="Times New Roman" w:cs="Times New Roman" w:eastAsia="Times New Roman" w:hAnsi="Times New Roman"/>
            <w:sz w:val="14"/>
            <w:szCs w:val="14"/>
            <w:color w:val="0000EE"/>
          </w:rPr>
          <w:t>.</w:t>
        </w:r>
      </w:hyperlink>
    </w:p>
    <w:p>
      <w:pPr>
        <w:spacing w:after="0" w:line="136"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31.1*</w:t>
      </w:r>
      <w:r>
        <w:rPr>
          <w:sz w:val="20"/>
          <w:szCs w:val="20"/>
          <w:color w:val="auto"/>
        </w:rPr>
        <w:tab/>
      </w:r>
      <w:hyperlink w:anchor="page105">
        <w:r>
          <w:rPr>
            <w:rFonts w:ascii="Times New Roman" w:cs="Times New Roman" w:eastAsia="Times New Roman" w:hAnsi="Times New Roman"/>
            <w:sz w:val="14"/>
            <w:szCs w:val="14"/>
            <w:u w:val="single" w:color="auto"/>
            <w:color w:val="0000EE"/>
          </w:rPr>
          <w:t>Certification of Chief Executive Officer pursuant to Rule 13a-14 of the Securities Exchange Act of 1934, as amended.</w:t>
        </w:r>
      </w:hyperlink>
    </w:p>
    <w:p>
      <w:pPr>
        <w:spacing w:after="0" w:line="136"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31.2*</w:t>
      </w:r>
      <w:r>
        <w:rPr>
          <w:sz w:val="20"/>
          <w:szCs w:val="20"/>
          <w:color w:val="auto"/>
        </w:rPr>
        <w:tab/>
      </w:r>
      <w:hyperlink w:anchor="page106">
        <w:r>
          <w:rPr>
            <w:rFonts w:ascii="Times New Roman" w:cs="Times New Roman" w:eastAsia="Times New Roman" w:hAnsi="Times New Roman"/>
            <w:sz w:val="14"/>
            <w:szCs w:val="14"/>
            <w:u w:val="single" w:color="auto"/>
            <w:color w:val="0000EE"/>
          </w:rPr>
          <w:t>Certification of Chief Financial Officer pursuant to Rule 13a-14 of the Securities Exchange Act of 1934, as amended.</w:t>
        </w:r>
      </w:hyperlink>
    </w:p>
    <w:p>
      <w:pPr>
        <w:spacing w:after="0" w:line="136"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32.1*</w:t>
      </w:r>
      <w:r>
        <w:rPr>
          <w:sz w:val="20"/>
          <w:szCs w:val="20"/>
          <w:color w:val="auto"/>
        </w:rPr>
        <w:tab/>
      </w:r>
      <w:hyperlink w:anchor="page107">
        <w:r>
          <w:rPr>
            <w:rFonts w:ascii="Times New Roman" w:cs="Times New Roman" w:eastAsia="Times New Roman" w:hAnsi="Times New Roman"/>
            <w:sz w:val="14"/>
            <w:szCs w:val="14"/>
            <w:u w:val="single" w:color="auto"/>
            <w:color w:val="0000EE"/>
          </w:rPr>
          <w:t>Certification of Chief Executive Officer pursuant to section 906 of the Sarbanes-Oxley Act of 2002.</w:t>
        </w:r>
      </w:hyperlink>
    </w:p>
    <w:p>
      <w:pPr>
        <w:spacing w:after="0" w:line="136"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32.2*</w:t>
      </w:r>
      <w:r>
        <w:rPr>
          <w:sz w:val="20"/>
          <w:szCs w:val="20"/>
          <w:color w:val="auto"/>
        </w:rPr>
        <w:tab/>
      </w:r>
      <w:hyperlink w:anchor="page108">
        <w:r>
          <w:rPr>
            <w:rFonts w:ascii="Times New Roman" w:cs="Times New Roman" w:eastAsia="Times New Roman" w:hAnsi="Times New Roman"/>
            <w:sz w:val="14"/>
            <w:szCs w:val="14"/>
            <w:u w:val="single" w:color="auto"/>
            <w:color w:val="0000EE"/>
          </w:rPr>
          <w:t>Certification of Chief Financial Officer pursuant to section 906 of the Sarbanes-Oxley Act of 2002</w:t>
        </w:r>
        <w:r>
          <w:rPr>
            <w:rFonts w:ascii="Times New Roman" w:cs="Times New Roman" w:eastAsia="Times New Roman" w:hAnsi="Times New Roman"/>
            <w:sz w:val="14"/>
            <w:szCs w:val="14"/>
            <w:color w:val="0000EE"/>
          </w:rPr>
          <w:t>.</w:t>
        </w:r>
      </w:hyperlink>
    </w:p>
    <w:p>
      <w:pPr>
        <w:spacing w:after="0" w:line="136"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99.1</w:t>
      </w:r>
      <w:r>
        <w:rPr>
          <w:sz w:val="20"/>
          <w:szCs w:val="20"/>
          <w:color w:val="auto"/>
        </w:rPr>
        <w:tab/>
      </w:r>
      <w:hyperlink r:id="rId142">
        <w:r>
          <w:rPr>
            <w:rFonts w:ascii="Times New Roman" w:cs="Times New Roman" w:eastAsia="Times New Roman" w:hAnsi="Times New Roman"/>
            <w:sz w:val="14"/>
            <w:szCs w:val="14"/>
            <w:u w:val="single" w:color="auto"/>
            <w:color w:val="0000EE"/>
          </w:rPr>
          <w:t>Privacy Policy of the Registrant (Incorporated by reference to Exhibit 99.1 to the Registrant’s Annual Report on Form 10-K (File No. 814-00736), filed on November 16, 2011)</w:t>
        </w:r>
        <w:r>
          <w:rPr>
            <w:rFonts w:ascii="Times New Roman" w:cs="Times New Roman" w:eastAsia="Times New Roman" w:hAnsi="Times New Roman"/>
            <w:sz w:val="14"/>
            <w:szCs w:val="14"/>
            <w:color w:val="0000EE"/>
          </w:rPr>
          <w:t>.</w:t>
        </w:r>
      </w:hyperlink>
    </w:p>
    <w:p>
      <w:pPr>
        <w:spacing w:after="0" w:line="136"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99.2*</w:t>
      </w:r>
      <w:r>
        <w:rPr>
          <w:sz w:val="20"/>
          <w:szCs w:val="20"/>
          <w:color w:val="auto"/>
        </w:rPr>
        <w:tab/>
      </w:r>
      <w:hyperlink w:anchor="page109">
        <w:r>
          <w:rPr>
            <w:rFonts w:ascii="Times New Roman" w:cs="Times New Roman" w:eastAsia="Times New Roman" w:hAnsi="Times New Roman"/>
            <w:sz w:val="14"/>
            <w:szCs w:val="14"/>
            <w:u w:val="single" w:color="auto"/>
            <w:color w:val="0000EE"/>
          </w:rPr>
          <w:t>Audited Consolidated Financial Statements of RAM Energy Holdings LLC and Subsidiaries for the Year Ended September 30, 2020.</w:t>
        </w:r>
      </w:hyperlink>
    </w:p>
    <w:p>
      <w:pPr>
        <w:spacing w:after="0" w:line="136"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99.3*</w:t>
      </w:r>
      <w:r>
        <w:rPr>
          <w:sz w:val="20"/>
          <w:szCs w:val="20"/>
          <w:color w:val="auto"/>
        </w:rPr>
        <w:tab/>
      </w:r>
      <w:hyperlink w:anchor="page131">
        <w:r>
          <w:rPr>
            <w:rFonts w:ascii="Times New Roman" w:cs="Times New Roman" w:eastAsia="Times New Roman" w:hAnsi="Times New Roman"/>
            <w:sz w:val="14"/>
            <w:szCs w:val="14"/>
            <w:u w:val="single" w:color="auto"/>
            <w:color w:val="0000EE"/>
          </w:rPr>
          <w:t>Audited Consolidated Financial Statements of RAM Energy Holdings LLC and Subsidiaries for the Year Ended September 30, 2019.</w:t>
        </w:r>
      </w:hyperlink>
    </w:p>
    <w:p>
      <w:pPr>
        <w:spacing w:after="0" w:line="136"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99.4*</w:t>
      </w:r>
      <w:r>
        <w:rPr>
          <w:sz w:val="20"/>
          <w:szCs w:val="20"/>
          <w:color w:val="auto"/>
        </w:rPr>
        <w:tab/>
      </w:r>
      <w:hyperlink w:anchor="page151">
        <w:r>
          <w:rPr>
            <w:rFonts w:ascii="Times New Roman" w:cs="Times New Roman" w:eastAsia="Times New Roman" w:hAnsi="Times New Roman"/>
            <w:sz w:val="14"/>
            <w:szCs w:val="14"/>
            <w:u w:val="single" w:color="auto"/>
            <w:color w:val="0000EE"/>
          </w:rPr>
          <w:t>Unaudited Consolidated Financial Statements of RAM Energy Holdings LLC and Subsidiaries for the Year Ended September 30, 2018.</w:t>
        </w:r>
      </w:hyperlink>
    </w:p>
    <w:p>
      <w:pPr>
        <w:spacing w:after="0" w:line="231" w:lineRule="exact"/>
        <w:rPr>
          <w:rFonts w:ascii="Times New Roman" w:cs="Times New Roman" w:eastAsia="Times New Roman" w:hAnsi="Times New Roman"/>
          <w:sz w:val="14"/>
          <w:szCs w:val="14"/>
          <w:u w:val="single" w:color="auto"/>
          <w:color w:val="0000EE"/>
        </w:rPr>
      </w:pPr>
    </w:p>
    <w:p>
      <w:pPr>
        <w:spacing w:after="0"/>
        <w:tabs>
          <w:tab w:leader="none" w:pos="70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color w:val="auto"/>
        </w:rPr>
        <w:t>99.5*</w:t>
      </w:r>
      <w:r>
        <w:rPr>
          <w:sz w:val="20"/>
          <w:szCs w:val="20"/>
          <w:color w:val="auto"/>
        </w:rPr>
        <w:tab/>
      </w:r>
      <w:hyperlink w:anchor="page169">
        <w:r>
          <w:rPr>
            <w:rFonts w:ascii="Times New Roman" w:cs="Times New Roman" w:eastAsia="Times New Roman" w:hAnsi="Times New Roman"/>
            <w:sz w:val="14"/>
            <w:szCs w:val="14"/>
            <w:u w:val="single" w:color="auto"/>
            <w:color w:val="0000EE"/>
          </w:rPr>
          <w:t>Report of RSM US LLP on Senior Securities Table.</w:t>
        </w:r>
      </w:hyperlink>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92075</wp:posOffset>
            </wp:positionV>
            <wp:extent cx="13455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157" w:lineRule="exact"/>
        <w:rPr>
          <w:rFonts w:ascii="Times New Roman" w:cs="Times New Roman" w:eastAsia="Times New Roman" w:hAnsi="Times New Roman"/>
          <w:sz w:val="14"/>
          <w:szCs w:val="14"/>
          <w:u w:val="single" w:color="auto"/>
          <w:color w:val="0000EE"/>
        </w:rPr>
      </w:pPr>
    </w:p>
    <w:p>
      <w:pPr>
        <w:ind w:left="380" w:hanging="372"/>
        <w:spacing w:after="0"/>
        <w:tabs>
          <w:tab w:leader="none" w:pos="3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4" w:lineRule="exact"/>
        <w:rPr>
          <w:rFonts w:ascii="Times New Roman" w:cs="Times New Roman" w:eastAsia="Times New Roman" w:hAnsi="Times New Roman"/>
          <w:sz w:val="14"/>
          <w:szCs w:val="14"/>
          <w:u w:val="single" w:color="auto"/>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4"/>
          <w:szCs w:val="14"/>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ind w:right="500" w:firstLine="438"/>
        <w:spacing w:after="0" w:line="261"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 on November 19,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ARTHUR H. PENN</w:t>
            </w:r>
          </w:p>
        </w:tc>
      </w:tr>
      <w:tr>
        <w:trPr>
          <w:trHeight w:val="117"/>
        </w:trPr>
        <w:tc>
          <w:tcPr>
            <w:tcW w:w="740" w:type="dxa"/>
            <w:vAlign w:val="bottom"/>
          </w:tcPr>
          <w:p>
            <w:pPr>
              <w:spacing w:after="0" w:line="118" w:lineRule="exact"/>
              <w:rPr>
                <w:sz w:val="20"/>
                <w:szCs w:val="20"/>
                <w:color w:val="auto"/>
              </w:rPr>
            </w:pPr>
            <w:r>
              <w:rPr>
                <w:rFonts w:ascii="Times New Roman" w:cs="Times New Roman" w:eastAsia="Times New Roman" w:hAnsi="Times New Roman"/>
                <w:sz w:val="13"/>
                <w:szCs w:val="13"/>
                <w:color w:val="auto"/>
              </w:rPr>
              <w:t>Name:</w:t>
            </w:r>
          </w:p>
        </w:tc>
        <w:tc>
          <w:tcPr>
            <w:tcW w:w="37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Arthur H. Penn</w:t>
            </w:r>
          </w:p>
        </w:tc>
      </w:tr>
      <w:tr>
        <w:trPr>
          <w:trHeight w:val="148"/>
        </w:trPr>
        <w:tc>
          <w:tcPr>
            <w:tcW w:w="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Title:</w:t>
            </w:r>
          </w:p>
        </w:tc>
        <w:tc>
          <w:tcPr>
            <w:tcW w:w="3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Chief Executive Officer and Chairman of the Board of</w:t>
            </w:r>
          </w:p>
        </w:tc>
      </w:tr>
      <w:tr>
        <w:trPr>
          <w:trHeight w:val="190"/>
        </w:trPr>
        <w:tc>
          <w:tcPr>
            <w:tcW w:w="74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Directors</w:t>
            </w:r>
          </w:p>
        </w:tc>
      </w:tr>
    </w:tbl>
    <w:p>
      <w:pPr>
        <w:spacing w:after="0" w:line="95" w:lineRule="exact"/>
        <w:rPr>
          <w:sz w:val="20"/>
          <w:szCs w:val="20"/>
          <w:color w:val="auto"/>
        </w:rPr>
      </w:pPr>
    </w:p>
    <w:p>
      <w:pPr>
        <w:ind w:right="20" w:firstLine="438"/>
        <w:spacing w:after="0" w:line="261"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294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142"/>
        </w:trPr>
        <w:tc>
          <w:tcPr>
            <w:tcW w:w="2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/s/</w:t>
            </w:r>
          </w:p>
        </w:tc>
        <w:tc>
          <w:tcPr>
            <w:tcW w:w="29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ARTHUR H. PENN</w:t>
            </w:r>
          </w:p>
        </w:tc>
        <w:tc>
          <w:tcPr>
            <w:tcW w:w="120" w:type="dxa"/>
            <w:vAlign w:val="bottom"/>
          </w:tcPr>
          <w:p>
            <w:pPr>
              <w:spacing w:after="0"/>
              <w:rPr>
                <w:sz w:val="12"/>
                <w:szCs w:val="12"/>
                <w:color w:val="auto"/>
              </w:rPr>
            </w:pPr>
          </w:p>
        </w:tc>
        <w:tc>
          <w:tcPr>
            <w:tcW w:w="5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Chief Executive Officer and Chairman of the Board of Directors</w:t>
            </w:r>
          </w:p>
        </w:tc>
        <w:tc>
          <w:tcPr>
            <w:tcW w:w="120" w:type="dxa"/>
            <w:vAlign w:val="bottom"/>
          </w:tcPr>
          <w:p>
            <w:pPr>
              <w:spacing w:after="0"/>
              <w:rPr>
                <w:sz w:val="12"/>
                <w:szCs w:val="12"/>
                <w:color w:val="auto"/>
              </w:rPr>
            </w:pPr>
          </w:p>
        </w:tc>
        <w:tc>
          <w:tcPr>
            <w:tcW w:w="2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November 19, 2020</w:t>
            </w:r>
          </w:p>
        </w:tc>
      </w:tr>
      <w:tr>
        <w:trPr>
          <w:trHeight w:val="184"/>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Arthur H. Penn</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800" w:type="dxa"/>
            <w:vAlign w:val="bottom"/>
          </w:tcPr>
          <w:p>
            <w:pPr>
              <w:spacing w:after="0"/>
              <w:rPr>
                <w:sz w:val="15"/>
                <w:szCs w:val="15"/>
                <w:color w:val="auto"/>
              </w:rPr>
            </w:pPr>
          </w:p>
        </w:tc>
      </w:tr>
      <w:tr>
        <w:trPr>
          <w:trHeight w:val="242"/>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AVIV EFRAT</w:t>
            </w:r>
          </w:p>
        </w:tc>
        <w:tc>
          <w:tcPr>
            <w:tcW w:w="120" w:type="dxa"/>
            <w:vAlign w:val="bottom"/>
          </w:tcPr>
          <w:p>
            <w:pPr>
              <w:spacing w:after="0"/>
              <w:rPr>
                <w:sz w:val="21"/>
                <w:szCs w:val="21"/>
                <w:color w:val="auto"/>
              </w:rPr>
            </w:pPr>
          </w:p>
        </w:tc>
        <w:tc>
          <w:tcPr>
            <w:tcW w:w="51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19, 2020</w:t>
            </w:r>
          </w:p>
        </w:tc>
      </w:tr>
      <w:tr>
        <w:trPr>
          <w:trHeight w:val="184"/>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Aviv Efrat</w:t>
            </w:r>
          </w:p>
        </w:tc>
        <w:tc>
          <w:tcPr>
            <w:tcW w:w="120" w:type="dxa"/>
            <w:vAlign w:val="bottom"/>
          </w:tcPr>
          <w:p>
            <w:pPr>
              <w:spacing w:after="0"/>
              <w:rPr>
                <w:sz w:val="15"/>
                <w:szCs w:val="15"/>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2800" w:type="dxa"/>
            <w:vAlign w:val="bottom"/>
          </w:tcPr>
          <w:p>
            <w:pPr>
              <w:spacing w:after="0"/>
              <w:rPr>
                <w:sz w:val="15"/>
                <w:szCs w:val="15"/>
                <w:color w:val="auto"/>
              </w:rPr>
            </w:pPr>
          </w:p>
        </w:tc>
      </w:tr>
      <w:tr>
        <w:trPr>
          <w:trHeight w:val="242"/>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ADAM K. BERNSTEIN</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19, 2020</w:t>
            </w:r>
          </w:p>
        </w:tc>
      </w:tr>
      <w:tr>
        <w:trPr>
          <w:trHeight w:val="184"/>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Adam K. Bernstein</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2"/>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JEFFREY FLUG</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19, 2020</w:t>
            </w:r>
          </w:p>
        </w:tc>
      </w:tr>
      <w:tr>
        <w:trPr>
          <w:trHeight w:val="184"/>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Jeffrey Flug</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2"/>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MARSHALL BROZOST</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19, 2020</w:t>
            </w:r>
          </w:p>
        </w:tc>
      </w:tr>
      <w:tr>
        <w:trPr>
          <w:trHeight w:val="184"/>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Marshall Brozost</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242"/>
        </w:trPr>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w:t>
            </w:r>
          </w:p>
        </w:tc>
        <w:tc>
          <w:tcPr>
            <w:tcW w:w="2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SAMUEL L. KATZ</w:t>
            </w:r>
          </w:p>
        </w:tc>
        <w:tc>
          <w:tcPr>
            <w:tcW w:w="120" w:type="dxa"/>
            <w:vAlign w:val="bottom"/>
          </w:tcPr>
          <w:p>
            <w:pPr>
              <w:spacing w:after="0"/>
              <w:rPr>
                <w:sz w:val="21"/>
                <w:szCs w:val="21"/>
                <w:color w:val="auto"/>
              </w:rPr>
            </w:pPr>
          </w:p>
        </w:tc>
        <w:tc>
          <w:tcPr>
            <w:tcW w:w="5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19, 2020</w:t>
            </w:r>
          </w:p>
        </w:tc>
      </w:tr>
      <w:tr>
        <w:trPr>
          <w:trHeight w:val="184"/>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Samuel L. Katz</w:t>
            </w:r>
          </w:p>
        </w:tc>
        <w:tc>
          <w:tcPr>
            <w:tcW w:w="1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488"/>
        </w:trPr>
        <w:tc>
          <w:tcPr>
            <w:tcW w:w="2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160" w:type="dxa"/>
            <w:vAlign w:val="bottom"/>
            <w:gridSpan w:val="2"/>
          </w:tcPr>
          <w:p>
            <w:pPr>
              <w:jc w:val="right"/>
              <w:ind w:right="2548"/>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240"/>
          </w:cols>
          <w:pgMar w:left="320" w:top="26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22"/>
          <w:szCs w:val="22"/>
          <w:b w:val="1"/>
          <w:bCs w:val="1"/>
          <w:color w:val="auto"/>
        </w:rPr>
        <w:t>EXHIBIT 10.12</w:t>
      </w:r>
    </w:p>
    <w:p>
      <w:pPr>
        <w:spacing w:after="0" w:line="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EXECUTION VERSION</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LIMITED LIABILITY COMPANY AGREEMENT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SENIOR LOAN FUND, LLC</w:t>
      </w:r>
    </w:p>
    <w:p>
      <w:pPr>
        <w:spacing w:after="0" w:line="210"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color w:val="auto"/>
        </w:rPr>
        <w:t>This First Amendment, made and entered into as of October 31, 2020, by the parties signatory hereto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amends that certain Amended and Restated Limited Liability Company Agreement of PennantPark Senior Loan Fund, LLC, a Delaware limited liability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dated as of July 31, 2020 (the “</w:t>
      </w:r>
      <w:r>
        <w:rPr>
          <w:rFonts w:ascii="Times New Roman" w:cs="Times New Roman" w:eastAsia="Times New Roman" w:hAnsi="Times New Roman"/>
          <w:sz w:val="22"/>
          <w:szCs w:val="22"/>
          <w:u w:val="single" w:color="auto"/>
          <w:color w:val="auto"/>
        </w:rPr>
        <w:t>Existing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Capitalized terms used but not defined herein shall have the meanings ascribed to such terms in the Existing Agreement.</w:t>
      </w:r>
    </w:p>
    <w:p>
      <w:pPr>
        <w:spacing w:after="0" w:line="177" w:lineRule="exact"/>
        <w:rPr>
          <w:sz w:val="20"/>
          <w:szCs w:val="20"/>
          <w:color w:val="auto"/>
        </w:rPr>
      </w:pPr>
    </w:p>
    <w:p>
      <w:pPr>
        <w:ind w:left="2540" w:hanging="805"/>
        <w:spacing w:after="0"/>
        <w:tabs>
          <w:tab w:leader="none" w:pos="254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2.4(c) of the Existing Agreement is deleted in its entirety and replaced with the</w:t>
      </w:r>
    </w:p>
    <w:p>
      <w:pPr>
        <w:spacing w:after="0" w:line="14" w:lineRule="exact"/>
        <w:rPr>
          <w:rFonts w:ascii="Times New Roman" w:cs="Times New Roman" w:eastAsia="Times New Roman" w:hAnsi="Times New Roman"/>
          <w:sz w:val="22"/>
          <w:szCs w:val="22"/>
          <w:color w:val="auto"/>
        </w:rPr>
      </w:pPr>
    </w:p>
    <w:p>
      <w:pPr>
        <w:jc w:val="both"/>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following: “The Company may enter into and perform Subscription Agreements between the Company and each Member in substantially the form attached hereto as </w:t>
      </w:r>
      <w:r>
        <w:rPr>
          <w:rFonts w:ascii="Times New Roman" w:cs="Times New Roman" w:eastAsia="Times New Roman" w:hAnsi="Times New Roman"/>
          <w:sz w:val="22"/>
          <w:szCs w:val="22"/>
          <w:b w:val="1"/>
          <w:bCs w:val="1"/>
          <w:u w:val="single" w:color="auto"/>
          <w:color w:val="auto"/>
        </w:rPr>
        <w:t>Annex A</w:t>
      </w:r>
      <w:r>
        <w:rPr>
          <w:rFonts w:ascii="Times New Roman" w:cs="Times New Roman" w:eastAsia="Times New Roman" w:hAnsi="Times New Roman"/>
          <w:sz w:val="22"/>
          <w:szCs w:val="22"/>
          <w:color w:val="auto"/>
        </w:rPr>
        <w:t xml:space="preserve">, without any further act, vote or approval of any Member or the Committee notwithstanding any other provision of this Agreement (other than </w:t>
      </w:r>
      <w:r>
        <w:rPr>
          <w:rFonts w:ascii="Times New Roman" w:cs="Times New Roman" w:eastAsia="Times New Roman" w:hAnsi="Times New Roman"/>
          <w:sz w:val="22"/>
          <w:szCs w:val="22"/>
          <w:u w:val="single" w:color="auto"/>
          <w:color w:val="auto"/>
        </w:rPr>
        <w:t>Section 3.1(a)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6.4(b)</w:t>
      </w:r>
      <w:r>
        <w:rPr>
          <w:rFonts w:ascii="Times New Roman" w:cs="Times New Roman" w:eastAsia="Times New Roman" w:hAnsi="Times New Roman"/>
          <w:sz w:val="22"/>
          <w:szCs w:val="22"/>
          <w:color w:val="auto"/>
        </w:rPr>
        <w:t xml:space="preserve"> and Schedule B hereof), the Act or any other applicable law, rule or regulation.”</w:t>
      </w:r>
    </w:p>
    <w:p>
      <w:pPr>
        <w:spacing w:after="0" w:line="177" w:lineRule="exact"/>
        <w:rPr>
          <w:rFonts w:ascii="Times New Roman" w:cs="Times New Roman" w:eastAsia="Times New Roman" w:hAnsi="Times New Roman"/>
          <w:sz w:val="22"/>
          <w:szCs w:val="22"/>
          <w:color w:val="auto"/>
        </w:rPr>
      </w:pPr>
    </w:p>
    <w:p>
      <w:pPr>
        <w:ind w:left="2540" w:hanging="805"/>
        <w:spacing w:after="0"/>
        <w:tabs>
          <w:tab w:leader="none" w:pos="254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last sentence of Section 3.1(a) of the Existing Agreement is deleted in its entirety and replaced</w:t>
      </w:r>
    </w:p>
    <w:p>
      <w:pPr>
        <w:spacing w:after="0" w:line="25" w:lineRule="exact"/>
        <w:rPr>
          <w:rFonts w:ascii="Times New Roman" w:cs="Times New Roman" w:eastAsia="Times New Roman" w:hAnsi="Times New Roman"/>
          <w:sz w:val="21"/>
          <w:szCs w:val="21"/>
          <w:color w:val="auto"/>
        </w:rPr>
      </w:pPr>
    </w:p>
    <w:p>
      <w:pPr>
        <w:ind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with the following: “As of the date hereof, the Capital Contributions and Proportionate Share of the Members shall be as set forth on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hereto.”</w:t>
      </w:r>
    </w:p>
    <w:p>
      <w:pPr>
        <w:spacing w:after="0" w:line="178" w:lineRule="exact"/>
        <w:rPr>
          <w:rFonts w:ascii="Times New Roman" w:cs="Times New Roman" w:eastAsia="Times New Roman" w:hAnsi="Times New Roman"/>
          <w:sz w:val="21"/>
          <w:szCs w:val="21"/>
          <w:color w:val="auto"/>
        </w:rPr>
      </w:pPr>
    </w:p>
    <w:p>
      <w:pPr>
        <w:ind w:left="2540" w:hanging="805"/>
        <w:spacing w:after="0"/>
        <w:tabs>
          <w:tab w:leader="none" w:pos="2540" w:val="left"/>
        </w:tabs>
        <w:numPr>
          <w:ilvl w:val="1"/>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first sentence of Section 3.5(b) of the Existing Agreement is deleted in its entirety and replaced</w:t>
      </w:r>
    </w:p>
    <w:p>
      <w:pPr>
        <w:spacing w:after="0" w:line="25" w:lineRule="exact"/>
        <w:rPr>
          <w:rFonts w:ascii="Times New Roman" w:cs="Times New Roman" w:eastAsia="Times New Roman" w:hAnsi="Times New Roman"/>
          <w:sz w:val="21"/>
          <w:szCs w:val="21"/>
          <w:color w:val="auto"/>
        </w:rPr>
      </w:pPr>
    </w:p>
    <w:p>
      <w:pPr>
        <w:jc w:val="both"/>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the following: “Each additional Member shall execute and deliver a Joinder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such other written instrument satisfactory to the existing Members whereby such Member becomes a party to this Agreement, as well as a subscription agreement and any other documents reasonably requested by the Members (acting through the Committee).”</w:t>
      </w:r>
    </w:p>
    <w:p>
      <w:pPr>
        <w:spacing w:after="0" w:line="169" w:lineRule="exact"/>
        <w:rPr>
          <w:rFonts w:ascii="Times New Roman" w:cs="Times New Roman" w:eastAsia="Times New Roman" w:hAnsi="Times New Roman"/>
          <w:sz w:val="21"/>
          <w:szCs w:val="21"/>
          <w:color w:val="auto"/>
        </w:rPr>
      </w:pPr>
    </w:p>
    <w:p>
      <w:pPr>
        <w:jc w:val="both"/>
        <w:ind w:firstLine="1735"/>
        <w:spacing w:after="0" w:line="244" w:lineRule="auto"/>
        <w:tabs>
          <w:tab w:leader="none" w:pos="253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the term “Proportionate Share” in the Existing Agreement is deleted in its entirety and replaced with the following: ““</w:t>
      </w:r>
      <w:r>
        <w:rPr>
          <w:rFonts w:ascii="Times New Roman" w:cs="Times New Roman" w:eastAsia="Times New Roman" w:hAnsi="Times New Roman"/>
          <w:sz w:val="22"/>
          <w:szCs w:val="22"/>
          <w:u w:val="single" w:color="auto"/>
          <w:color w:val="auto"/>
        </w:rPr>
        <w:t>Proportionate Share</w:t>
      </w:r>
      <w:r>
        <w:rPr>
          <w:rFonts w:ascii="Times New Roman" w:cs="Times New Roman" w:eastAsia="Times New Roman" w:hAnsi="Times New Roman"/>
          <w:sz w:val="22"/>
          <w:szCs w:val="22"/>
          <w:color w:val="auto"/>
        </w:rPr>
        <w:t xml:space="preserve">” means, as to any Member, the percentage set forth next to such Member’s name in </w:t>
      </w: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color w:val="auto"/>
        </w:rPr>
        <w:t xml:space="preserve"> hereto.”</w:t>
      </w:r>
    </w:p>
    <w:p>
      <w:pPr>
        <w:spacing w:after="0" w:line="173"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3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sentence is added at the end of Section 4.1(a) of the Existing Agreement: “For the avoidance of doubt, the Company may increase or decrease the Capital Accounts of the Members to reflect an adjustment under Section 9.5 of the Value of all Company assets at the times and in accordance with Treasury Regulations Section 1.704-1(b)(2) (iv)(</w:t>
      </w:r>
      <w:r>
        <w:rPr>
          <w:rFonts w:ascii="Times New Roman" w:cs="Times New Roman" w:eastAsia="Times New Roman" w:hAnsi="Times New Roman"/>
          <w:sz w:val="22"/>
          <w:szCs w:val="22"/>
          <w:i w:val="1"/>
          <w:iCs w:val="1"/>
          <w:color w:val="auto"/>
        </w:rPr>
        <w:t>f</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735"/>
        <w:spacing w:after="0" w:line="239" w:lineRule="auto"/>
        <w:tabs>
          <w:tab w:leader="none" w:pos="2537"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the term “Pantheon” in the Existing Agreement is deleted in its entirety and replaced with the following: “The term “</w:t>
      </w:r>
      <w:r>
        <w:rPr>
          <w:rFonts w:ascii="Times New Roman" w:cs="Times New Roman" w:eastAsia="Times New Roman" w:hAnsi="Times New Roman"/>
          <w:sz w:val="22"/>
          <w:szCs w:val="22"/>
          <w:u w:val="single" w:color="auto"/>
          <w:color w:val="auto"/>
        </w:rPr>
        <w:t>Pantheon</w:t>
      </w:r>
      <w:r>
        <w:rPr>
          <w:rFonts w:ascii="Times New Roman" w:cs="Times New Roman" w:eastAsia="Times New Roman" w:hAnsi="Times New Roman"/>
          <w:sz w:val="22"/>
          <w:szCs w:val="22"/>
          <w:color w:val="auto"/>
        </w:rPr>
        <w:t>” means, collectively, PPDP, SPPD, Pantheon Private Debt Program SCSp SICAV-RAIF In Respect Of Its Compartment Pantheon Credit Opportunities II (USD), a Luxembourg limited partnership (“</w:t>
      </w:r>
      <w:r>
        <w:rPr>
          <w:rFonts w:ascii="Times New Roman" w:cs="Times New Roman" w:eastAsia="Times New Roman" w:hAnsi="Times New Roman"/>
          <w:sz w:val="22"/>
          <w:szCs w:val="22"/>
          <w:u w:val="single" w:color="auto"/>
          <w:color w:val="auto"/>
        </w:rPr>
        <w:t>PCO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II USD</w:t>
      </w:r>
      <w:r>
        <w:rPr>
          <w:rFonts w:ascii="Times New Roman" w:cs="Times New Roman" w:eastAsia="Times New Roman" w:hAnsi="Times New Roman"/>
          <w:sz w:val="22"/>
          <w:szCs w:val="22"/>
          <w:color w:val="auto"/>
        </w:rPr>
        <w:t>”), Pantheon Private Debt Program SCSp SICAV-RAIF In Respect Of Its Compartment Tubera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jc w:val="both"/>
        <w:spacing w:after="0" w:line="244" w:lineRule="auto"/>
        <w:rPr>
          <w:sz w:val="20"/>
          <w:szCs w:val="20"/>
          <w:color w:val="auto"/>
        </w:rPr>
      </w:pPr>
      <w:r>
        <w:rPr>
          <w:rFonts w:ascii="Times New Roman" w:cs="Times New Roman" w:eastAsia="Times New Roman" w:hAnsi="Times New Roman"/>
          <w:sz w:val="22"/>
          <w:szCs w:val="22"/>
          <w:color w:val="auto"/>
        </w:rPr>
        <w:t>2020, a Luxembourg limited partnership (“</w:t>
      </w:r>
      <w:r>
        <w:rPr>
          <w:rFonts w:ascii="Times New Roman" w:cs="Times New Roman" w:eastAsia="Times New Roman" w:hAnsi="Times New Roman"/>
          <w:sz w:val="22"/>
          <w:szCs w:val="22"/>
          <w:u w:val="single" w:color="auto"/>
          <w:color w:val="auto"/>
        </w:rPr>
        <w:t>Tubera</w:t>
      </w:r>
      <w:r>
        <w:rPr>
          <w:rFonts w:ascii="Times New Roman" w:cs="Times New Roman" w:eastAsia="Times New Roman" w:hAnsi="Times New Roman"/>
          <w:sz w:val="22"/>
          <w:szCs w:val="22"/>
          <w:color w:val="auto"/>
        </w:rPr>
        <w:t>”), or any affiliate of the foregoing admitted as a Member of the Company and any transferee in any Permitted Transfer by any of the foregoing, or any Person substituted for any of the foregoing as a Member pursuant to the terms of this Agreement; and any of the foregoing, individually, a “</w:t>
      </w:r>
      <w:r>
        <w:rPr>
          <w:rFonts w:ascii="Times New Roman" w:cs="Times New Roman" w:eastAsia="Times New Roman" w:hAnsi="Times New Roman"/>
          <w:sz w:val="22"/>
          <w:szCs w:val="22"/>
          <w:u w:val="single" w:color="auto"/>
          <w:color w:val="auto"/>
        </w:rPr>
        <w:t>Pantheon Member.</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firstLine="1735"/>
        <w:spacing w:after="0" w:line="234" w:lineRule="auto"/>
        <w:tabs>
          <w:tab w:leader="none" w:pos="253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the term “Subordinated Notes” in the Existing Agreement is deleted in its entirety and replaced with the following: “The term “</w:t>
      </w:r>
      <w:r>
        <w:rPr>
          <w:rFonts w:ascii="Times New Roman" w:cs="Times New Roman" w:eastAsia="Times New Roman" w:hAnsi="Times New Roman"/>
          <w:sz w:val="22"/>
          <w:szCs w:val="22"/>
          <w:u w:val="single" w:color="auto"/>
          <w:color w:val="auto"/>
        </w:rPr>
        <w:t>Subordinated Notes</w:t>
      </w:r>
      <w:r>
        <w:rPr>
          <w:rFonts w:ascii="Times New Roman" w:cs="Times New Roman" w:eastAsia="Times New Roman" w:hAnsi="Times New Roman"/>
          <w:sz w:val="22"/>
          <w:szCs w:val="22"/>
          <w:color w:val="auto"/>
        </w:rPr>
        <w:t>” means the following subordinated notes (each, a “</w:t>
      </w:r>
      <w:r>
        <w:rPr>
          <w:rFonts w:ascii="Times New Roman" w:cs="Times New Roman" w:eastAsia="Times New Roman" w:hAnsi="Times New Roman"/>
          <w:sz w:val="22"/>
          <w:szCs w:val="22"/>
          <w:u w:val="single" w:color="auto"/>
          <w:color w:val="auto"/>
        </w:rPr>
        <w:t>Subordinated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(a) that certain subordinated note, dated as of July 31, 2020 with the Company as issuer and PNNT as holder, (b) that certain subordinated note, dated as of July 31, 2020, with the Company as issuer and PPDP as holder, (c) that certain subordinated note, dated as of July 31, 2020, with the Company as issuer and SPPD as holder, (d) that certain subordinated note, dated as of October 31, 2020, with the Company as issuer and PCO II USD as holder, (e) that certain subordinated note, dated as of October 31, 2020, with the Company as issuer and Tubera as holder and (f) any other subordinated note entered into after the date hereof with the Company as issuer and a Member as holder and, in each case, each replacement or successor subordinated note thereto.”</w:t>
      </w:r>
    </w:p>
    <w:p>
      <w:pPr>
        <w:spacing w:after="0" w:line="179" w:lineRule="exact"/>
        <w:rPr>
          <w:rFonts w:ascii="Times New Roman" w:cs="Times New Roman" w:eastAsia="Times New Roman" w:hAnsi="Times New Roman"/>
          <w:sz w:val="22"/>
          <w:szCs w:val="22"/>
          <w:color w:val="auto"/>
        </w:rPr>
      </w:pPr>
    </w:p>
    <w:p>
      <w:pPr>
        <w:ind w:left="2540" w:hanging="805"/>
        <w:spacing w:after="0"/>
        <w:tabs>
          <w:tab w:leader="none" w:pos="25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Schedule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Existing Agreement is deleted in its entirety and replaced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Schedule A</w:t>
      </w:r>
    </w:p>
    <w:p>
      <w:pPr>
        <w:spacing w:after="0" w:line="1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hereto.</w:t>
      </w:r>
    </w:p>
    <w:p>
      <w:pPr>
        <w:spacing w:after="0" w:line="182" w:lineRule="exact"/>
        <w:rPr>
          <w:rFonts w:ascii="Times New Roman" w:cs="Times New Roman" w:eastAsia="Times New Roman" w:hAnsi="Times New Roman"/>
          <w:sz w:val="22"/>
          <w:szCs w:val="22"/>
          <w:color w:val="auto"/>
        </w:rPr>
      </w:pPr>
    </w:p>
    <w:p>
      <w:pPr>
        <w:ind w:left="2540" w:hanging="805"/>
        <w:spacing w:after="0"/>
        <w:tabs>
          <w:tab w:leader="none" w:pos="254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 A hereto shall be attached as Exhibit A of the Existing Agreement.</w:t>
      </w:r>
    </w:p>
    <w:p>
      <w:pPr>
        <w:spacing w:after="0" w:line="206" w:lineRule="exact"/>
        <w:rPr>
          <w:rFonts w:ascii="Times New Roman" w:cs="Times New Roman" w:eastAsia="Times New Roman" w:hAnsi="Times New Roman"/>
          <w:sz w:val="22"/>
          <w:szCs w:val="22"/>
          <w:color w:val="auto"/>
        </w:rPr>
      </w:pPr>
    </w:p>
    <w:p>
      <w:pPr>
        <w:jc w:val="both"/>
        <w:ind w:firstLine="1735"/>
        <w:spacing w:after="0" w:line="235" w:lineRule="auto"/>
        <w:tabs>
          <w:tab w:leader="none" w:pos="2645"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reference in the Existing Agreement to the term “Agreement” is deemed to refer to both the Existing Agreement as well as the Existing Agreement, as amended by this Amendment. Except as amended by this Amendment, the Existing Agreement remains in full force and effect. Execution and delivery of this Amendment shall not constitute or be deemed to be a waiver by the undersigned of any rights that such party may have under the Existing Agreement or an agreement by the undersigned party that any of the conditions to such party’s obligations under the Existing Agreement have been satisfied or waived. This Amendment may be executed in any number of counterparts with the same effect as if the signatures thereto were upon one instrument. This Amendment shall be governed by, and construed in accordance with, the law of the State of Delaware.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left blank. Signature page follows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510540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1" w:name="page92"/>
    <w:bookmarkEnd w:id="91"/>
    <w:p>
      <w:pPr>
        <w:ind w:right="20" w:firstLine="864"/>
        <w:spacing w:after="0" w:line="258" w:lineRule="auto"/>
        <w:rPr>
          <w:sz w:val="20"/>
          <w:szCs w:val="20"/>
          <w:color w:val="auto"/>
        </w:rPr>
      </w:pPr>
      <w:r>
        <w:rPr>
          <w:rFonts w:ascii="Times New Roman" w:cs="Times New Roman" w:eastAsia="Times New Roman" w:hAnsi="Times New Roman"/>
          <w:sz w:val="22"/>
          <w:szCs w:val="22"/>
          <w:color w:val="auto"/>
        </w:rPr>
        <w:t>IN WITNESS WHEREOF, the Members have caused this Amendment to be executed and delivered as of the date first above written.</w:t>
      </w:r>
    </w:p>
    <w:p>
      <w:pPr>
        <w:spacing w:after="0" w:line="15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PENNANTPARK INVESTMENT CORPORATION</w:t>
      </w:r>
    </w:p>
    <w:p>
      <w:pPr>
        <w:spacing w:after="0" w:line="206" w:lineRule="exact"/>
        <w:rPr>
          <w:sz w:val="20"/>
          <w:szCs w:val="20"/>
          <w:color w:val="auto"/>
        </w:rPr>
      </w:pPr>
    </w:p>
    <w:p>
      <w:pPr>
        <w:ind w:left="5160"/>
        <w:spacing w:after="0"/>
        <w:tabs>
          <w:tab w:leader="none" w:pos="5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Arthur H. Penn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60" w:type="dxa"/>
            <w:vAlign w:val="bottom"/>
          </w:tcPr>
          <w:p>
            <w:pPr>
              <w:spacing w:after="0"/>
              <w:rPr>
                <w:sz w:val="18"/>
                <w:szCs w:val="18"/>
                <w:color w:val="auto"/>
              </w:rPr>
            </w:pPr>
          </w:p>
        </w:tc>
        <w:tc>
          <w:tcPr>
            <w:tcW w:w="7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Borders>
              <w:top w:val="single" w:sz="8" w:color="auto"/>
            </w:tcBorders>
          </w:tcPr>
          <w:p>
            <w:pPr>
              <w:ind w:left="180"/>
              <w:spacing w:after="0" w:line="209" w:lineRule="exact"/>
              <w:rPr>
                <w:sz w:val="20"/>
                <w:szCs w:val="20"/>
                <w:color w:val="auto"/>
              </w:rPr>
            </w:pPr>
            <w:r>
              <w:rPr>
                <w:rFonts w:ascii="Times New Roman" w:cs="Times New Roman" w:eastAsia="Times New Roman" w:hAnsi="Times New Roman"/>
                <w:sz w:val="22"/>
                <w:szCs w:val="22"/>
                <w:color w:val="auto"/>
              </w:rPr>
              <w:t>Arthur H. Penn</w:t>
            </w:r>
          </w:p>
        </w:tc>
        <w:tc>
          <w:tcPr>
            <w:tcW w:w="20" w:type="dxa"/>
            <w:vAlign w:val="bottom"/>
          </w:tcPr>
          <w:p>
            <w:pPr>
              <w:spacing w:after="0"/>
              <w:rPr>
                <w:sz w:val="18"/>
                <w:szCs w:val="18"/>
                <w:color w:val="auto"/>
              </w:rPr>
            </w:pPr>
          </w:p>
        </w:tc>
      </w:tr>
      <w:tr>
        <w:trPr>
          <w:trHeight w:val="282"/>
        </w:trPr>
        <w:tc>
          <w:tcPr>
            <w:tcW w:w="57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Chief Executive Officer</w:t>
            </w:r>
          </w:p>
        </w:tc>
        <w:tc>
          <w:tcPr>
            <w:tcW w:w="20" w:type="dxa"/>
            <w:vAlign w:val="bottom"/>
          </w:tcPr>
          <w:p>
            <w:pPr>
              <w:spacing w:after="0"/>
              <w:rPr>
                <w:sz w:val="24"/>
                <w:szCs w:val="24"/>
                <w:color w:val="auto"/>
              </w:rPr>
            </w:pPr>
          </w:p>
        </w:tc>
      </w:tr>
      <w:tr>
        <w:trPr>
          <w:trHeight w:val="994"/>
        </w:trPr>
        <w:tc>
          <w:tcPr>
            <w:tcW w:w="5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92" w:name="page93"/>
    <w:bookmarkEnd w:id="92"/>
    <w:p>
      <w:pPr>
        <w:ind w:left="5080"/>
        <w:spacing w:after="0"/>
        <w:rPr>
          <w:sz w:val="20"/>
          <w:szCs w:val="20"/>
          <w:color w:val="auto"/>
        </w:rPr>
      </w:pPr>
      <w:r>
        <w:rPr>
          <w:rFonts w:ascii="Times New Roman" w:cs="Times New Roman" w:eastAsia="Times New Roman" w:hAnsi="Times New Roman"/>
          <w:sz w:val="21"/>
          <w:szCs w:val="21"/>
          <w:b w:val="1"/>
          <w:bCs w:val="1"/>
          <w:color w:val="auto"/>
        </w:rPr>
        <w:t>PANTHEON PRIVATE DEBT PROGRAM SCSP SICAV – RAIF</w:t>
      </w:r>
    </w:p>
    <w:p>
      <w:pPr>
        <w:spacing w:after="0" w:line="2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IN RESPECT OF ITS COMPARTMENT PANTHEON SENIOR</w:t>
      </w:r>
    </w:p>
    <w:p>
      <w:pPr>
        <w:ind w:left="5080"/>
        <w:spacing w:after="0"/>
        <w:rPr>
          <w:sz w:val="20"/>
          <w:szCs w:val="20"/>
          <w:color w:val="auto"/>
        </w:rPr>
      </w:pPr>
      <w:r>
        <w:rPr>
          <w:rFonts w:ascii="Times New Roman" w:cs="Times New Roman" w:eastAsia="Times New Roman" w:hAnsi="Times New Roman"/>
          <w:sz w:val="22"/>
          <w:szCs w:val="22"/>
          <w:b w:val="1"/>
          <w:bCs w:val="1"/>
          <w:color w:val="auto"/>
        </w:rPr>
        <w:t>DEBT SECONDARIES II (USD)</w:t>
      </w:r>
    </w:p>
    <w:p>
      <w:pPr>
        <w:spacing w:after="0" w:line="182" w:lineRule="exact"/>
        <w:rPr>
          <w:sz w:val="20"/>
          <w:szCs w:val="20"/>
          <w:color w:val="auto"/>
        </w:rPr>
      </w:pPr>
    </w:p>
    <w:p>
      <w:pPr>
        <w:ind w:left="5080" w:right="560"/>
        <w:spacing w:after="0" w:line="258" w:lineRule="auto"/>
        <w:rPr>
          <w:sz w:val="20"/>
          <w:szCs w:val="20"/>
          <w:color w:val="auto"/>
        </w:rPr>
      </w:pPr>
      <w:r>
        <w:rPr>
          <w:rFonts w:ascii="Times New Roman" w:cs="Times New Roman" w:eastAsia="Times New Roman" w:hAnsi="Times New Roman"/>
          <w:sz w:val="22"/>
          <w:szCs w:val="22"/>
          <w:color w:val="auto"/>
        </w:rPr>
        <w:t>By: Pantheon Ventures (UK) LLP, its alternative investment fund manager</w:t>
      </w:r>
    </w:p>
    <w:p>
      <w:pPr>
        <w:spacing w:after="0" w:line="154" w:lineRule="exact"/>
        <w:rPr>
          <w:sz w:val="20"/>
          <w:szCs w:val="20"/>
          <w:color w:val="auto"/>
        </w:rPr>
      </w:pPr>
    </w:p>
    <w:p>
      <w:pPr>
        <w:ind w:left="5160"/>
        <w:spacing w:after="0"/>
        <w:tabs>
          <w:tab w:leader="none" w:pos="5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Kevin Dunwoodie</w:t>
      </w:r>
    </w:p>
    <w:p>
      <w:pPr>
        <w:spacing w:after="0" w:line="21" w:lineRule="exact"/>
        <w:rPr>
          <w:sz w:val="20"/>
          <w:szCs w:val="20"/>
          <w:color w:val="auto"/>
        </w:rPr>
      </w:pPr>
    </w:p>
    <w:tbl>
      <w:tblPr>
        <w:tblLayout w:type="fixed"/>
        <w:tblInd w:w="5760" w:type="dxa"/>
        <w:tblCellMar>
          <w:top w:w="0" w:type="dxa"/>
          <w:left w:w="0" w:type="dxa"/>
          <w:bottom w:w="0" w:type="dxa"/>
          <w:right w:w="0" w:type="dxa"/>
        </w:tblCellMar>
      </w:tblPr>
      <w:tr>
        <w:trPr>
          <w:trHeight w:val="209"/>
        </w:trPr>
        <w:tc>
          <w:tcPr>
            <w:tcW w:w="7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Borders>
              <w:top w:val="single" w:sz="8" w:color="auto"/>
            </w:tcBorders>
          </w:tcPr>
          <w:p>
            <w:pPr>
              <w:ind w:left="180"/>
              <w:spacing w:after="0" w:line="209" w:lineRule="exact"/>
              <w:rPr>
                <w:sz w:val="20"/>
                <w:szCs w:val="20"/>
                <w:color w:val="auto"/>
              </w:rPr>
            </w:pPr>
            <w:r>
              <w:rPr>
                <w:rFonts w:ascii="Times New Roman" w:cs="Times New Roman" w:eastAsia="Times New Roman" w:hAnsi="Times New Roman"/>
                <w:sz w:val="22"/>
                <w:szCs w:val="22"/>
                <w:color w:val="auto"/>
              </w:rPr>
              <w:t>Kevin Dunwoodie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Attorney in the United States</w:t>
            </w:r>
          </w:p>
        </w:tc>
      </w:tr>
    </w:tbl>
    <w:p>
      <w:pPr>
        <w:spacing w:after="0" w:line="17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b w:val="1"/>
          <w:bCs w:val="1"/>
          <w:color w:val="auto"/>
        </w:rPr>
        <w:t>SOLUTIO PREMIUM PRIVATE DEBT I SCSP</w:t>
      </w:r>
    </w:p>
    <w:p>
      <w:pPr>
        <w:spacing w:after="0" w:line="2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 Pantheon Ventures (UK) LLP, its investment manager</w:t>
      </w:r>
    </w:p>
    <w:p>
      <w:pPr>
        <w:spacing w:after="0" w:line="202" w:lineRule="exact"/>
        <w:rPr>
          <w:sz w:val="20"/>
          <w:szCs w:val="20"/>
          <w:color w:val="auto"/>
        </w:rPr>
      </w:pPr>
    </w:p>
    <w:p>
      <w:pPr>
        <w:ind w:left="5160"/>
        <w:spacing w:after="0"/>
        <w:tabs>
          <w:tab w:leader="none" w:pos="5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Kevin Dunwoodie</w:t>
      </w:r>
    </w:p>
    <w:p>
      <w:pPr>
        <w:spacing w:after="0" w:line="21" w:lineRule="exact"/>
        <w:rPr>
          <w:sz w:val="20"/>
          <w:szCs w:val="20"/>
          <w:color w:val="auto"/>
        </w:rPr>
      </w:pPr>
    </w:p>
    <w:tbl>
      <w:tblPr>
        <w:tblLayout w:type="fixed"/>
        <w:tblInd w:w="5760" w:type="dxa"/>
        <w:tblCellMar>
          <w:top w:w="0" w:type="dxa"/>
          <w:left w:w="0" w:type="dxa"/>
          <w:bottom w:w="0" w:type="dxa"/>
          <w:right w:w="0" w:type="dxa"/>
        </w:tblCellMar>
      </w:tblPr>
      <w:tr>
        <w:trPr>
          <w:trHeight w:val="209"/>
        </w:trPr>
        <w:tc>
          <w:tcPr>
            <w:tcW w:w="7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Borders>
              <w:top w:val="single" w:sz="8" w:color="auto"/>
            </w:tcBorders>
          </w:tcPr>
          <w:p>
            <w:pPr>
              <w:ind w:left="180"/>
              <w:spacing w:after="0" w:line="209" w:lineRule="exact"/>
              <w:rPr>
                <w:sz w:val="20"/>
                <w:szCs w:val="20"/>
                <w:color w:val="auto"/>
              </w:rPr>
            </w:pPr>
            <w:r>
              <w:rPr>
                <w:rFonts w:ascii="Times New Roman" w:cs="Times New Roman" w:eastAsia="Times New Roman" w:hAnsi="Times New Roman"/>
                <w:sz w:val="22"/>
                <w:szCs w:val="22"/>
                <w:color w:val="auto"/>
              </w:rPr>
              <w:t>Kevin Dunwoodie</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Attorney in the United States</w:t>
            </w:r>
          </w:p>
        </w:tc>
      </w:tr>
    </w:tbl>
    <w:p>
      <w:pPr>
        <w:spacing w:after="0" w:line="173" w:lineRule="exact"/>
        <w:rPr>
          <w:sz w:val="20"/>
          <w:szCs w:val="20"/>
          <w:color w:val="auto"/>
        </w:rPr>
      </w:pPr>
    </w:p>
    <w:p>
      <w:pPr>
        <w:ind w:left="5080" w:right="200"/>
        <w:spacing w:after="0" w:line="246" w:lineRule="auto"/>
        <w:rPr>
          <w:sz w:val="20"/>
          <w:szCs w:val="20"/>
          <w:color w:val="auto"/>
        </w:rPr>
      </w:pPr>
      <w:r>
        <w:rPr>
          <w:rFonts w:ascii="Times New Roman" w:cs="Times New Roman" w:eastAsia="Times New Roman" w:hAnsi="Times New Roman"/>
          <w:sz w:val="22"/>
          <w:szCs w:val="22"/>
          <w:b w:val="1"/>
          <w:bCs w:val="1"/>
          <w:color w:val="auto"/>
        </w:rPr>
        <w:t>PANTHEON PRIVATE DEBT PROGRAM SCSP SICAV-RAIF IN RESPECT OF ITS COMPARTMENT PANTHEON CREDIT OPPORTUNITIES II (USD)</w:t>
      </w:r>
    </w:p>
    <w:p>
      <w:pPr>
        <w:spacing w:after="0" w:line="171" w:lineRule="exact"/>
        <w:rPr>
          <w:sz w:val="20"/>
          <w:szCs w:val="20"/>
          <w:color w:val="auto"/>
        </w:rPr>
      </w:pPr>
    </w:p>
    <w:p>
      <w:pPr>
        <w:ind w:left="5080" w:right="560"/>
        <w:spacing w:after="0" w:line="258" w:lineRule="auto"/>
        <w:rPr>
          <w:sz w:val="20"/>
          <w:szCs w:val="20"/>
          <w:color w:val="auto"/>
        </w:rPr>
      </w:pPr>
      <w:r>
        <w:rPr>
          <w:rFonts w:ascii="Times New Roman" w:cs="Times New Roman" w:eastAsia="Times New Roman" w:hAnsi="Times New Roman"/>
          <w:sz w:val="22"/>
          <w:szCs w:val="22"/>
          <w:color w:val="auto"/>
        </w:rPr>
        <w:t>By: Pantheon Ventures (UK) LLP, its alternative investment fund manager</w:t>
      </w:r>
    </w:p>
    <w:p>
      <w:pPr>
        <w:spacing w:after="0" w:line="154" w:lineRule="exact"/>
        <w:rPr>
          <w:sz w:val="20"/>
          <w:szCs w:val="20"/>
          <w:color w:val="auto"/>
        </w:rPr>
      </w:pPr>
    </w:p>
    <w:p>
      <w:pPr>
        <w:ind w:left="5160"/>
        <w:spacing w:after="0"/>
        <w:tabs>
          <w:tab w:leader="none" w:pos="5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Rakesh Jain</w:t>
      </w:r>
    </w:p>
    <w:p>
      <w:pPr>
        <w:spacing w:after="0" w:line="21" w:lineRule="exact"/>
        <w:rPr>
          <w:sz w:val="20"/>
          <w:szCs w:val="20"/>
          <w:color w:val="auto"/>
        </w:rPr>
      </w:pPr>
    </w:p>
    <w:tbl>
      <w:tblPr>
        <w:tblLayout w:type="fixed"/>
        <w:tblInd w:w="5760" w:type="dxa"/>
        <w:tblCellMar>
          <w:top w:w="0" w:type="dxa"/>
          <w:left w:w="0" w:type="dxa"/>
          <w:bottom w:w="0" w:type="dxa"/>
          <w:right w:w="0" w:type="dxa"/>
        </w:tblCellMar>
      </w:tblPr>
      <w:tr>
        <w:trPr>
          <w:trHeight w:val="209"/>
        </w:trPr>
        <w:tc>
          <w:tcPr>
            <w:tcW w:w="7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Borders>
              <w:top w:val="single" w:sz="8" w:color="auto"/>
            </w:tcBorders>
          </w:tcPr>
          <w:p>
            <w:pPr>
              <w:ind w:left="180"/>
              <w:spacing w:after="0" w:line="209" w:lineRule="exact"/>
              <w:rPr>
                <w:sz w:val="20"/>
                <w:szCs w:val="20"/>
                <w:color w:val="auto"/>
              </w:rPr>
            </w:pPr>
            <w:r>
              <w:rPr>
                <w:rFonts w:ascii="Times New Roman" w:cs="Times New Roman" w:eastAsia="Times New Roman" w:hAnsi="Times New Roman"/>
                <w:sz w:val="22"/>
                <w:szCs w:val="22"/>
                <w:color w:val="auto"/>
              </w:rPr>
              <w:t>Rakesh Jain</w:t>
            </w:r>
          </w:p>
        </w:tc>
      </w:tr>
      <w:tr>
        <w:trPr>
          <w:trHeight w:val="282"/>
        </w:trPr>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Attorney in the United States</w:t>
            </w:r>
          </w:p>
        </w:tc>
      </w:tr>
    </w:tbl>
    <w:p>
      <w:pPr>
        <w:spacing w:after="0" w:line="173" w:lineRule="exact"/>
        <w:rPr>
          <w:sz w:val="20"/>
          <w:szCs w:val="20"/>
          <w:color w:val="auto"/>
        </w:rPr>
      </w:pPr>
    </w:p>
    <w:p>
      <w:pPr>
        <w:ind w:left="5080" w:right="300"/>
        <w:spacing w:after="0" w:line="246" w:lineRule="auto"/>
        <w:rPr>
          <w:sz w:val="20"/>
          <w:szCs w:val="20"/>
          <w:color w:val="auto"/>
        </w:rPr>
      </w:pPr>
      <w:r>
        <w:rPr>
          <w:rFonts w:ascii="Times New Roman" w:cs="Times New Roman" w:eastAsia="Times New Roman" w:hAnsi="Times New Roman"/>
          <w:sz w:val="22"/>
          <w:szCs w:val="22"/>
          <w:b w:val="1"/>
          <w:bCs w:val="1"/>
          <w:color w:val="auto"/>
        </w:rPr>
        <w:t>PANTHEON PRIVATE DEBT PROGRAM SCSP SICAV-RAIF IN RESPECT OF ITS COMPARTMENT TUBERA CREDIT 2020</w:t>
      </w:r>
    </w:p>
    <w:p>
      <w:pPr>
        <w:spacing w:after="0" w:line="171" w:lineRule="exact"/>
        <w:rPr>
          <w:sz w:val="20"/>
          <w:szCs w:val="20"/>
          <w:color w:val="auto"/>
        </w:rPr>
      </w:pPr>
    </w:p>
    <w:p>
      <w:pPr>
        <w:ind w:left="5080" w:right="560"/>
        <w:spacing w:after="0" w:line="258" w:lineRule="auto"/>
        <w:rPr>
          <w:sz w:val="20"/>
          <w:szCs w:val="20"/>
          <w:color w:val="auto"/>
        </w:rPr>
      </w:pPr>
      <w:r>
        <w:rPr>
          <w:rFonts w:ascii="Times New Roman" w:cs="Times New Roman" w:eastAsia="Times New Roman" w:hAnsi="Times New Roman"/>
          <w:sz w:val="22"/>
          <w:szCs w:val="22"/>
          <w:color w:val="auto"/>
        </w:rPr>
        <w:t>By: Pantheon Ventures (UK) LLP, its alternative investment fund manager</w:t>
      </w:r>
    </w:p>
    <w:p>
      <w:pPr>
        <w:spacing w:after="0" w:line="154" w:lineRule="exact"/>
        <w:rPr>
          <w:sz w:val="20"/>
          <w:szCs w:val="20"/>
          <w:color w:val="auto"/>
        </w:rPr>
      </w:pPr>
    </w:p>
    <w:p>
      <w:pPr>
        <w:ind w:left="5160"/>
        <w:spacing w:after="0"/>
        <w:tabs>
          <w:tab w:leader="none" w:pos="5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i w:val="1"/>
          <w:iCs w:val="1"/>
          <w:color w:val="auto"/>
        </w:rPr>
        <w:t>s/ Rakesh Jain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60" w:type="dxa"/>
            <w:vAlign w:val="bottom"/>
          </w:tcPr>
          <w:p>
            <w:pPr>
              <w:spacing w:after="0"/>
              <w:rPr>
                <w:sz w:val="18"/>
                <w:szCs w:val="18"/>
                <w:color w:val="auto"/>
              </w:rPr>
            </w:pPr>
          </w:p>
        </w:tc>
        <w:tc>
          <w:tcPr>
            <w:tcW w:w="760" w:type="dxa"/>
            <w:vAlign w:val="bottom"/>
            <w:tcBorders>
              <w:top w:val="single" w:sz="8" w:color="auto"/>
            </w:tcBorders>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4720" w:type="dxa"/>
            <w:vAlign w:val="bottom"/>
            <w:tcBorders>
              <w:top w:val="single" w:sz="8" w:color="auto"/>
            </w:tcBorders>
          </w:tcPr>
          <w:p>
            <w:pPr>
              <w:ind w:left="180"/>
              <w:spacing w:after="0" w:line="209" w:lineRule="exact"/>
              <w:rPr>
                <w:sz w:val="20"/>
                <w:szCs w:val="20"/>
                <w:color w:val="auto"/>
              </w:rPr>
            </w:pPr>
            <w:r>
              <w:rPr>
                <w:rFonts w:ascii="Times New Roman" w:cs="Times New Roman" w:eastAsia="Times New Roman" w:hAnsi="Times New Roman"/>
                <w:sz w:val="22"/>
                <w:szCs w:val="22"/>
                <w:color w:val="auto"/>
              </w:rPr>
              <w:t>Rakesh Jain</w:t>
            </w:r>
          </w:p>
        </w:tc>
        <w:tc>
          <w:tcPr>
            <w:tcW w:w="20" w:type="dxa"/>
            <w:vAlign w:val="bottom"/>
          </w:tcPr>
          <w:p>
            <w:pPr>
              <w:spacing w:after="0"/>
              <w:rPr>
                <w:sz w:val="18"/>
                <w:szCs w:val="18"/>
                <w:color w:val="auto"/>
              </w:rPr>
            </w:pPr>
          </w:p>
        </w:tc>
      </w:tr>
      <w:tr>
        <w:trPr>
          <w:trHeight w:val="282"/>
        </w:trPr>
        <w:tc>
          <w:tcPr>
            <w:tcW w:w="576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472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Attorney in the United States</w:t>
            </w:r>
          </w:p>
        </w:tc>
        <w:tc>
          <w:tcPr>
            <w:tcW w:w="20" w:type="dxa"/>
            <w:vAlign w:val="bottom"/>
          </w:tcPr>
          <w:p>
            <w:pPr>
              <w:spacing w:after="0"/>
              <w:rPr>
                <w:sz w:val="24"/>
                <w:szCs w:val="24"/>
                <w:color w:val="auto"/>
              </w:rPr>
            </w:pPr>
          </w:p>
        </w:tc>
      </w:tr>
      <w:tr>
        <w:trPr>
          <w:trHeight w:val="1183"/>
        </w:trPr>
        <w:tc>
          <w:tcPr>
            <w:tcW w:w="57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Capitalization</w:t>
      </w:r>
    </w:p>
    <w:p>
      <w:pPr>
        <w:spacing w:after="0" w:line="217" w:lineRule="exact"/>
        <w:rPr>
          <w:sz w:val="20"/>
          <w:szCs w:val="20"/>
          <w:color w:val="auto"/>
        </w:rPr>
      </w:pPr>
    </w:p>
    <w:tbl>
      <w:tblPr>
        <w:tblLayout w:type="fixed"/>
        <w:tblInd w:w="1890" w:type="dxa"/>
        <w:tblCellMar>
          <w:top w:w="0" w:type="dxa"/>
          <w:left w:w="0" w:type="dxa"/>
          <w:bottom w:w="0" w:type="dxa"/>
          <w:right w:w="0" w:type="dxa"/>
        </w:tblCellMar>
      </w:tblPr>
      <w:tr>
        <w:trPr>
          <w:trHeight w:val="256"/>
        </w:trPr>
        <w:tc>
          <w:tcPr>
            <w:tcW w:w="3760" w:type="dxa"/>
            <w:vAlign w:val="bottom"/>
            <w:tcBorders>
              <w:top w:val="single" w:sz="8" w:color="auto"/>
              <w:left w:val="single" w:sz="8" w:color="auto"/>
              <w:bottom w:val="single" w:sz="8" w:color="auto"/>
              <w:right w:val="single" w:sz="8" w:color="auto"/>
            </w:tcBorders>
            <w:shd w:val="clear" w:color="auto" w:fill="E5E5E5"/>
          </w:tcPr>
          <w:p>
            <w:pPr>
              <w:ind w:left="1480"/>
              <w:spacing w:after="0"/>
              <w:rPr>
                <w:sz w:val="20"/>
                <w:szCs w:val="20"/>
                <w:color w:val="auto"/>
              </w:rPr>
            </w:pPr>
            <w:r>
              <w:rPr>
                <w:rFonts w:ascii="Times New Roman" w:cs="Times New Roman" w:eastAsia="Times New Roman" w:hAnsi="Times New Roman"/>
                <w:sz w:val="22"/>
                <w:szCs w:val="22"/>
                <w:b w:val="1"/>
                <w:bCs w:val="1"/>
                <w:color w:val="auto"/>
              </w:rPr>
              <w:t>Member</w:t>
            </w:r>
          </w:p>
        </w:tc>
        <w:tc>
          <w:tcPr>
            <w:tcW w:w="3740" w:type="dxa"/>
            <w:vAlign w:val="bottom"/>
            <w:tcBorders>
              <w:top w:val="single" w:sz="8" w:color="auto"/>
              <w:bottom w:val="single" w:sz="8" w:color="auto"/>
              <w:right w:val="single" w:sz="8" w:color="auto"/>
            </w:tcBorders>
            <w:shd w:val="clear" w:color="auto" w:fill="E5E5E5"/>
          </w:tcPr>
          <w:p>
            <w:pPr>
              <w:ind w:left="540"/>
              <w:spacing w:after="0"/>
              <w:rPr>
                <w:sz w:val="20"/>
                <w:szCs w:val="20"/>
                <w:color w:val="auto"/>
              </w:rPr>
            </w:pPr>
            <w:r>
              <w:rPr>
                <w:rFonts w:ascii="Times New Roman" w:cs="Times New Roman" w:eastAsia="Times New Roman" w:hAnsi="Times New Roman"/>
                <w:sz w:val="22"/>
                <w:szCs w:val="22"/>
                <w:b w:val="1"/>
                <w:bCs w:val="1"/>
                <w:color w:val="auto"/>
              </w:rPr>
              <w:t>Capital Contribution (U.S.$)</w:t>
            </w:r>
          </w:p>
        </w:tc>
      </w:tr>
      <w:tr>
        <w:trPr>
          <w:trHeight w:val="237"/>
        </w:trPr>
        <w:tc>
          <w:tcPr>
            <w:tcW w:w="3760" w:type="dxa"/>
            <w:vAlign w:val="bottom"/>
            <w:tcBorders>
              <w:left w:val="single" w:sz="8" w:color="auto"/>
              <w:bottom w:val="single" w:sz="8" w:color="auto"/>
              <w:right w:val="single" w:sz="8" w:color="auto"/>
            </w:tcBorders>
            <w:shd w:val="clear" w:color="auto" w:fill="F2F2F2"/>
          </w:tcPr>
          <w:p>
            <w:pPr>
              <w:ind w:left="100"/>
              <w:spacing w:after="0" w:line="237" w:lineRule="exact"/>
              <w:rPr>
                <w:sz w:val="20"/>
                <w:szCs w:val="20"/>
                <w:color w:val="auto"/>
              </w:rPr>
            </w:pPr>
            <w:r>
              <w:rPr>
                <w:rFonts w:ascii="Times New Roman" w:cs="Times New Roman" w:eastAsia="Times New Roman" w:hAnsi="Times New Roman"/>
                <w:sz w:val="22"/>
                <w:szCs w:val="22"/>
                <w:i w:val="1"/>
                <w:iCs w:val="1"/>
                <w:color w:val="auto"/>
              </w:rPr>
              <w:t>PNNT</w:t>
            </w:r>
          </w:p>
        </w:tc>
        <w:tc>
          <w:tcPr>
            <w:tcW w:w="3740" w:type="dxa"/>
            <w:vAlign w:val="bottom"/>
            <w:tcBorders>
              <w:bottom w:val="single" w:sz="8" w:color="auto"/>
              <w:right w:val="single" w:sz="8" w:color="auto"/>
            </w:tcBorders>
            <w:shd w:val="clear" w:color="auto" w:fill="F2F2F2"/>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$27,671,646.50</w:t>
            </w:r>
          </w:p>
        </w:tc>
      </w:tr>
      <w:tr>
        <w:trPr>
          <w:trHeight w:val="237"/>
        </w:trPr>
        <w:tc>
          <w:tcPr>
            <w:tcW w:w="3760" w:type="dxa"/>
            <w:vAlign w:val="bottom"/>
            <w:tcBorders>
              <w:left w:val="single" w:sz="8" w:color="auto"/>
              <w:bottom w:val="single" w:sz="8" w:color="auto"/>
              <w:right w:val="single" w:sz="8" w:color="auto"/>
            </w:tcBorders>
          </w:tcPr>
          <w:p>
            <w:pPr>
              <w:ind w:left="320"/>
              <w:spacing w:after="0" w:line="237" w:lineRule="exact"/>
              <w:rPr>
                <w:sz w:val="20"/>
                <w:szCs w:val="20"/>
                <w:color w:val="auto"/>
              </w:rPr>
            </w:pPr>
            <w:r>
              <w:rPr>
                <w:rFonts w:ascii="Times New Roman" w:cs="Times New Roman" w:eastAsia="Times New Roman" w:hAnsi="Times New Roman"/>
                <w:sz w:val="22"/>
                <w:szCs w:val="22"/>
                <w:color w:val="auto"/>
              </w:rPr>
              <w:t>PennantPark Investment Corporation</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$27,671,646.50</w:t>
            </w:r>
          </w:p>
        </w:tc>
      </w:tr>
      <w:tr>
        <w:trPr>
          <w:trHeight w:val="237"/>
        </w:trPr>
        <w:tc>
          <w:tcPr>
            <w:tcW w:w="3760" w:type="dxa"/>
            <w:vAlign w:val="bottom"/>
            <w:tcBorders>
              <w:left w:val="single" w:sz="8" w:color="auto"/>
              <w:bottom w:val="single" w:sz="8" w:color="auto"/>
              <w:right w:val="single" w:sz="8" w:color="auto"/>
            </w:tcBorders>
            <w:shd w:val="clear" w:color="auto" w:fill="F2F2F2"/>
          </w:tcPr>
          <w:p>
            <w:pPr>
              <w:ind w:left="100"/>
              <w:spacing w:after="0" w:line="237" w:lineRule="exact"/>
              <w:rPr>
                <w:sz w:val="20"/>
                <w:szCs w:val="20"/>
                <w:color w:val="auto"/>
              </w:rPr>
            </w:pPr>
            <w:r>
              <w:rPr>
                <w:rFonts w:ascii="Times New Roman" w:cs="Times New Roman" w:eastAsia="Times New Roman" w:hAnsi="Times New Roman"/>
                <w:sz w:val="22"/>
                <w:szCs w:val="22"/>
                <w:i w:val="1"/>
                <w:iCs w:val="1"/>
                <w:color w:val="auto"/>
              </w:rPr>
              <w:t>Pantheon</w:t>
            </w:r>
          </w:p>
        </w:tc>
        <w:tc>
          <w:tcPr>
            <w:tcW w:w="3740" w:type="dxa"/>
            <w:vAlign w:val="bottom"/>
            <w:tcBorders>
              <w:bottom w:val="single" w:sz="8" w:color="auto"/>
              <w:right w:val="single" w:sz="8" w:color="auto"/>
            </w:tcBorders>
            <w:shd w:val="clear" w:color="auto" w:fill="F2F2F2"/>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$20,613,958.35</w:t>
            </w:r>
          </w:p>
        </w:tc>
      </w:tr>
      <w:tr>
        <w:trPr>
          <w:trHeight w:val="237"/>
        </w:trPr>
        <w:tc>
          <w:tcPr>
            <w:tcW w:w="3760" w:type="dxa"/>
            <w:vAlign w:val="bottom"/>
            <w:tcBorders>
              <w:left w:val="single" w:sz="8" w:color="auto"/>
              <w:bottom w:val="single" w:sz="8" w:color="auto"/>
              <w:right w:val="single" w:sz="8" w:color="auto"/>
            </w:tcBorders>
          </w:tcPr>
          <w:p>
            <w:pPr>
              <w:ind w:left="320"/>
              <w:spacing w:after="0" w:line="237" w:lineRule="exact"/>
              <w:rPr>
                <w:sz w:val="20"/>
                <w:szCs w:val="20"/>
                <w:color w:val="auto"/>
              </w:rPr>
            </w:pPr>
            <w:r>
              <w:rPr>
                <w:rFonts w:ascii="Times New Roman" w:cs="Times New Roman" w:eastAsia="Times New Roman" w:hAnsi="Times New Roman"/>
                <w:sz w:val="22"/>
                <w:szCs w:val="22"/>
                <w:color w:val="auto"/>
              </w:rPr>
              <w:t>PPDP</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$8,400,000.00</w:t>
            </w:r>
          </w:p>
        </w:tc>
      </w:tr>
      <w:tr>
        <w:trPr>
          <w:trHeight w:val="236"/>
        </w:trPr>
        <w:tc>
          <w:tcPr>
            <w:tcW w:w="3760" w:type="dxa"/>
            <w:vAlign w:val="bottom"/>
            <w:tcBorders>
              <w:left w:val="single" w:sz="8" w:color="auto"/>
              <w:bottom w:val="single" w:sz="8" w:color="auto"/>
              <w:right w:val="single" w:sz="8" w:color="auto"/>
            </w:tcBorders>
          </w:tcPr>
          <w:p>
            <w:pPr>
              <w:ind w:left="320"/>
              <w:spacing w:after="0" w:line="237" w:lineRule="exact"/>
              <w:rPr>
                <w:sz w:val="20"/>
                <w:szCs w:val="20"/>
                <w:color w:val="auto"/>
              </w:rPr>
            </w:pPr>
            <w:r>
              <w:rPr>
                <w:rFonts w:ascii="Times New Roman" w:cs="Times New Roman" w:eastAsia="Times New Roman" w:hAnsi="Times New Roman"/>
                <w:sz w:val="22"/>
                <w:szCs w:val="22"/>
                <w:color w:val="auto"/>
              </w:rPr>
              <w:t>SPPD</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$2,100,000.00</w:t>
            </w:r>
          </w:p>
        </w:tc>
      </w:tr>
      <w:tr>
        <w:trPr>
          <w:trHeight w:val="237"/>
        </w:trPr>
        <w:tc>
          <w:tcPr>
            <w:tcW w:w="3760" w:type="dxa"/>
            <w:vAlign w:val="bottom"/>
            <w:tcBorders>
              <w:left w:val="single" w:sz="8" w:color="auto"/>
              <w:bottom w:val="single" w:sz="8" w:color="auto"/>
              <w:right w:val="single" w:sz="8" w:color="auto"/>
            </w:tcBorders>
          </w:tcPr>
          <w:p>
            <w:pPr>
              <w:ind w:left="320"/>
              <w:spacing w:after="0" w:line="237" w:lineRule="exact"/>
              <w:rPr>
                <w:sz w:val="20"/>
                <w:szCs w:val="20"/>
                <w:color w:val="auto"/>
              </w:rPr>
            </w:pPr>
            <w:r>
              <w:rPr>
                <w:rFonts w:ascii="Times New Roman" w:cs="Times New Roman" w:eastAsia="Times New Roman" w:hAnsi="Times New Roman"/>
                <w:sz w:val="22"/>
                <w:szCs w:val="22"/>
                <w:color w:val="auto"/>
              </w:rPr>
              <w:t>PCO II USD</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$4,456,048.96</w:t>
            </w:r>
          </w:p>
        </w:tc>
      </w:tr>
      <w:tr>
        <w:trPr>
          <w:trHeight w:val="237"/>
        </w:trPr>
        <w:tc>
          <w:tcPr>
            <w:tcW w:w="3760" w:type="dxa"/>
            <w:vAlign w:val="bottom"/>
            <w:tcBorders>
              <w:left w:val="single" w:sz="8" w:color="auto"/>
              <w:bottom w:val="single" w:sz="8" w:color="auto"/>
              <w:right w:val="single" w:sz="8" w:color="auto"/>
            </w:tcBorders>
          </w:tcPr>
          <w:p>
            <w:pPr>
              <w:ind w:left="320"/>
              <w:spacing w:after="0" w:line="237" w:lineRule="exact"/>
              <w:rPr>
                <w:sz w:val="20"/>
                <w:szCs w:val="20"/>
                <w:color w:val="auto"/>
              </w:rPr>
            </w:pPr>
            <w:r>
              <w:rPr>
                <w:rFonts w:ascii="Times New Roman" w:cs="Times New Roman" w:eastAsia="Times New Roman" w:hAnsi="Times New Roman"/>
                <w:sz w:val="22"/>
                <w:szCs w:val="22"/>
                <w:color w:val="auto"/>
              </w:rPr>
              <w:t>Tubera</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$5,657,909.39</w:t>
            </w: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00" w:type="dxa"/>
            <w:vAlign w:val="bottom"/>
            <w:tcBorders>
              <w:right w:val="single" w:sz="8" w:color="auto"/>
            </w:tcBorders>
          </w:tcPr>
          <w:p>
            <w:pPr>
              <w:spacing w:after="0"/>
              <w:rPr>
                <w:sz w:val="22"/>
                <w:szCs w:val="22"/>
                <w:color w:val="auto"/>
              </w:rPr>
            </w:pPr>
          </w:p>
        </w:tc>
        <w:tc>
          <w:tcPr>
            <w:tcW w:w="3740" w:type="dxa"/>
            <w:vAlign w:val="bottom"/>
            <w:tcBorders>
              <w:top w:val="single" w:sz="8" w:color="auto"/>
              <w:bottom w:val="single" w:sz="8" w:color="auto"/>
              <w:right w:val="single" w:sz="8" w:color="auto"/>
            </w:tcBorders>
            <w:shd w:val="clear" w:color="auto" w:fill="E5E5E5"/>
          </w:tcPr>
          <w:p>
            <w:pPr>
              <w:ind w:left="1460"/>
              <w:spacing w:after="0"/>
              <w:rPr>
                <w:sz w:val="20"/>
                <w:szCs w:val="20"/>
                <w:color w:val="auto"/>
              </w:rPr>
            </w:pPr>
            <w:r>
              <w:rPr>
                <w:rFonts w:ascii="Times New Roman" w:cs="Times New Roman" w:eastAsia="Times New Roman" w:hAnsi="Times New Roman"/>
                <w:sz w:val="22"/>
                <w:szCs w:val="22"/>
                <w:b w:val="1"/>
                <w:bCs w:val="1"/>
                <w:color w:val="auto"/>
              </w:rPr>
              <w:t>Member</w:t>
            </w:r>
          </w:p>
        </w:tc>
        <w:tc>
          <w:tcPr>
            <w:tcW w:w="3740" w:type="dxa"/>
            <w:vAlign w:val="bottom"/>
            <w:tcBorders>
              <w:top w:val="single" w:sz="8" w:color="auto"/>
              <w:bottom w:val="single" w:sz="8" w:color="auto"/>
              <w:right w:val="single" w:sz="8" w:color="auto"/>
            </w:tcBorders>
            <w:shd w:val="clear" w:color="auto" w:fill="E5E5E5"/>
          </w:tcPr>
          <w:p>
            <w:pPr>
              <w:ind w:left="920"/>
              <w:spacing w:after="0"/>
              <w:rPr>
                <w:sz w:val="20"/>
                <w:szCs w:val="20"/>
                <w:color w:val="auto"/>
              </w:rPr>
            </w:pPr>
            <w:r>
              <w:rPr>
                <w:rFonts w:ascii="Times New Roman" w:cs="Times New Roman" w:eastAsia="Times New Roman" w:hAnsi="Times New Roman"/>
                <w:sz w:val="22"/>
                <w:szCs w:val="22"/>
                <w:b w:val="1"/>
                <w:bCs w:val="1"/>
                <w:color w:val="auto"/>
              </w:rPr>
              <w:t>Proportionate Share</w:t>
            </w:r>
          </w:p>
        </w:tc>
        <w:tc>
          <w:tcPr>
            <w:tcW w:w="1880" w:type="dxa"/>
            <w:vAlign w:val="bottom"/>
          </w:tcPr>
          <w:p>
            <w:pPr>
              <w:spacing w:after="0"/>
              <w:rPr>
                <w:sz w:val="22"/>
                <w:szCs w:val="22"/>
                <w:color w:val="auto"/>
              </w:rPr>
            </w:pPr>
          </w:p>
        </w:tc>
      </w:tr>
      <w:tr>
        <w:trPr>
          <w:trHeight w:val="237"/>
        </w:trPr>
        <w:tc>
          <w:tcPr>
            <w:tcW w:w="1900" w:type="dxa"/>
            <w:vAlign w:val="bottom"/>
            <w:tcBorders>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shd w:val="clear" w:color="auto" w:fill="F2F2F2"/>
          </w:tcPr>
          <w:p>
            <w:pPr>
              <w:ind w:left="80"/>
              <w:spacing w:after="0" w:line="237" w:lineRule="exact"/>
              <w:rPr>
                <w:sz w:val="20"/>
                <w:szCs w:val="20"/>
                <w:color w:val="auto"/>
              </w:rPr>
            </w:pPr>
            <w:r>
              <w:rPr>
                <w:rFonts w:ascii="Times New Roman" w:cs="Times New Roman" w:eastAsia="Times New Roman" w:hAnsi="Times New Roman"/>
                <w:sz w:val="22"/>
                <w:szCs w:val="22"/>
                <w:i w:val="1"/>
                <w:iCs w:val="1"/>
                <w:color w:val="auto"/>
              </w:rPr>
              <w:t>PNNT</w:t>
            </w:r>
          </w:p>
        </w:tc>
        <w:tc>
          <w:tcPr>
            <w:tcW w:w="3740" w:type="dxa"/>
            <w:vAlign w:val="bottom"/>
            <w:tcBorders>
              <w:bottom w:val="single" w:sz="8" w:color="auto"/>
              <w:right w:val="single" w:sz="8" w:color="auto"/>
            </w:tcBorders>
            <w:shd w:val="clear" w:color="auto" w:fill="F2F2F2"/>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60.500%</w:t>
            </w:r>
          </w:p>
        </w:tc>
        <w:tc>
          <w:tcPr>
            <w:tcW w:w="1880" w:type="dxa"/>
            <w:vAlign w:val="bottom"/>
          </w:tcPr>
          <w:p>
            <w:pPr>
              <w:spacing w:after="0"/>
              <w:rPr>
                <w:sz w:val="20"/>
                <w:szCs w:val="20"/>
                <w:color w:val="auto"/>
              </w:rPr>
            </w:pPr>
          </w:p>
        </w:tc>
      </w:tr>
      <w:tr>
        <w:trPr>
          <w:trHeight w:val="237"/>
        </w:trPr>
        <w:tc>
          <w:tcPr>
            <w:tcW w:w="1900" w:type="dxa"/>
            <w:vAlign w:val="bottom"/>
            <w:tcBorders>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300"/>
              <w:spacing w:after="0" w:line="237" w:lineRule="exact"/>
              <w:rPr>
                <w:sz w:val="20"/>
                <w:szCs w:val="20"/>
                <w:color w:val="auto"/>
              </w:rPr>
            </w:pPr>
            <w:r>
              <w:rPr>
                <w:rFonts w:ascii="Times New Roman" w:cs="Times New Roman" w:eastAsia="Times New Roman" w:hAnsi="Times New Roman"/>
                <w:sz w:val="22"/>
                <w:szCs w:val="22"/>
                <w:color w:val="auto"/>
              </w:rPr>
              <w:t>PennantPark Investment Corporation</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60.500%</w:t>
            </w:r>
          </w:p>
        </w:tc>
        <w:tc>
          <w:tcPr>
            <w:tcW w:w="1880" w:type="dxa"/>
            <w:vAlign w:val="bottom"/>
          </w:tcPr>
          <w:p>
            <w:pPr>
              <w:spacing w:after="0"/>
              <w:rPr>
                <w:sz w:val="20"/>
                <w:szCs w:val="20"/>
                <w:color w:val="auto"/>
              </w:rPr>
            </w:pPr>
          </w:p>
        </w:tc>
      </w:tr>
      <w:tr>
        <w:trPr>
          <w:trHeight w:val="237"/>
        </w:trPr>
        <w:tc>
          <w:tcPr>
            <w:tcW w:w="1900" w:type="dxa"/>
            <w:vAlign w:val="bottom"/>
            <w:tcBorders>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shd w:val="clear" w:color="auto" w:fill="F2F2F2"/>
          </w:tcPr>
          <w:p>
            <w:pPr>
              <w:ind w:left="80"/>
              <w:spacing w:after="0" w:line="237" w:lineRule="exact"/>
              <w:rPr>
                <w:sz w:val="20"/>
                <w:szCs w:val="20"/>
                <w:color w:val="auto"/>
              </w:rPr>
            </w:pPr>
            <w:r>
              <w:rPr>
                <w:rFonts w:ascii="Times New Roman" w:cs="Times New Roman" w:eastAsia="Times New Roman" w:hAnsi="Times New Roman"/>
                <w:sz w:val="22"/>
                <w:szCs w:val="22"/>
                <w:i w:val="1"/>
                <w:iCs w:val="1"/>
                <w:color w:val="auto"/>
              </w:rPr>
              <w:t>Pantheon</w:t>
            </w:r>
          </w:p>
        </w:tc>
        <w:tc>
          <w:tcPr>
            <w:tcW w:w="3740" w:type="dxa"/>
            <w:vAlign w:val="bottom"/>
            <w:tcBorders>
              <w:bottom w:val="single" w:sz="8" w:color="auto"/>
              <w:right w:val="single" w:sz="8" w:color="auto"/>
            </w:tcBorders>
            <w:shd w:val="clear" w:color="auto" w:fill="F2F2F2"/>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39.500%</w:t>
            </w:r>
          </w:p>
        </w:tc>
        <w:tc>
          <w:tcPr>
            <w:tcW w:w="1880" w:type="dxa"/>
            <w:vAlign w:val="bottom"/>
          </w:tcPr>
          <w:p>
            <w:pPr>
              <w:spacing w:after="0"/>
              <w:rPr>
                <w:sz w:val="20"/>
                <w:szCs w:val="20"/>
                <w:color w:val="auto"/>
              </w:rPr>
            </w:pPr>
          </w:p>
        </w:tc>
      </w:tr>
      <w:tr>
        <w:trPr>
          <w:trHeight w:val="236"/>
        </w:trPr>
        <w:tc>
          <w:tcPr>
            <w:tcW w:w="1900" w:type="dxa"/>
            <w:vAlign w:val="bottom"/>
            <w:tcBorders>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300"/>
              <w:spacing w:after="0" w:line="237" w:lineRule="exact"/>
              <w:rPr>
                <w:sz w:val="20"/>
                <w:szCs w:val="20"/>
                <w:color w:val="auto"/>
              </w:rPr>
            </w:pPr>
            <w:r>
              <w:rPr>
                <w:rFonts w:ascii="Times New Roman" w:cs="Times New Roman" w:eastAsia="Times New Roman" w:hAnsi="Times New Roman"/>
                <w:sz w:val="22"/>
                <w:szCs w:val="22"/>
                <w:color w:val="auto"/>
              </w:rPr>
              <w:t>PPDP</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18.483%</w:t>
            </w:r>
          </w:p>
        </w:tc>
        <w:tc>
          <w:tcPr>
            <w:tcW w:w="1880" w:type="dxa"/>
            <w:vAlign w:val="bottom"/>
          </w:tcPr>
          <w:p>
            <w:pPr>
              <w:spacing w:after="0"/>
              <w:rPr>
                <w:sz w:val="20"/>
                <w:szCs w:val="20"/>
                <w:color w:val="auto"/>
              </w:rPr>
            </w:pPr>
          </w:p>
        </w:tc>
      </w:tr>
      <w:tr>
        <w:trPr>
          <w:trHeight w:val="237"/>
        </w:trPr>
        <w:tc>
          <w:tcPr>
            <w:tcW w:w="1900" w:type="dxa"/>
            <w:vAlign w:val="bottom"/>
            <w:tcBorders>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300"/>
              <w:spacing w:after="0" w:line="237" w:lineRule="exact"/>
              <w:rPr>
                <w:sz w:val="20"/>
                <w:szCs w:val="20"/>
                <w:color w:val="auto"/>
              </w:rPr>
            </w:pPr>
            <w:r>
              <w:rPr>
                <w:rFonts w:ascii="Times New Roman" w:cs="Times New Roman" w:eastAsia="Times New Roman" w:hAnsi="Times New Roman"/>
                <w:sz w:val="22"/>
                <w:szCs w:val="22"/>
                <w:color w:val="auto"/>
              </w:rPr>
              <w:t>SPPD</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4.621%</w:t>
            </w:r>
          </w:p>
        </w:tc>
        <w:tc>
          <w:tcPr>
            <w:tcW w:w="1880" w:type="dxa"/>
            <w:vAlign w:val="bottom"/>
          </w:tcPr>
          <w:p>
            <w:pPr>
              <w:spacing w:after="0"/>
              <w:rPr>
                <w:sz w:val="20"/>
                <w:szCs w:val="20"/>
                <w:color w:val="auto"/>
              </w:rPr>
            </w:pPr>
          </w:p>
        </w:tc>
      </w:tr>
      <w:tr>
        <w:trPr>
          <w:trHeight w:val="237"/>
        </w:trPr>
        <w:tc>
          <w:tcPr>
            <w:tcW w:w="1900" w:type="dxa"/>
            <w:vAlign w:val="bottom"/>
            <w:tcBorders>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300"/>
              <w:spacing w:after="0" w:line="237" w:lineRule="exact"/>
              <w:rPr>
                <w:sz w:val="20"/>
                <w:szCs w:val="20"/>
                <w:color w:val="auto"/>
              </w:rPr>
            </w:pPr>
            <w:r>
              <w:rPr>
                <w:rFonts w:ascii="Times New Roman" w:cs="Times New Roman" w:eastAsia="Times New Roman" w:hAnsi="Times New Roman"/>
                <w:sz w:val="22"/>
                <w:szCs w:val="22"/>
                <w:color w:val="auto"/>
              </w:rPr>
              <w:t>PCO II USD</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7.224%</w:t>
            </w:r>
          </w:p>
        </w:tc>
        <w:tc>
          <w:tcPr>
            <w:tcW w:w="1880" w:type="dxa"/>
            <w:vAlign w:val="bottom"/>
          </w:tcPr>
          <w:p>
            <w:pPr>
              <w:spacing w:after="0"/>
              <w:rPr>
                <w:sz w:val="20"/>
                <w:szCs w:val="20"/>
                <w:color w:val="auto"/>
              </w:rPr>
            </w:pPr>
          </w:p>
        </w:tc>
      </w:tr>
      <w:tr>
        <w:trPr>
          <w:trHeight w:val="237"/>
        </w:trPr>
        <w:tc>
          <w:tcPr>
            <w:tcW w:w="1900" w:type="dxa"/>
            <w:vAlign w:val="bottom"/>
            <w:tcBorders>
              <w:right w:val="single" w:sz="8" w:color="auto"/>
            </w:tcBorders>
          </w:tcPr>
          <w:p>
            <w:pPr>
              <w:spacing w:after="0"/>
              <w:rPr>
                <w:sz w:val="20"/>
                <w:szCs w:val="20"/>
                <w:color w:val="auto"/>
              </w:rPr>
            </w:pPr>
          </w:p>
        </w:tc>
        <w:tc>
          <w:tcPr>
            <w:tcW w:w="3740" w:type="dxa"/>
            <w:vAlign w:val="bottom"/>
            <w:tcBorders>
              <w:bottom w:val="single" w:sz="8" w:color="auto"/>
              <w:right w:val="single" w:sz="8" w:color="auto"/>
            </w:tcBorders>
          </w:tcPr>
          <w:p>
            <w:pPr>
              <w:ind w:left="300"/>
              <w:spacing w:after="0" w:line="237" w:lineRule="exact"/>
              <w:rPr>
                <w:sz w:val="20"/>
                <w:szCs w:val="20"/>
                <w:color w:val="auto"/>
              </w:rPr>
            </w:pPr>
            <w:r>
              <w:rPr>
                <w:rFonts w:ascii="Times New Roman" w:cs="Times New Roman" w:eastAsia="Times New Roman" w:hAnsi="Times New Roman"/>
                <w:sz w:val="22"/>
                <w:szCs w:val="22"/>
                <w:color w:val="auto"/>
              </w:rPr>
              <w:t>Tubera</w:t>
            </w:r>
          </w:p>
        </w:tc>
        <w:tc>
          <w:tcPr>
            <w:tcW w:w="37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9.172%</w:t>
            </w:r>
          </w:p>
        </w:tc>
        <w:tc>
          <w:tcPr>
            <w:tcW w:w="1880" w:type="dxa"/>
            <w:vAlign w:val="bottom"/>
          </w:tcPr>
          <w:p>
            <w:pPr>
              <w:spacing w:after="0"/>
              <w:rPr>
                <w:sz w:val="20"/>
                <w:szCs w:val="20"/>
                <w:color w:val="auto"/>
              </w:rPr>
            </w:pPr>
          </w:p>
        </w:tc>
      </w:tr>
      <w:tr>
        <w:trPr>
          <w:trHeight w:val="756"/>
        </w:trPr>
        <w:tc>
          <w:tcPr>
            <w:tcW w:w="190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u w:val="single" w:color="auto"/>
          <w:color w:val="auto"/>
        </w:rPr>
        <w:t>Exhibit A</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Joinder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],20[ ]</w:t>
      </w:r>
    </w:p>
    <w:p>
      <w:pPr>
        <w:spacing w:after="0" w:line="206"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color w:val="auto"/>
        </w:rPr>
        <w:t>By this instrument (the “</w:t>
      </w: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the undersigned (the “</w:t>
      </w:r>
      <w:r>
        <w:rPr>
          <w:rFonts w:ascii="Times New Roman" w:cs="Times New Roman" w:eastAsia="Times New Roman" w:hAnsi="Times New Roman"/>
          <w:sz w:val="22"/>
          <w:szCs w:val="22"/>
          <w:u w:val="single" w:color="auto"/>
          <w:color w:val="auto"/>
        </w:rPr>
        <w:t>Subscriber</w:t>
      </w:r>
      <w:r>
        <w:rPr>
          <w:rFonts w:ascii="Times New Roman" w:cs="Times New Roman" w:eastAsia="Times New Roman" w:hAnsi="Times New Roman"/>
          <w:sz w:val="22"/>
          <w:szCs w:val="22"/>
          <w:color w:val="auto"/>
        </w:rPr>
        <w:t>”) hereby agrees to be bound by the terms and conditions of the Amended and Restated Limited Liability Company Agreement of PennantPark Senior Loan Fund, LLC, dated as of July 31, 2020 and as amended from time to time (the “</w:t>
      </w:r>
      <w:r>
        <w:rPr>
          <w:rFonts w:ascii="Times New Roman" w:cs="Times New Roman" w:eastAsia="Times New Roman" w:hAnsi="Times New Roman"/>
          <w:sz w:val="22"/>
          <w:szCs w:val="22"/>
          <w:u w:val="single" w:color="auto"/>
          <w:color w:val="auto"/>
        </w:rPr>
        <w:t>LLC Agreement</w:t>
      </w:r>
      <w:r>
        <w:rPr>
          <w:rFonts w:ascii="Times New Roman" w:cs="Times New Roman" w:eastAsia="Times New Roman" w:hAnsi="Times New Roman"/>
          <w:sz w:val="22"/>
          <w:szCs w:val="22"/>
          <w:color w:val="auto"/>
        </w:rPr>
        <w:t xml:space="preserve">”), and hereby agrees that the Subscriber shall be a </w:t>
      </w:r>
      <w:r>
        <w:rPr>
          <w:rFonts w:ascii="Times New Roman" w:cs="Times New Roman" w:eastAsia="Times New Roman" w:hAnsi="Times New Roman"/>
          <w:sz w:val="22"/>
          <w:szCs w:val="22"/>
          <w:u w:val="single" w:color="auto"/>
          <w:color w:val="auto"/>
        </w:rPr>
        <w:t>“[Pantheon/Pennant] Member</w:t>
      </w:r>
      <w:r>
        <w:rPr>
          <w:rFonts w:ascii="Times New Roman" w:cs="Times New Roman" w:eastAsia="Times New Roman" w:hAnsi="Times New Roman"/>
          <w:sz w:val="22"/>
          <w:szCs w:val="22"/>
          <w:color w:val="auto"/>
        </w:rPr>
        <w:t>”, as such term is defined therein, and agrees to be subject to the rights, duties and obligations of a Member and a [Pantheon/Pennant] Member pursuant to the terms of the LLC Agreement. This Joinder shall constitute a counterpart to the LLC Agreement, and the Subscriber hereby agrees that the Subscriber shall be subject to all of the terms and conditions of the LLC Agreement as if an original signatory thereto.</w:t>
      </w:r>
    </w:p>
    <w:p>
      <w:pPr>
        <w:spacing w:after="0" w:line="183" w:lineRule="exact"/>
        <w:rPr>
          <w:sz w:val="20"/>
          <w:szCs w:val="20"/>
          <w:color w:val="auto"/>
        </w:rPr>
      </w:pPr>
    </w:p>
    <w:p>
      <w:pPr>
        <w:jc w:val="both"/>
        <w:ind w:firstLine="864"/>
        <w:spacing w:after="0" w:line="244" w:lineRule="auto"/>
        <w:rPr>
          <w:sz w:val="20"/>
          <w:szCs w:val="20"/>
          <w:color w:val="auto"/>
        </w:rPr>
      </w:pPr>
      <w:r>
        <w:rPr>
          <w:rFonts w:ascii="Times New Roman" w:cs="Times New Roman" w:eastAsia="Times New Roman" w:hAnsi="Times New Roman"/>
          <w:sz w:val="22"/>
          <w:szCs w:val="22"/>
          <w:color w:val="auto"/>
        </w:rPr>
        <w:t>The Subscriber represents and warrants to the Company that the Subscriber has read and understands each of the provisions of the LLC Agreement and hereby agrees to be bound by the terms of the LLC Agreement as a Member and a [Pantheon/PNNT] Member.</w:t>
      </w:r>
    </w:p>
    <w:p>
      <w:pPr>
        <w:spacing w:after="0" w:line="173"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The Subscriber has executed this Joinder and declares that the information contained herein is current, complete and accurate and may be relied upon by the Company and the other Members.</w:t>
      </w:r>
    </w:p>
    <w:p>
      <w:pPr>
        <w:spacing w:after="0" w:line="158" w:lineRule="exact"/>
        <w:rPr>
          <w:sz w:val="20"/>
          <w:szCs w:val="20"/>
          <w:color w:val="auto"/>
        </w:rPr>
      </w:pPr>
    </w:p>
    <w:p>
      <w:pPr>
        <w:jc w:val="both"/>
        <w:ind w:right="20" w:firstLine="864"/>
        <w:spacing w:after="0" w:line="258" w:lineRule="auto"/>
        <w:rPr>
          <w:sz w:val="20"/>
          <w:szCs w:val="20"/>
          <w:color w:val="auto"/>
        </w:rPr>
      </w:pPr>
      <w:r>
        <w:rPr>
          <w:rFonts w:ascii="Times New Roman" w:cs="Times New Roman" w:eastAsia="Times New Roman" w:hAnsi="Times New Roman"/>
          <w:sz w:val="22"/>
          <w:szCs w:val="22"/>
          <w:color w:val="auto"/>
        </w:rPr>
        <w:t>Capitalized terms used herein and not defined herein shall have the meaning ascribed to such terms in the LLC Agreement.</w:t>
      </w:r>
    </w:p>
    <w:p>
      <w:pPr>
        <w:spacing w:after="0" w:line="1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287655</wp:posOffset>
            </wp:positionV>
            <wp:extent cx="3566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Name:</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Address:</w:t>
      </w:r>
    </w:p>
    <w:p>
      <w:pPr>
        <w:sectPr>
          <w:pgSz w:w="11900" w:h="16838" w:orient="portrait"/>
          <w:cols w:equalWidth="0" w:num="1">
            <w:col w:w="11240"/>
          </w:cols>
          <w:pgMar w:left="320" w:top="328"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4"/>
          <w:szCs w:val="14"/>
          <w:b w:val="1"/>
          <w:bCs w:val="1"/>
          <w:color w:val="auto"/>
        </w:rPr>
        <w:t>EXHIBIT 14.1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JOINT CODE OF ETHICS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FOR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PENNANTPARK INVESTMENT CORPORATION</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PENNANTPARK FLOATING RATE CAPITAL LTD.</w:t>
      </w:r>
    </w:p>
    <w:p>
      <w:pPr>
        <w:jc w:val="center"/>
        <w:spacing w:after="0"/>
        <w:rPr>
          <w:sz w:val="20"/>
          <w:szCs w:val="20"/>
          <w:color w:val="auto"/>
        </w:rPr>
      </w:pPr>
      <w:r>
        <w:rPr>
          <w:rFonts w:ascii="Times New Roman" w:cs="Times New Roman" w:eastAsia="Times New Roman" w:hAnsi="Times New Roman"/>
          <w:sz w:val="14"/>
          <w:szCs w:val="14"/>
          <w:b w:val="1"/>
          <w:bCs w:val="1"/>
          <w:color w:val="auto"/>
        </w:rPr>
        <w:t>PENNANTPARK INVESTMENT ADVISERS, LLC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I Statement of General Fiduciary Principles</w:t>
      </w:r>
    </w:p>
    <w:p>
      <w:pPr>
        <w:spacing w:after="0" w:line="138" w:lineRule="exact"/>
        <w:rPr>
          <w:sz w:val="20"/>
          <w:szCs w:val="20"/>
          <w:color w:val="auto"/>
        </w:rPr>
      </w:pPr>
    </w:p>
    <w:p>
      <w:pPr>
        <w:ind w:right="40" w:firstLine="496"/>
        <w:spacing w:after="0"/>
        <w:rPr>
          <w:sz w:val="20"/>
          <w:szCs w:val="20"/>
          <w:color w:val="auto"/>
        </w:rPr>
      </w:pPr>
      <w:r>
        <w:rPr>
          <w:rFonts w:ascii="Times New Roman" w:cs="Times New Roman" w:eastAsia="Times New Roman" w:hAnsi="Times New Roman"/>
          <w:sz w:val="14"/>
          <w:szCs w:val="14"/>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222" w:lineRule="exact"/>
        <w:rPr>
          <w:sz w:val="20"/>
          <w:szCs w:val="20"/>
          <w:color w:val="auto"/>
        </w:rPr>
      </w:pPr>
    </w:p>
    <w:p>
      <w:pPr>
        <w:ind w:right="60" w:firstLine="496"/>
        <w:spacing w:after="0" w:line="233" w:lineRule="auto"/>
        <w:rPr>
          <w:sz w:val="20"/>
          <w:szCs w:val="20"/>
          <w:color w:val="auto"/>
        </w:rPr>
      </w:pPr>
      <w:r>
        <w:rPr>
          <w:rFonts w:ascii="Times New Roman" w:cs="Times New Roman" w:eastAsia="Times New Roman" w:hAnsi="Times New Roman"/>
          <w:sz w:val="14"/>
          <w:szCs w:val="14"/>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96" w:lineRule="exact"/>
        <w:rPr>
          <w:sz w:val="20"/>
          <w:szCs w:val="20"/>
          <w:color w:val="auto"/>
        </w:rPr>
      </w:pPr>
    </w:p>
    <w:p>
      <w:pPr>
        <w:ind w:right="80" w:firstLine="496"/>
        <w:spacing w:after="0" w:line="241" w:lineRule="auto"/>
        <w:rPr>
          <w:sz w:val="20"/>
          <w:szCs w:val="20"/>
          <w:color w:val="auto"/>
        </w:rPr>
      </w:pPr>
      <w:r>
        <w:rPr>
          <w:rFonts w:ascii="Times New Roman" w:cs="Times New Roman" w:eastAsia="Times New Roman" w:hAnsi="Times New Roman"/>
          <w:sz w:val="14"/>
          <w:szCs w:val="14"/>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Covered Personnel must read and retain this Code.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II Definitions</w:t>
      </w:r>
    </w:p>
    <w:p>
      <w:pPr>
        <w:spacing w:after="0" w:line="125" w:lineRule="exact"/>
        <w:rPr>
          <w:sz w:val="20"/>
          <w:szCs w:val="20"/>
          <w:color w:val="auto"/>
        </w:rPr>
      </w:pPr>
    </w:p>
    <w:p>
      <w:pPr>
        <w:ind w:left="980" w:hanging="486"/>
        <w:spacing w:after="0"/>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Person” means any director, officer, general partner or Advisory Person (as defined below) of the Corporations or the Adviser.</w:t>
      </w:r>
    </w:p>
    <w:p>
      <w:pPr>
        <w:spacing w:after="0" w:line="136" w:lineRule="exact"/>
        <w:rPr>
          <w:rFonts w:ascii="Times New Roman" w:cs="Times New Roman" w:eastAsia="Times New Roman" w:hAnsi="Times New Roman"/>
          <w:sz w:val="14"/>
          <w:szCs w:val="14"/>
          <w:color w:val="auto"/>
        </w:rPr>
      </w:pPr>
    </w:p>
    <w:p>
      <w:pPr>
        <w:ind w:left="980" w:right="40" w:hanging="486"/>
        <w:spacing w:after="0" w:line="233" w:lineRule="auto"/>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“Advisory Person” of the Corporation or the Adviser means: (i) any employee of the Corporation or the Adviser, or any company in a Control (as defined below) relationship 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109" w:lineRule="exact"/>
        <w:rPr>
          <w:rFonts w:ascii="Times New Roman" w:cs="Times New Roman" w:eastAsia="Times New Roman" w:hAnsi="Times New Roman"/>
          <w:sz w:val="14"/>
          <w:szCs w:val="14"/>
          <w:color w:val="auto"/>
        </w:rPr>
      </w:pPr>
    </w:p>
    <w:p>
      <w:pPr>
        <w:ind w:left="980" w:right="340" w:hanging="486"/>
        <w:spacing w:after="0" w:line="261" w:lineRule="auto"/>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interpreted in the same manner as it would be under Rule 16a-1(a)(2) under the Securities Exchange Act of 1934 (the “1934 Act”) in determining whether a person is a beneficial owner of a security for purposes of Section 16 of the 1934 Act and the rules and regulations thereunder.</w:t>
      </w:r>
    </w:p>
    <w:p>
      <w:pPr>
        <w:spacing w:after="0" w:line="95" w:lineRule="exact"/>
        <w:rPr>
          <w:rFonts w:ascii="Times New Roman" w:cs="Times New Roman" w:eastAsia="Times New Roman" w:hAnsi="Times New Roman"/>
          <w:sz w:val="14"/>
          <w:szCs w:val="14"/>
          <w:color w:val="auto"/>
        </w:rPr>
      </w:pPr>
    </w:p>
    <w:p>
      <w:pPr>
        <w:ind w:left="980" w:right="140" w:hanging="486"/>
        <w:spacing w:after="0" w:line="261" w:lineRule="auto"/>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“Chief Compliance Officer” means the Chief Compliance Officer of the Corporation (who also may serve as the compliance officer of the Adviser and/or one or more affiliates of the Adviser).</w:t>
      </w:r>
    </w:p>
    <w:p>
      <w:pPr>
        <w:spacing w:after="0" w:line="95"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 shall have the same meaning as that set forth in Section 2(a)(9) of the Act.</w:t>
      </w:r>
    </w:p>
    <w:p>
      <w:pPr>
        <w:spacing w:after="0" w:line="136" w:lineRule="exact"/>
        <w:rPr>
          <w:rFonts w:ascii="Times New Roman" w:cs="Times New Roman" w:eastAsia="Times New Roman" w:hAnsi="Times New Roman"/>
          <w:sz w:val="14"/>
          <w:szCs w:val="14"/>
          <w:color w:val="auto"/>
        </w:rPr>
      </w:pPr>
    </w:p>
    <w:p>
      <w:pPr>
        <w:ind w:left="980" w:hanging="486"/>
        <w:spacing w:after="0" w:line="231" w:lineRule="auto"/>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w:t>
      </w:r>
    </w:p>
    <w:p>
      <w:pPr>
        <w:spacing w:after="0" w:line="109" w:lineRule="exact"/>
        <w:rPr>
          <w:rFonts w:ascii="Times New Roman" w:cs="Times New Roman" w:eastAsia="Times New Roman" w:hAnsi="Times New Roman"/>
          <w:sz w:val="14"/>
          <w:szCs w:val="14"/>
          <w:color w:val="auto"/>
        </w:rPr>
      </w:pPr>
    </w:p>
    <w:p>
      <w:pPr>
        <w:ind w:left="1000" w:right="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209"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 means a director of the Corporation who is not an “interested person” of the Corporation within the meaning of Section 2(a)(19) of the Act.</w:t>
      </w:r>
    </w:p>
    <w:p>
      <w:pPr>
        <w:spacing w:after="0" w:line="136" w:lineRule="exact"/>
        <w:rPr>
          <w:rFonts w:ascii="Times New Roman" w:cs="Times New Roman" w:eastAsia="Times New Roman" w:hAnsi="Times New Roman"/>
          <w:sz w:val="14"/>
          <w:szCs w:val="14"/>
          <w:color w:val="auto"/>
        </w:rPr>
      </w:pPr>
    </w:p>
    <w:p>
      <w:pPr>
        <w:ind w:left="980" w:right="240" w:hanging="486"/>
        <w:spacing w:after="0" w:line="261" w:lineRule="auto"/>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95" w:lineRule="exact"/>
        <w:rPr>
          <w:rFonts w:ascii="Times New Roman" w:cs="Times New Roman" w:eastAsia="Times New Roman" w:hAnsi="Times New Roman"/>
          <w:sz w:val="14"/>
          <w:szCs w:val="14"/>
          <w:color w:val="auto"/>
        </w:rPr>
      </w:pPr>
    </w:p>
    <w:p>
      <w:pPr>
        <w:ind w:left="980" w:right="140" w:hanging="486"/>
        <w:spacing w:after="0" w:line="261" w:lineRule="auto"/>
        <w:tabs>
          <w:tab w:leader="none" w:pos="9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Offering” means an offering that is exempt from registration under the 1933 Act pursuant to Section 4(2) or Section 4(6) thereof or pursuant to Rule 504, Rule 505, or Rule 506 thereunder.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96" w:name="page97"/>
    <w:bookmarkEnd w:id="96"/>
    <w:p>
      <w:pPr>
        <w:ind w:left="980" w:right="100" w:hanging="486"/>
        <w:spacing w:after="0" w:line="261" w:lineRule="auto"/>
        <w:tabs>
          <w:tab w:leader="none" w:pos="9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List” means the “Pipeline” report of potential investments combined with the current holdings of the clients. PennantPark Access Persons are restricted from trading any security on the Restricted List.</w:t>
      </w:r>
    </w:p>
    <w:p>
      <w:pPr>
        <w:spacing w:after="0" w:line="95"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Held or to be Acquired” by the Corporation means: (i) any Covered Security which, within the most recent 15 days: (A) is or has been held by the Corporation; or</w:t>
      </w:r>
    </w:p>
    <w:p>
      <w:pPr>
        <w:spacing w:after="0" w:line="3" w:lineRule="exact"/>
        <w:rPr>
          <w:rFonts w:ascii="Times New Roman" w:cs="Times New Roman" w:eastAsia="Times New Roman" w:hAnsi="Times New Roman"/>
          <w:sz w:val="14"/>
          <w:szCs w:val="14"/>
          <w:color w:val="auto"/>
        </w:rPr>
      </w:pPr>
    </w:p>
    <w:p>
      <w:pPr>
        <w:ind w:left="980" w:right="20"/>
        <w:spacing w:after="0" w:line="239" w:lineRule="auto"/>
        <w:tabs>
          <w:tab w:leader="none" w:pos="1208"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being or has been considered by the Corporation or the Adviser for purchase by the Corporation; and (ii) any option to purchase or sell, and any security convertible into or exchangeable for, a Covered Security described in Section II (K)(i).</w:t>
      </w:r>
    </w:p>
    <w:p>
      <w:pPr>
        <w:spacing w:after="0" w:line="108"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“17j-1 Organization” means the Corporation or the Adviser, as the context requires.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III Objective and General Prohibitions</w:t>
      </w:r>
    </w:p>
    <w:p>
      <w:pPr>
        <w:spacing w:after="0" w:line="125" w:lineRule="exact"/>
        <w:rPr>
          <w:sz w:val="20"/>
          <w:szCs w:val="20"/>
          <w:color w:val="auto"/>
        </w:rPr>
      </w:pPr>
    </w:p>
    <w:p>
      <w:pPr>
        <w:ind w:right="40" w:firstLine="496"/>
        <w:spacing w:after="0" w:line="241" w:lineRule="auto"/>
        <w:rPr>
          <w:sz w:val="20"/>
          <w:szCs w:val="20"/>
          <w:color w:val="auto"/>
        </w:rPr>
      </w:pPr>
      <w:r>
        <w:rPr>
          <w:rFonts w:ascii="Times New Roman" w:cs="Times New Roman" w:eastAsia="Times New Roman" w:hAnsi="Times New Roman"/>
          <w:sz w:val="14"/>
          <w:szCs w:val="14"/>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09" w:lineRule="exact"/>
        <w:rPr>
          <w:sz w:val="20"/>
          <w:szCs w:val="20"/>
          <w:color w:val="auto"/>
        </w:rPr>
      </w:pPr>
    </w:p>
    <w:p>
      <w:pPr>
        <w:ind w:right="160" w:firstLine="496"/>
        <w:spacing w:after="0" w:line="241" w:lineRule="auto"/>
        <w:rPr>
          <w:sz w:val="20"/>
          <w:szCs w:val="20"/>
          <w:color w:val="auto"/>
        </w:rPr>
      </w:pPr>
      <w:r>
        <w:rPr>
          <w:rFonts w:ascii="Times New Roman" w:cs="Times New Roman" w:eastAsia="Times New Roman" w:hAnsi="Times New Roman"/>
          <w:sz w:val="14"/>
          <w:szCs w:val="14"/>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109" w:lineRule="exact"/>
        <w:rPr>
          <w:sz w:val="20"/>
          <w:szCs w:val="20"/>
          <w:color w:val="auto"/>
        </w:rPr>
      </w:pPr>
    </w:p>
    <w:p>
      <w:pPr>
        <w:ind w:left="980" w:hanging="486"/>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employ any device, scheme or artifice to defraud the Corporation;</w:t>
      </w:r>
    </w:p>
    <w:p>
      <w:pPr>
        <w:spacing w:after="0" w:line="136" w:lineRule="exact"/>
        <w:rPr>
          <w:rFonts w:ascii="Times New Roman" w:cs="Times New Roman" w:eastAsia="Times New Roman" w:hAnsi="Times New Roman"/>
          <w:sz w:val="14"/>
          <w:szCs w:val="14"/>
          <w:color w:val="auto"/>
        </w:rPr>
      </w:pPr>
    </w:p>
    <w:p>
      <w:pPr>
        <w:ind w:left="980" w:right="100" w:hanging="486"/>
        <w:spacing w:after="0" w:line="261" w:lineRule="auto"/>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95"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any act, practice or course of business that operates or would operate as a fraud or deceit upon the Corporation; or</w:t>
      </w:r>
    </w:p>
    <w:p>
      <w:pPr>
        <w:spacing w:after="0" w:line="136"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any manipulative practice with respect to the Corporation.</w:t>
      </w:r>
    </w:p>
    <w:p>
      <w:pPr>
        <w:spacing w:after="0" w:line="136" w:lineRule="exact"/>
        <w:rPr>
          <w:sz w:val="20"/>
          <w:szCs w:val="20"/>
          <w:color w:val="auto"/>
        </w:rPr>
      </w:pPr>
    </w:p>
    <w:p>
      <w:pPr>
        <w:ind w:right="900" w:firstLine="496"/>
        <w:spacing w:after="0" w:line="261" w:lineRule="auto"/>
        <w:rPr>
          <w:sz w:val="20"/>
          <w:szCs w:val="20"/>
          <w:color w:val="auto"/>
        </w:rPr>
      </w:pPr>
      <w:r>
        <w:rPr>
          <w:rFonts w:ascii="Times New Roman" w:cs="Times New Roman" w:eastAsia="Times New Roman" w:hAnsi="Times New Roman"/>
          <w:sz w:val="14"/>
          <w:szCs w:val="14"/>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IV Pre-Clearance of Personal Account Transactions; Window Period to Trade PennantPark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1096645</wp:posOffset>
            </wp:positionH>
            <wp:positionV relativeFrom="paragraph">
              <wp:posOffset>0</wp:posOffset>
            </wp:positionV>
            <wp:extent cx="22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5">
                      <a:extLst>
                        <a:ext uri="{28A0092B-C50C-407E-A947-70E740481C1C}"/>
                      </a:extLst>
                    </a:blip>
                    <a:srcRect/>
                    <a:stretch>
                      <a:fillRect/>
                    </a:stretch>
                  </pic:blipFill>
                  <pic:spPr bwMode="auto">
                    <a:xfrm>
                      <a:off x="0" y="0"/>
                      <a:ext cx="22860" cy="8255"/>
                    </a:xfrm>
                    <a:prstGeom prst="rect">
                      <a:avLst/>
                    </a:prstGeom>
                    <a:noFill/>
                  </pic:spPr>
                </pic:pic>
              </a:graphicData>
            </a:graphic>
          </wp:anchor>
        </w:drawing>
      </w:r>
    </w:p>
    <w:p>
      <w:pPr>
        <w:spacing w:after="0" w:line="118" w:lineRule="exact"/>
        <w:rPr>
          <w:sz w:val="20"/>
          <w:szCs w:val="20"/>
          <w:color w:val="auto"/>
        </w:rPr>
      </w:pPr>
    </w:p>
    <w:p>
      <w:pPr>
        <w:ind w:right="160" w:firstLine="496"/>
        <w:spacing w:after="0" w:line="236" w:lineRule="auto"/>
        <w:rPr>
          <w:sz w:val="20"/>
          <w:szCs w:val="20"/>
          <w:color w:val="auto"/>
        </w:rPr>
      </w:pPr>
      <w:r>
        <w:rPr>
          <w:rFonts w:ascii="Times New Roman" w:cs="Times New Roman" w:eastAsia="Times New Roman" w:hAnsi="Times New Roman"/>
          <w:sz w:val="14"/>
          <w:szCs w:val="14"/>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Any approval given under this paragraph will be provided by email and will remain in effect for 72 hours.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u w:val="single" w:color="auto"/>
          <w:color w:val="auto"/>
        </w:rPr>
        <w:t>Exceptions to the Pre-Clearance Requirement Policy</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right="80" w:firstLine="496"/>
        <w:spacing w:after="0" w:line="233" w:lineRule="auto"/>
        <w:rPr>
          <w:sz w:val="20"/>
          <w:szCs w:val="20"/>
          <w:color w:val="auto"/>
        </w:rPr>
      </w:pPr>
      <w:r>
        <w:rPr>
          <w:rFonts w:ascii="Times New Roman" w:cs="Times New Roman" w:eastAsia="Times New Roman" w:hAnsi="Times New Roman"/>
          <w:sz w:val="14"/>
          <w:szCs w:val="14"/>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30 calendar days after the release of results (29 calendar days in all).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the expiration of 30 days, as events require.</w:t>
      </w:r>
    </w:p>
    <w:p>
      <w:pPr>
        <w:spacing w:after="0" w:line="110" w:lineRule="exact"/>
        <w:rPr>
          <w:sz w:val="20"/>
          <w:szCs w:val="20"/>
          <w:color w:val="auto"/>
        </w:rPr>
      </w:pPr>
    </w:p>
    <w:p>
      <w:pPr>
        <w:ind w:firstLine="496"/>
        <w:spacing w:after="0" w:line="261" w:lineRule="auto"/>
        <w:rPr>
          <w:sz w:val="20"/>
          <w:szCs w:val="20"/>
          <w:color w:val="auto"/>
        </w:rPr>
      </w:pPr>
      <w:r>
        <w:rPr>
          <w:rFonts w:ascii="Times New Roman" w:cs="Times New Roman" w:eastAsia="Times New Roman" w:hAnsi="Times New Roman"/>
          <w:sz w:val="14"/>
          <w:szCs w:val="14"/>
          <w:color w:val="auto"/>
        </w:rPr>
        <w:t>Additionally, Independent Directors are not required to seek preapproval for any transactions other than those which would trigger reporting requirements as set forth in Section VI (C) of this Code below.</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V Prohibited Transactions</w:t>
      </w:r>
    </w:p>
    <w:p>
      <w:pPr>
        <w:spacing w:after="0" w:line="138" w:lineRule="exact"/>
        <w:rPr>
          <w:sz w:val="20"/>
          <w:szCs w:val="20"/>
          <w:color w:val="auto"/>
        </w:rPr>
      </w:pPr>
    </w:p>
    <w:p>
      <w:pPr>
        <w:ind w:left="980" w:right="60" w:hanging="486"/>
        <w:spacing w:after="0" w:line="233" w:lineRule="auto"/>
        <w:tabs>
          <w:tab w:leader="none" w:pos="9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pacing w:after="0" w:line="109" w:lineRule="exact"/>
        <w:rPr>
          <w:rFonts w:ascii="Times New Roman" w:cs="Times New Roman" w:eastAsia="Times New Roman" w:hAnsi="Times New Roman"/>
          <w:sz w:val="14"/>
          <w:szCs w:val="14"/>
          <w:color w:val="auto"/>
        </w:rPr>
      </w:pPr>
    </w:p>
    <w:p>
      <w:pPr>
        <w:ind w:left="980" w:right="40" w:hanging="486"/>
        <w:spacing w:after="0" w:line="241" w:lineRule="auto"/>
        <w:tabs>
          <w:tab w:leader="none" w:pos="9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109" w:lineRule="exact"/>
        <w:rPr>
          <w:rFonts w:ascii="Times New Roman" w:cs="Times New Roman" w:eastAsia="Times New Roman" w:hAnsi="Times New Roman"/>
          <w:sz w:val="14"/>
          <w:szCs w:val="14"/>
          <w:color w:val="auto"/>
        </w:rPr>
      </w:pPr>
    </w:p>
    <w:p>
      <w:pPr>
        <w:jc w:val="both"/>
        <w:ind w:left="980" w:hanging="486"/>
        <w:spacing w:after="0" w:line="236" w:lineRule="auto"/>
        <w:tabs>
          <w:tab w:leader="none" w:pos="9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VI Reports by Access Persons</w:t>
      </w:r>
    </w:p>
    <w:p>
      <w:pPr>
        <w:spacing w:after="0" w:line="138" w:lineRule="exact"/>
        <w:rPr>
          <w:sz w:val="20"/>
          <w:szCs w:val="20"/>
          <w:color w:val="auto"/>
        </w:rPr>
      </w:pPr>
    </w:p>
    <w:p>
      <w:pPr>
        <w:ind w:left="980" w:hanging="486"/>
        <w:spacing w:after="0"/>
        <w:tabs>
          <w:tab w:leader="none" w:pos="9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Personal Securities Holdings Reports.</w:t>
      </w:r>
    </w:p>
    <w:p>
      <w:pPr>
        <w:spacing w:after="0" w:line="136" w:lineRule="exact"/>
        <w:rPr>
          <w:sz w:val="20"/>
          <w:szCs w:val="20"/>
          <w:color w:val="auto"/>
        </w:rPr>
      </w:pPr>
    </w:p>
    <w:p>
      <w:pPr>
        <w:ind w:right="40" w:firstLine="496"/>
        <w:spacing w:after="0" w:line="261" w:lineRule="auto"/>
        <w:rPr>
          <w:sz w:val="20"/>
          <w:szCs w:val="20"/>
          <w:color w:val="auto"/>
        </w:rPr>
      </w:pPr>
      <w:r>
        <w:rPr>
          <w:rFonts w:ascii="Times New Roman" w:cs="Times New Roman" w:eastAsia="Times New Roman" w:hAnsi="Times New Roman"/>
          <w:sz w:val="14"/>
          <w:szCs w:val="14"/>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97" w:name="page98"/>
    <w:bookmarkEnd w:id="97"/>
    <w:p>
      <w:pPr>
        <w:spacing w:after="0" w:line="236" w:lineRule="auto"/>
        <w:rPr>
          <w:sz w:val="20"/>
          <w:szCs w:val="20"/>
          <w:color w:val="auto"/>
        </w:rPr>
      </w:pPr>
      <w:r>
        <w:rPr>
          <w:rFonts w:ascii="Times New Roman" w:cs="Times New Roman" w:eastAsia="Times New Roman" w:hAnsi="Times New Roman"/>
          <w:sz w:val="14"/>
          <w:szCs w:val="14"/>
          <w:color w:val="auto"/>
        </w:rPr>
        <w:t>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96" w:lineRule="exact"/>
        <w:rPr>
          <w:sz w:val="20"/>
          <w:szCs w:val="20"/>
          <w:color w:val="auto"/>
        </w:rPr>
      </w:pPr>
    </w:p>
    <w:p>
      <w:pPr>
        <w:ind w:left="980" w:hanging="486"/>
        <w:spacing w:after="0"/>
        <w:tabs>
          <w:tab w:leader="none" w:pos="9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Quarterly Transaction Reports.</w:t>
      </w:r>
    </w:p>
    <w:p>
      <w:pPr>
        <w:spacing w:after="0" w:line="136" w:lineRule="exact"/>
        <w:rPr>
          <w:sz w:val="20"/>
          <w:szCs w:val="20"/>
          <w:color w:val="auto"/>
        </w:rPr>
      </w:pPr>
    </w:p>
    <w:p>
      <w:pPr>
        <w:jc w:val="both"/>
        <w:ind w:right="320" w:firstLine="496"/>
        <w:spacing w:after="0" w:line="261" w:lineRule="auto"/>
        <w:rPr>
          <w:sz w:val="20"/>
          <w:szCs w:val="20"/>
          <w:color w:val="auto"/>
        </w:rPr>
      </w:pPr>
      <w:r>
        <w:rPr>
          <w:rFonts w:ascii="Times New Roman" w:cs="Times New Roman" w:eastAsia="Times New Roman" w:hAnsi="Times New Roman"/>
          <w:sz w:val="14"/>
          <w:szCs w:val="14"/>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95" w:lineRule="exact"/>
        <w:rPr>
          <w:sz w:val="20"/>
          <w:szCs w:val="20"/>
          <w:color w:val="auto"/>
        </w:rPr>
      </w:pPr>
    </w:p>
    <w:p>
      <w:pPr>
        <w:ind w:right="160" w:firstLine="496"/>
        <w:spacing w:after="0" w:line="261" w:lineRule="auto"/>
        <w:rPr>
          <w:sz w:val="20"/>
          <w:szCs w:val="20"/>
          <w:color w:val="auto"/>
        </w:rPr>
      </w:pPr>
      <w:r>
        <w:rPr>
          <w:rFonts w:ascii="Times New Roman" w:cs="Times New Roman" w:eastAsia="Times New Roman" w:hAnsi="Times New Roman"/>
          <w:sz w:val="14"/>
          <w:szCs w:val="14"/>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95" w:lineRule="exact"/>
        <w:rPr>
          <w:sz w:val="20"/>
          <w:szCs w:val="20"/>
          <w:color w:val="auto"/>
        </w:rPr>
      </w:pPr>
    </w:p>
    <w:p>
      <w:pPr>
        <w:ind w:left="980" w:hanging="486"/>
        <w:spacing w:after="0"/>
        <w:tabs>
          <w:tab w:leader="none" w:pos="9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and nature of the transaction (purchase, sale or any other type of acquisition or disposition);</w:t>
      </w:r>
    </w:p>
    <w:p>
      <w:pPr>
        <w:spacing w:after="0" w:line="136" w:lineRule="exact"/>
        <w:rPr>
          <w:rFonts w:ascii="Times New Roman" w:cs="Times New Roman" w:eastAsia="Times New Roman" w:hAnsi="Times New Roman"/>
          <w:sz w:val="14"/>
          <w:szCs w:val="14"/>
          <w:color w:val="auto"/>
        </w:rPr>
      </w:pPr>
    </w:p>
    <w:p>
      <w:pPr>
        <w:ind w:left="980" w:right="80" w:hanging="486"/>
        <w:spacing w:after="0" w:line="261" w:lineRule="auto"/>
        <w:tabs>
          <w:tab w:leader="none" w:pos="9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interest rate and maturity date (if applicable), number of shares and principal amount of each Covered Security involved and the price of the Covered Security at which the transaction was effected;</w:t>
      </w:r>
    </w:p>
    <w:p>
      <w:pPr>
        <w:spacing w:after="0" w:line="95"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of the broker, dealer or bank with or through whom the transaction was effected; and</w:t>
      </w:r>
    </w:p>
    <w:p>
      <w:pPr>
        <w:spacing w:after="0" w:line="136"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the report is submitted by the Access Person.</w:t>
      </w:r>
    </w:p>
    <w:p>
      <w:pPr>
        <w:spacing w:after="0" w:line="136" w:lineRule="exact"/>
        <w:rPr>
          <w:sz w:val="20"/>
          <w:szCs w:val="20"/>
          <w:color w:val="auto"/>
        </w:rPr>
      </w:pPr>
    </w:p>
    <w:p>
      <w:pPr>
        <w:ind w:left="980" w:hanging="486"/>
        <w:spacing w:after="0"/>
        <w:tabs>
          <w:tab w:leader="none" w:pos="9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Directors.</w:t>
      </w:r>
    </w:p>
    <w:p>
      <w:pPr>
        <w:spacing w:after="0" w:line="136" w:lineRule="exact"/>
        <w:rPr>
          <w:sz w:val="20"/>
          <w:szCs w:val="20"/>
          <w:color w:val="auto"/>
        </w:rPr>
      </w:pPr>
    </w:p>
    <w:p>
      <w:pPr>
        <w:ind w:right="120" w:firstLine="496"/>
        <w:spacing w:after="0" w:line="233" w:lineRule="auto"/>
        <w:rPr>
          <w:sz w:val="20"/>
          <w:szCs w:val="20"/>
          <w:color w:val="auto"/>
        </w:rPr>
      </w:pPr>
      <w:r>
        <w:rPr>
          <w:rFonts w:ascii="Times New Roman" w:cs="Times New Roman" w:eastAsia="Times New Roman" w:hAnsi="Times New Roman"/>
          <w:sz w:val="14"/>
          <w:szCs w:val="14"/>
          <w:color w:val="auto"/>
        </w:rPr>
        <w:t>Notwithstanding the reporting requirements set forth in this Section V, an Independent Director who would be required to make a report 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96" w:lineRule="exact"/>
        <w:rPr>
          <w:sz w:val="20"/>
          <w:szCs w:val="20"/>
          <w:color w:val="auto"/>
        </w:rPr>
      </w:pPr>
    </w:p>
    <w:p>
      <w:pPr>
        <w:ind w:left="980" w:hanging="486"/>
        <w:spacing w:after="0"/>
        <w:tabs>
          <w:tab w:leader="none" w:pos="9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Persons of the Adviser.</w:t>
      </w:r>
    </w:p>
    <w:p>
      <w:pPr>
        <w:spacing w:after="0" w:line="136" w:lineRule="exact"/>
        <w:rPr>
          <w:sz w:val="20"/>
          <w:szCs w:val="20"/>
          <w:color w:val="auto"/>
        </w:rPr>
      </w:pPr>
    </w:p>
    <w:p>
      <w:pPr>
        <w:ind w:right="280" w:firstLine="496"/>
        <w:spacing w:after="0" w:line="261" w:lineRule="auto"/>
        <w:rPr>
          <w:sz w:val="20"/>
          <w:szCs w:val="20"/>
          <w:color w:val="auto"/>
        </w:rPr>
      </w:pPr>
      <w:r>
        <w:rPr>
          <w:rFonts w:ascii="Times New Roman" w:cs="Times New Roman" w:eastAsia="Times New Roman" w:hAnsi="Times New Roman"/>
          <w:sz w:val="14"/>
          <w:szCs w:val="14"/>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95" w:lineRule="exact"/>
        <w:rPr>
          <w:sz w:val="20"/>
          <w:szCs w:val="20"/>
          <w:color w:val="auto"/>
        </w:rPr>
      </w:pPr>
    </w:p>
    <w:p>
      <w:pPr>
        <w:jc w:val="center"/>
        <w:ind w:left="500" w:right="7700" w:hanging="6"/>
        <w:spacing w:after="0" w:line="442" w:lineRule="auto"/>
        <w:tabs>
          <w:tab w:leader="none" w:pos="976"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Brokerage Accounts and Statements. Access Persons, except Independent Directors, shall:</w:t>
      </w:r>
    </w:p>
    <w:p>
      <w:pPr>
        <w:spacing w:after="0" w:line="1" w:lineRule="exact"/>
        <w:rPr>
          <w:sz w:val="20"/>
          <w:szCs w:val="20"/>
          <w:color w:val="auto"/>
        </w:rPr>
      </w:pPr>
    </w:p>
    <w:p>
      <w:pPr>
        <w:jc w:val="both"/>
        <w:ind w:left="980" w:right="40" w:hanging="486"/>
        <w:spacing w:after="0" w:line="241" w:lineRule="auto"/>
        <w:tabs>
          <w:tab w:leader="none" w:pos="9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09"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instruct the brokers, dealers or banks with whom they maintain such an account to provide duplicate account statements to the Chief Compliance Officer.</w:t>
      </w:r>
    </w:p>
    <w:p>
      <w:pPr>
        <w:spacing w:after="0" w:line="136"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annual basis, certify that they have complied with the requirements of (1) and (2) above.</w:t>
      </w:r>
    </w:p>
    <w:p>
      <w:pPr>
        <w:spacing w:after="0" w:line="136" w:lineRule="exact"/>
        <w:rPr>
          <w:sz w:val="20"/>
          <w:szCs w:val="20"/>
          <w:color w:val="auto"/>
        </w:rPr>
      </w:pPr>
    </w:p>
    <w:p>
      <w:pPr>
        <w:ind w:left="980" w:hanging="486"/>
        <w:spacing w:after="0"/>
        <w:tabs>
          <w:tab w:leader="none" w:pos="98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of Reports.</w:t>
      </w:r>
    </w:p>
    <w:p>
      <w:pPr>
        <w:spacing w:after="0" w:line="136" w:lineRule="exact"/>
        <w:rPr>
          <w:sz w:val="20"/>
          <w:szCs w:val="20"/>
          <w:color w:val="auto"/>
        </w:rPr>
      </w:pPr>
    </w:p>
    <w:p>
      <w:pPr>
        <w:ind w:right="60" w:firstLine="496"/>
        <w:spacing w:after="0" w:line="261" w:lineRule="auto"/>
        <w:rPr>
          <w:sz w:val="20"/>
          <w:szCs w:val="20"/>
          <w:color w:val="auto"/>
        </w:rPr>
      </w:pPr>
      <w:r>
        <w:rPr>
          <w:rFonts w:ascii="Times New Roman" w:cs="Times New Roman" w:eastAsia="Times New Roman" w:hAnsi="Times New Roman"/>
          <w:sz w:val="14"/>
          <w:szCs w:val="14"/>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82" w:lineRule="exact"/>
        <w:rPr>
          <w:sz w:val="20"/>
          <w:szCs w:val="20"/>
          <w:color w:val="auto"/>
        </w:rPr>
      </w:pPr>
    </w:p>
    <w:p>
      <w:pPr>
        <w:ind w:left="980" w:hanging="486"/>
        <w:spacing w:after="0"/>
        <w:tabs>
          <w:tab w:leader="none" w:pos="98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Responsibility to Report.</w:t>
      </w:r>
    </w:p>
    <w:p>
      <w:pPr>
        <w:spacing w:after="0" w:line="136" w:lineRule="exact"/>
        <w:rPr>
          <w:sz w:val="20"/>
          <w:szCs w:val="20"/>
          <w:color w:val="auto"/>
        </w:rPr>
      </w:pPr>
    </w:p>
    <w:p>
      <w:pPr>
        <w:jc w:val="both"/>
        <w:ind w:right="40" w:firstLine="496"/>
        <w:spacing w:after="0" w:line="241" w:lineRule="auto"/>
        <w:rPr>
          <w:sz w:val="20"/>
          <w:szCs w:val="20"/>
          <w:color w:val="auto"/>
        </w:rPr>
      </w:pPr>
      <w:r>
        <w:rPr>
          <w:rFonts w:ascii="Times New Roman" w:cs="Times New Roman" w:eastAsia="Times New Roman" w:hAnsi="Times New Roman"/>
          <w:sz w:val="14"/>
          <w:szCs w:val="14"/>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pacing w:after="0" w:line="109" w:lineRule="exact"/>
        <w:rPr>
          <w:sz w:val="20"/>
          <w:szCs w:val="20"/>
          <w:color w:val="auto"/>
        </w:rPr>
      </w:pPr>
    </w:p>
    <w:p>
      <w:pPr>
        <w:ind w:left="980" w:hanging="486"/>
        <w:spacing w:after="0"/>
        <w:tabs>
          <w:tab w:leader="none" w:pos="98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to File Reports.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Quarterly Securities Transaction Reports and Personal Securities Holdings Reports must be filed with the Chief Compliance Officer.</w:t>
      </w:r>
    </w:p>
    <w:p>
      <w:pPr>
        <w:spacing w:after="0" w:line="136" w:lineRule="exact"/>
        <w:rPr>
          <w:sz w:val="20"/>
          <w:szCs w:val="20"/>
          <w:color w:val="auto"/>
        </w:rPr>
      </w:pPr>
    </w:p>
    <w:p>
      <w:pPr>
        <w:ind w:left="980" w:hanging="486"/>
        <w:spacing w:after="0"/>
        <w:tabs>
          <w:tab w:leader="none" w:pos="980"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Disclaimers.</w:t>
      </w:r>
    </w:p>
    <w:p>
      <w:pPr>
        <w:spacing w:after="0" w:line="136" w:lineRule="exact"/>
        <w:rPr>
          <w:sz w:val="20"/>
          <w:szCs w:val="20"/>
          <w:color w:val="auto"/>
        </w:rPr>
      </w:pPr>
    </w:p>
    <w:p>
      <w:pPr>
        <w:ind w:right="60" w:firstLine="496"/>
        <w:spacing w:after="0" w:line="261" w:lineRule="auto"/>
        <w:rPr>
          <w:sz w:val="20"/>
          <w:szCs w:val="20"/>
          <w:color w:val="auto"/>
        </w:rPr>
      </w:pPr>
      <w:r>
        <w:rPr>
          <w:rFonts w:ascii="Times New Roman" w:cs="Times New Roman" w:eastAsia="Times New Roman" w:hAnsi="Times New Roman"/>
          <w:sz w:val="14"/>
          <w:szCs w:val="14"/>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82" w:lineRule="exact"/>
        <w:rPr>
          <w:sz w:val="20"/>
          <w:szCs w:val="20"/>
          <w:color w:val="auto"/>
        </w:rPr>
      </w:pPr>
    </w:p>
    <w:p>
      <w:pPr>
        <w:ind w:left="980" w:hanging="486"/>
        <w:spacing w:after="0"/>
        <w:tabs>
          <w:tab w:leader="none" w:pos="98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Exceptions from Reporting Requirements.</w:t>
      </w:r>
    </w:p>
    <w:p>
      <w:pPr>
        <w:spacing w:after="0" w:line="136" w:lineRule="exact"/>
        <w:rPr>
          <w:sz w:val="20"/>
          <w:szCs w:val="20"/>
          <w:color w:val="auto"/>
        </w:rPr>
      </w:pPr>
    </w:p>
    <w:p>
      <w:pPr>
        <w:ind w:right="160" w:firstLine="496"/>
        <w:spacing w:after="0"/>
        <w:rPr>
          <w:sz w:val="20"/>
          <w:szCs w:val="20"/>
          <w:color w:val="auto"/>
        </w:rPr>
      </w:pPr>
      <w:r>
        <w:rPr>
          <w:rFonts w:ascii="Times New Roman" w:cs="Times New Roman" w:eastAsia="Times New Roman" w:hAnsi="Times New Roman"/>
          <w:sz w:val="14"/>
          <w:szCs w:val="14"/>
          <w:color w:val="auto"/>
        </w:rPr>
        <w:t>Reports are not required: (1) with respect to securities held in accounts over which the access person has no direct or indirect influence or control as determined by the CCO in accordance with applicable guidance, a “Third Party Managed Account”; (2) with respect to transactions effected pursuant to an automatic investment plan; or (3) which would duplicate information contained in broker trade confirmations or account statements provided the adviser receives such confirmations or statements within 30 days after the end of the applicable calendar quarter and holds them in its books and records. PennantPark allows, but does not require, Access Persons to direct their brokers to provide duplicate statements and confirmations for this purpose.</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98" w:name="page99"/>
    <w:bookmarkEnd w:id="98"/>
    <w:p>
      <w:pPr>
        <w:ind w:left="980" w:hanging="486"/>
        <w:spacing w:after="0"/>
        <w:tabs>
          <w:tab w:leader="none" w:pos="9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Blind Trusts and other Third Party Managed Accounts.</w:t>
      </w:r>
    </w:p>
    <w:p>
      <w:pPr>
        <w:spacing w:after="0" w:line="136" w:lineRule="exact"/>
        <w:rPr>
          <w:sz w:val="20"/>
          <w:szCs w:val="20"/>
          <w:color w:val="auto"/>
        </w:rPr>
      </w:pPr>
    </w:p>
    <w:p>
      <w:pPr>
        <w:ind w:right="100" w:firstLine="496"/>
        <w:spacing w:after="0" w:line="229" w:lineRule="auto"/>
        <w:rPr>
          <w:sz w:val="20"/>
          <w:szCs w:val="20"/>
          <w:color w:val="auto"/>
        </w:rPr>
      </w:pPr>
      <w:r>
        <w:rPr>
          <w:rFonts w:ascii="Times New Roman" w:cs="Times New Roman" w:eastAsia="Times New Roman" w:hAnsi="Times New Roman"/>
          <w:sz w:val="14"/>
          <w:szCs w:val="14"/>
          <w:color w:val="auto"/>
        </w:rPr>
        <w:t>Rule 204A-1(b)(3)(i) provides that an access person is not required “to submit . . . any report [(i.e., initial and annual holdings reports and quarterly transaction reports)] with respect to securities held in accounts over which the access person has no direct or indirect influence or control.” Examples of such accounts include “Blind Trusts” where the access person has no knowledge of specific actions taken by the Trustee with respect to Trust investments and no right to intervene in the trustee’s management. Additionally, accounts with similar features that limit the access person’s involvement, including other types of trusts and accounts managed by an unaffiliated manager with discretionary authority. However, the mere retention of a trustee or manager to advise an access person’s account on a discretionary basis is not, by itself, sufficient to allow for a conclusion that the access person has no direct or indirect influence or control. Rather, under the Guidance, the adviser must make a reasonable determination, based on reasonably designed policies and procedures, whether “the access person actually had direct or indirect influence or control over the trust or account, rather than whether the third-party manager had discretionary or non-discretionary investment authority.”</w:t>
      </w:r>
    </w:p>
    <w:p>
      <w:pPr>
        <w:spacing w:after="0" w:line="99" w:lineRule="exact"/>
        <w:rPr>
          <w:sz w:val="20"/>
          <w:szCs w:val="20"/>
          <w:color w:val="auto"/>
        </w:rPr>
      </w:pPr>
    </w:p>
    <w:p>
      <w:pPr>
        <w:ind w:firstLine="496"/>
        <w:spacing w:after="0" w:line="228" w:lineRule="auto"/>
        <w:rPr>
          <w:sz w:val="20"/>
          <w:szCs w:val="20"/>
          <w:color w:val="auto"/>
        </w:rPr>
      </w:pPr>
      <w:r>
        <w:rPr>
          <w:rFonts w:ascii="Times New Roman" w:cs="Times New Roman" w:eastAsia="Times New Roman" w:hAnsi="Times New Roman"/>
          <w:sz w:val="14"/>
          <w:szCs w:val="14"/>
          <w:color w:val="auto"/>
        </w:rPr>
        <w:t>Access persons who wish to rely on this exception with respect to any account which otherwise would be reportable must register the account with the CCO who will determine, based on relevant facts and circumstances (including the terms of the account), whether the access person has direct or indirect influence or control over the account. An access person would have direct or indirect influence or control over an account where the access person (i) has the ability to suggest or direct purchases or sales; (ii) consults with the trustee or manager as to the particular allocation of investments to be made in the account; or (iii) engages in regular and substantive discussions with the trustee or manager with respect to account holdings. However, the following activities would not preclude the CCO from determining that an account is a Third Party Managed Account: (i) the access person provides information about his or her investment objectives and reasonable restrictions; (ii) the trustee or manager provides summary descriptions or explanations (whether written or oral) regarding account activity to the access person, provided that the access person does not provide suggestions or directions to the trustee or manager; and (iii) the access person is able to make contributions to and withdrawals from the account, provided that the access person may not instruct the trustee or manager as to specific securities or types of securities which should be purchased or liquidated in connection with the contribution or withdrawal.</w:t>
      </w:r>
    </w:p>
    <w:p>
      <w:pPr>
        <w:spacing w:after="0" w:line="113" w:lineRule="exact"/>
        <w:rPr>
          <w:sz w:val="20"/>
          <w:szCs w:val="20"/>
          <w:color w:val="auto"/>
        </w:rPr>
      </w:pPr>
    </w:p>
    <w:p>
      <w:pPr>
        <w:ind w:right="240" w:firstLine="496"/>
        <w:spacing w:after="0" w:line="261" w:lineRule="auto"/>
        <w:rPr>
          <w:sz w:val="20"/>
          <w:szCs w:val="20"/>
          <w:color w:val="auto"/>
        </w:rPr>
      </w:pPr>
      <w:r>
        <w:rPr>
          <w:rFonts w:ascii="Times New Roman" w:cs="Times New Roman" w:eastAsia="Times New Roman" w:hAnsi="Times New Roman"/>
          <w:sz w:val="14"/>
          <w:szCs w:val="14"/>
          <w:color w:val="auto"/>
        </w:rPr>
        <w:t>No account shall be treated as a Third Party Managed Account until the CCO determines and informs the access person that the account meets the relevant requirements. In making a determination that an account meets the requirements to be treated as a Third Party Managed Account, the CCO may consider, as he or she determines relevant under the circumstances:</w:t>
      </w:r>
    </w:p>
    <w:p>
      <w:pPr>
        <w:spacing w:after="0" w:line="95" w:lineRule="exact"/>
        <w:rPr>
          <w:sz w:val="20"/>
          <w:szCs w:val="20"/>
          <w:color w:val="auto"/>
        </w:rPr>
      </w:pPr>
    </w:p>
    <w:p>
      <w:pPr>
        <w:ind w:left="980" w:hanging="486"/>
        <w:spacing w:after="0"/>
        <w:tabs>
          <w:tab w:leader="none" w:pos="9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account or trust documentation, including the advisory agreement;</w:t>
      </w:r>
    </w:p>
    <w:p>
      <w:pPr>
        <w:spacing w:after="0" w:line="136" w:lineRule="exact"/>
        <w:rPr>
          <w:rFonts w:ascii="Times New Roman" w:cs="Times New Roman" w:eastAsia="Times New Roman" w:hAnsi="Times New Roman"/>
          <w:sz w:val="14"/>
          <w:szCs w:val="14"/>
          <w:color w:val="auto"/>
        </w:rPr>
      </w:pPr>
    </w:p>
    <w:p>
      <w:pPr>
        <w:ind w:left="980" w:right="260" w:hanging="486"/>
        <w:spacing w:after="0" w:line="261" w:lineRule="auto"/>
        <w:tabs>
          <w:tab w:leader="none" w:pos="9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obtained from the access person as to the nature of the access person’s relationship with the trustee or manager (e.g., whether the trustee or manager is a friend or relative of the access person; whether the advisory firm is affiliated with PennantPark);</w:t>
      </w:r>
    </w:p>
    <w:p>
      <w:pPr>
        <w:spacing w:after="0" w:line="95" w:lineRule="exact"/>
        <w:rPr>
          <w:rFonts w:ascii="Times New Roman" w:cs="Times New Roman" w:eastAsia="Times New Roman" w:hAnsi="Times New Roman"/>
          <w:sz w:val="14"/>
          <w:szCs w:val="14"/>
          <w:color w:val="auto"/>
        </w:rPr>
      </w:pPr>
    </w:p>
    <w:p>
      <w:pPr>
        <w:ind w:left="980" w:right="160" w:hanging="486"/>
        <w:spacing w:after="0" w:line="261" w:lineRule="auto"/>
        <w:tabs>
          <w:tab w:leader="none" w:pos="9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Specific periodic certifications from the access person, trustee and/or manager, as to the nature of the account and whether the access person has sought to exercise influence or control over the trustee or manager;</w:t>
      </w:r>
    </w:p>
    <w:p>
      <w:pPr>
        <w:spacing w:after="0" w:line="95" w:lineRule="exact"/>
        <w:rPr>
          <w:rFonts w:ascii="Times New Roman" w:cs="Times New Roman" w:eastAsia="Times New Roman" w:hAnsi="Times New Roman"/>
          <w:sz w:val="14"/>
          <w:szCs w:val="14"/>
          <w:color w:val="auto"/>
        </w:rPr>
      </w:pPr>
    </w:p>
    <w:p>
      <w:pPr>
        <w:ind w:left="980" w:right="820" w:hanging="486"/>
        <w:spacing w:after="0" w:line="261" w:lineRule="auto"/>
        <w:tabs>
          <w:tab w:leader="none" w:pos="9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Certification or representation from the access person that he or she has reviewed the Code, including this section defining the exception and describing the relevant determinative factors as to concluding that the access person does not exercise direct or indirect influence or control; and</w:t>
      </w:r>
    </w:p>
    <w:p>
      <w:pPr>
        <w:spacing w:after="0" w:line="95"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that the CCO believes necessary or appropriate to determine whether the account meets the standards set forth herein.</w:t>
      </w:r>
    </w:p>
    <w:p>
      <w:pPr>
        <w:spacing w:after="0" w:line="136" w:lineRule="exact"/>
        <w:rPr>
          <w:sz w:val="20"/>
          <w:szCs w:val="20"/>
          <w:color w:val="auto"/>
        </w:rPr>
      </w:pPr>
    </w:p>
    <w:p>
      <w:pPr>
        <w:ind w:right="20" w:firstLine="496"/>
        <w:spacing w:after="0" w:line="233" w:lineRule="auto"/>
        <w:rPr>
          <w:sz w:val="20"/>
          <w:szCs w:val="20"/>
          <w:color w:val="auto"/>
        </w:rPr>
      </w:pPr>
      <w:r>
        <w:rPr>
          <w:rFonts w:ascii="Times New Roman" w:cs="Times New Roman" w:eastAsia="Times New Roman" w:hAnsi="Times New Roman"/>
          <w:sz w:val="14"/>
          <w:szCs w:val="14"/>
          <w:color w:val="auto"/>
        </w:rPr>
        <w:t>The CCO will document, in writing, his or her conclusion as to whether the account meets the requirements to be treated as a Third Party Managed Account to rely on the reporting exception and will periodically review such determination with the access person. The CCO may require that the access person (and, where appropriate, the manager/trustee) provide additional or renewed certifications or information about the account. Additionally, the CCO may require that the access person provide reports on a sample basis as to account holdings and/or transactions. The CCO will review any such reports to determine whether transactions in the account would have been inconsistent with this Code absent reliance on the reporting exception. The CCO will keep relevant records to document these reviews and support his or her conclusions as to the status of the relevant account(s).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VII Additional Prohibitions</w:t>
      </w:r>
    </w:p>
    <w:p>
      <w:pPr>
        <w:spacing w:after="0" w:line="138" w:lineRule="exact"/>
        <w:rPr>
          <w:sz w:val="20"/>
          <w:szCs w:val="20"/>
          <w:color w:val="auto"/>
        </w:rPr>
      </w:pPr>
    </w:p>
    <w:p>
      <w:pPr>
        <w:ind w:left="980" w:hanging="486"/>
        <w:spacing w:after="0"/>
        <w:tabs>
          <w:tab w:leader="none" w:pos="9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Confidentiality of the Corporation’s Transactions.</w:t>
      </w:r>
    </w:p>
    <w:p>
      <w:pPr>
        <w:spacing w:after="0" w:line="136" w:lineRule="exact"/>
        <w:rPr>
          <w:sz w:val="20"/>
          <w:szCs w:val="20"/>
          <w:color w:val="auto"/>
        </w:rPr>
      </w:pPr>
    </w:p>
    <w:p>
      <w:pPr>
        <w:ind w:right="320" w:firstLine="496"/>
        <w:spacing w:after="0" w:line="241" w:lineRule="auto"/>
        <w:rPr>
          <w:sz w:val="20"/>
          <w:szCs w:val="20"/>
          <w:color w:val="auto"/>
        </w:rPr>
      </w:pPr>
      <w:r>
        <w:rPr>
          <w:rFonts w:ascii="Times New Roman" w:cs="Times New Roman" w:eastAsia="Times New Roman" w:hAnsi="Times New Roman"/>
          <w:sz w:val="14"/>
          <w:szCs w:val="14"/>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109" w:lineRule="exact"/>
        <w:rPr>
          <w:sz w:val="20"/>
          <w:szCs w:val="20"/>
          <w:color w:val="auto"/>
        </w:rPr>
      </w:pPr>
    </w:p>
    <w:p>
      <w:pPr>
        <w:ind w:left="980" w:hanging="486"/>
        <w:spacing w:after="0"/>
        <w:tabs>
          <w:tab w:leader="none" w:pos="9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Outside Business Activities and Directorships.</w:t>
      </w:r>
    </w:p>
    <w:p>
      <w:pPr>
        <w:spacing w:after="0" w:line="136" w:lineRule="exact"/>
        <w:rPr>
          <w:sz w:val="20"/>
          <w:szCs w:val="20"/>
          <w:color w:val="auto"/>
        </w:rPr>
      </w:pPr>
    </w:p>
    <w:p>
      <w:pPr>
        <w:ind w:right="100" w:firstLine="496"/>
        <w:spacing w:after="0" w:line="241" w:lineRule="auto"/>
        <w:rPr>
          <w:sz w:val="20"/>
          <w:szCs w:val="20"/>
          <w:color w:val="auto"/>
        </w:rPr>
      </w:pPr>
      <w:r>
        <w:rPr>
          <w:rFonts w:ascii="Times New Roman" w:cs="Times New Roman" w:eastAsia="Times New Roman" w:hAnsi="Times New Roman"/>
          <w:sz w:val="14"/>
          <w:szCs w:val="14"/>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96" w:lineRule="exact"/>
        <w:rPr>
          <w:sz w:val="20"/>
          <w:szCs w:val="20"/>
          <w:color w:val="auto"/>
        </w:rPr>
      </w:pPr>
    </w:p>
    <w:p>
      <w:pPr>
        <w:ind w:left="980" w:hanging="486"/>
        <w:spacing w:after="0"/>
        <w:tabs>
          <w:tab w:leader="none" w:pos="98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Gratuities.</w:t>
      </w:r>
    </w:p>
    <w:p>
      <w:pPr>
        <w:spacing w:after="0" w:line="136" w:lineRule="exact"/>
        <w:rPr>
          <w:sz w:val="20"/>
          <w:szCs w:val="20"/>
          <w:color w:val="auto"/>
        </w:rPr>
      </w:pPr>
    </w:p>
    <w:p>
      <w:pPr>
        <w:ind w:right="80" w:firstLine="496"/>
        <w:spacing w:after="0" w:line="261" w:lineRule="auto"/>
        <w:rPr>
          <w:sz w:val="20"/>
          <w:szCs w:val="20"/>
          <w:color w:val="auto"/>
        </w:rPr>
      </w:pPr>
      <w:r>
        <w:rPr>
          <w:rFonts w:ascii="Times New Roman" w:cs="Times New Roman" w:eastAsia="Times New Roman" w:hAnsi="Times New Roman"/>
          <w:sz w:val="14"/>
          <w:szCs w:val="14"/>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Section VIII Prohibition Against Insider Trading</w:t>
      </w:r>
    </w:p>
    <w:p>
      <w:pPr>
        <w:spacing w:after="0" w:line="125" w:lineRule="exact"/>
        <w:rPr>
          <w:sz w:val="20"/>
          <w:szCs w:val="20"/>
          <w:color w:val="auto"/>
        </w:rPr>
      </w:pPr>
    </w:p>
    <w:p>
      <w:pPr>
        <w:ind w:firstLine="496"/>
        <w:spacing w:after="0" w:line="233" w:lineRule="auto"/>
        <w:rPr>
          <w:sz w:val="20"/>
          <w:szCs w:val="20"/>
          <w:color w:val="auto"/>
        </w:rPr>
      </w:pPr>
      <w:r>
        <w:rPr>
          <w:rFonts w:ascii="Times New Roman" w:cs="Times New Roman" w:eastAsia="Times New Roman" w:hAnsi="Times New Roman"/>
          <w:sz w:val="14"/>
          <w:szCs w:val="14"/>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pacing w:after="0" w:line="110" w:lineRule="exact"/>
        <w:rPr>
          <w:sz w:val="20"/>
          <w:szCs w:val="20"/>
          <w:color w:val="auto"/>
        </w:rPr>
      </w:pPr>
    </w:p>
    <w:p>
      <w:pPr>
        <w:jc w:val="both"/>
        <w:ind w:left="980" w:right="580" w:hanging="486"/>
        <w:spacing w:after="0" w:line="261" w:lineRule="auto"/>
        <w:tabs>
          <w:tab w:leader="none" w:pos="9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95" w:lineRule="exact"/>
        <w:rPr>
          <w:rFonts w:ascii="Times New Roman" w:cs="Times New Roman" w:eastAsia="Times New Roman" w:hAnsi="Times New Roman"/>
          <w:sz w:val="14"/>
          <w:szCs w:val="14"/>
          <w:color w:val="auto"/>
        </w:rPr>
      </w:pPr>
    </w:p>
    <w:p>
      <w:pPr>
        <w:ind w:left="980" w:right="120" w:hanging="486"/>
        <w:spacing w:after="0" w:line="229" w:lineRule="auto"/>
        <w:tabs>
          <w:tab w:leader="none" w:pos="9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112" w:lineRule="exact"/>
        <w:rPr>
          <w:rFonts w:ascii="Times New Roman" w:cs="Times New Roman" w:eastAsia="Times New Roman" w:hAnsi="Times New Roman"/>
          <w:sz w:val="14"/>
          <w:szCs w:val="14"/>
          <w:color w:val="auto"/>
        </w:rPr>
      </w:pPr>
    </w:p>
    <w:p>
      <w:pPr>
        <w:ind w:left="980" w:right="100" w:hanging="486"/>
        <w:spacing w:after="0" w:line="241" w:lineRule="auto"/>
        <w:tabs>
          <w:tab w:leader="none" w:pos="9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Information is “public” when it has been disseminated broadly to investors in the marketplace. For example, information is public after it has become available to the general public through a public filing with the SEC or some other government agency, the Dow Jones “tape” or </w:t>
      </w:r>
      <w:r>
        <w:rPr>
          <w:rFonts w:ascii="Times New Roman" w:cs="Times New Roman" w:eastAsia="Times New Roman" w:hAnsi="Times New Roman"/>
          <w:sz w:val="14"/>
          <w:szCs w:val="14"/>
          <w:i w:val="1"/>
          <w:iCs w:val="1"/>
          <w:color w:val="auto"/>
        </w:rPr>
        <w:t>The Wall Street Journal</w:t>
      </w:r>
      <w:r>
        <w:rPr>
          <w:rFonts w:ascii="Times New Roman" w:cs="Times New Roman" w:eastAsia="Times New Roman" w:hAnsi="Times New Roman"/>
          <w:sz w:val="14"/>
          <w:szCs w:val="14"/>
          <w:color w:val="auto"/>
        </w:rPr>
        <w:t xml:space="preserve"> or some other publication of general circulation, and after sufficient time has passed so that the information has been disseminated widely.</w:t>
      </w:r>
    </w:p>
    <w:p>
      <w:pPr>
        <w:spacing w:after="0" w:line="109" w:lineRule="exact"/>
        <w:rPr>
          <w:rFonts w:ascii="Times New Roman" w:cs="Times New Roman" w:eastAsia="Times New Roman" w:hAnsi="Times New Roman"/>
          <w:sz w:val="14"/>
          <w:szCs w:val="14"/>
          <w:color w:val="auto"/>
        </w:rPr>
      </w:pPr>
    </w:p>
    <w:p>
      <w:pPr>
        <w:ind w:left="980" w:right="20" w:hanging="486"/>
        <w:spacing w:after="0" w:line="241" w:lineRule="auto"/>
        <w:tabs>
          <w:tab w:leader="none" w:pos="98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109" w:lineRule="exact"/>
        <w:rPr>
          <w:rFonts w:ascii="Times New Roman" w:cs="Times New Roman" w:eastAsia="Times New Roman" w:hAnsi="Times New Roman"/>
          <w:sz w:val="14"/>
          <w:szCs w:val="14"/>
          <w:color w:val="auto"/>
        </w:rPr>
      </w:pPr>
    </w:p>
    <w:p>
      <w:pPr>
        <w:ind w:left="1480" w:hanging="487"/>
        <w:spacing w:after="0"/>
        <w:tabs>
          <w:tab w:leader="none" w:pos="148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 the information and proposed trade immediately to the Chief Compliance Officer.</w:t>
      </w:r>
    </w:p>
    <w:p>
      <w:pPr>
        <w:spacing w:after="0" w:line="136" w:lineRule="exact"/>
        <w:rPr>
          <w:rFonts w:ascii="Times New Roman" w:cs="Times New Roman" w:eastAsia="Times New Roman" w:hAnsi="Times New Roman"/>
          <w:sz w:val="14"/>
          <w:szCs w:val="14"/>
          <w:color w:val="auto"/>
        </w:rPr>
      </w:pPr>
    </w:p>
    <w:p>
      <w:pPr>
        <w:ind w:left="1480" w:hanging="487"/>
        <w:spacing w:after="0"/>
        <w:tabs>
          <w:tab w:leader="none" w:pos="148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purchase or sell the securities on behalf of anyone, including Client Accounts.</w:t>
      </w:r>
    </w:p>
    <w:p>
      <w:pPr>
        <w:spacing w:after="0" w:line="136" w:lineRule="exact"/>
        <w:rPr>
          <w:rFonts w:ascii="Times New Roman" w:cs="Times New Roman" w:eastAsia="Times New Roman" w:hAnsi="Times New Roman"/>
          <w:sz w:val="14"/>
          <w:szCs w:val="14"/>
          <w:color w:val="auto"/>
        </w:rPr>
      </w:pPr>
    </w:p>
    <w:p>
      <w:pPr>
        <w:ind w:left="1480" w:hanging="487"/>
        <w:spacing w:after="0"/>
        <w:tabs>
          <w:tab w:leader="none" w:pos="1480" w:val="left"/>
        </w:tabs>
        <w:numPr>
          <w:ilvl w:val="1"/>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communicate the information to any person, other than to the Chief Compliance Officer.</w:t>
      </w:r>
    </w:p>
    <w:p>
      <w:pPr>
        <w:spacing w:after="0" w:line="136" w:lineRule="exact"/>
        <w:rPr>
          <w:sz w:val="20"/>
          <w:szCs w:val="20"/>
          <w:color w:val="auto"/>
        </w:rPr>
      </w:pPr>
    </w:p>
    <w:p>
      <w:pPr>
        <w:jc w:val="both"/>
        <w:ind w:right="160" w:firstLine="496"/>
        <w:spacing w:after="0" w:line="241" w:lineRule="auto"/>
        <w:rPr>
          <w:sz w:val="20"/>
          <w:szCs w:val="20"/>
          <w:color w:val="auto"/>
        </w:rPr>
      </w:pPr>
      <w:r>
        <w:rPr>
          <w:rFonts w:ascii="Times New Roman" w:cs="Times New Roman" w:eastAsia="Times New Roman" w:hAnsi="Times New Roman"/>
          <w:sz w:val="14"/>
          <w:szCs w:val="14"/>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109" w:lineRule="exact"/>
        <w:rPr>
          <w:sz w:val="20"/>
          <w:szCs w:val="20"/>
          <w:color w:val="auto"/>
        </w:rPr>
      </w:pPr>
    </w:p>
    <w:p>
      <w:pPr>
        <w:jc w:val="both"/>
        <w:ind w:left="980" w:right="60" w:hanging="486"/>
        <w:spacing w:after="0" w:line="229" w:lineRule="auto"/>
        <w:tabs>
          <w:tab w:leader="none" w:pos="9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w:t>
      </w:r>
    </w:p>
    <w:p>
      <w:pPr>
        <w:ind w:left="980" w:right="20"/>
        <w:spacing w:after="0" w:line="23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109" w:lineRule="exact"/>
        <w:rPr>
          <w:rFonts w:ascii="Times New Roman" w:cs="Times New Roman" w:eastAsia="Times New Roman" w:hAnsi="Times New Roman"/>
          <w:sz w:val="14"/>
          <w:szCs w:val="14"/>
          <w:color w:val="auto"/>
        </w:rPr>
      </w:pPr>
    </w:p>
    <w:p>
      <w:pPr>
        <w:ind w:left="980" w:right="20" w:hanging="486"/>
        <w:spacing w:after="0" w:line="231" w:lineRule="auto"/>
        <w:tabs>
          <w:tab w:leader="none" w:pos="9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IX Annual Certification</w:t>
      </w:r>
    </w:p>
    <w:p>
      <w:pPr>
        <w:spacing w:after="0" w:line="125" w:lineRule="exact"/>
        <w:rPr>
          <w:sz w:val="20"/>
          <w:szCs w:val="20"/>
          <w:color w:val="auto"/>
        </w:rPr>
      </w:pPr>
    </w:p>
    <w:p>
      <w:pPr>
        <w:ind w:left="980" w:hanging="486"/>
        <w:spacing w:after="0"/>
        <w:tabs>
          <w:tab w:leader="none" w:pos="98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Persons.</w:t>
      </w:r>
    </w:p>
    <w:p>
      <w:pPr>
        <w:spacing w:after="0" w:line="136" w:lineRule="exact"/>
        <w:rPr>
          <w:sz w:val="20"/>
          <w:szCs w:val="20"/>
          <w:color w:val="auto"/>
        </w:rPr>
      </w:pPr>
    </w:p>
    <w:p>
      <w:pPr>
        <w:ind w:right="340" w:firstLine="496"/>
        <w:spacing w:after="0" w:line="261" w:lineRule="auto"/>
        <w:rPr>
          <w:sz w:val="20"/>
          <w:szCs w:val="20"/>
          <w:color w:val="auto"/>
        </w:rPr>
      </w:pPr>
      <w:r>
        <w:rPr>
          <w:rFonts w:ascii="Times New Roman" w:cs="Times New Roman" w:eastAsia="Times New Roman" w:hAnsi="Times New Roman"/>
          <w:sz w:val="14"/>
          <w:szCs w:val="14"/>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95" w:lineRule="exact"/>
        <w:rPr>
          <w:sz w:val="20"/>
          <w:szCs w:val="20"/>
          <w:color w:val="auto"/>
        </w:rPr>
      </w:pPr>
    </w:p>
    <w:p>
      <w:pPr>
        <w:ind w:left="980" w:hanging="486"/>
        <w:spacing w:after="0"/>
        <w:tabs>
          <w:tab w:leader="none" w:pos="98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Board Review.</w:t>
      </w:r>
    </w:p>
    <w:p>
      <w:pPr>
        <w:spacing w:after="0" w:line="136" w:lineRule="exact"/>
        <w:rPr>
          <w:sz w:val="20"/>
          <w:szCs w:val="20"/>
          <w:color w:val="auto"/>
        </w:rPr>
      </w:pPr>
    </w:p>
    <w:p>
      <w:pPr>
        <w:ind w:right="200" w:firstLine="496"/>
        <w:spacing w:after="0"/>
        <w:rPr>
          <w:sz w:val="20"/>
          <w:szCs w:val="20"/>
          <w:color w:val="auto"/>
        </w:rPr>
      </w:pPr>
      <w:r>
        <w:rPr>
          <w:rFonts w:ascii="Times New Roman" w:cs="Times New Roman" w:eastAsia="Times New Roman" w:hAnsi="Times New Roman"/>
          <w:sz w:val="14"/>
          <w:szCs w:val="14"/>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3"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t>Section X Sanctions</w:t>
      </w:r>
    </w:p>
    <w:p>
      <w:pPr>
        <w:spacing w:after="0" w:line="125" w:lineRule="exact"/>
        <w:rPr>
          <w:sz w:val="20"/>
          <w:szCs w:val="20"/>
          <w:color w:val="auto"/>
        </w:rPr>
      </w:pPr>
    </w:p>
    <w:p>
      <w:pPr>
        <w:ind w:right="40" w:firstLine="496"/>
        <w:spacing w:after="0" w:line="233" w:lineRule="auto"/>
        <w:rPr>
          <w:sz w:val="20"/>
          <w:szCs w:val="20"/>
          <w:color w:val="auto"/>
        </w:rPr>
      </w:pPr>
      <w:r>
        <w:rPr>
          <w:rFonts w:ascii="Times New Roman" w:cs="Times New Roman" w:eastAsia="Times New Roman" w:hAnsi="Times New Roman"/>
          <w:sz w:val="14"/>
          <w:szCs w:val="14"/>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 termination of employment, a letter of censure and/or restitution of an amount equal to the difference between the price paid or received by the Corporation and the more advantageous price paid or received by the offending person.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Section XI Administration and Construction</w:t>
      </w:r>
    </w:p>
    <w:p>
      <w:pPr>
        <w:spacing w:after="0" w:line="138" w:lineRule="exact"/>
        <w:rPr>
          <w:sz w:val="20"/>
          <w:szCs w:val="20"/>
          <w:color w:val="auto"/>
        </w:rPr>
      </w:pPr>
    </w:p>
    <w:p>
      <w:pPr>
        <w:ind w:left="980" w:hanging="486"/>
        <w:spacing w:after="0"/>
        <w:tabs>
          <w:tab w:leader="none" w:pos="9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administration of this Code shall be the responsibility of the Chief Compliance Officer.</w:t>
      </w:r>
    </w:p>
    <w:p>
      <w:pPr>
        <w:spacing w:after="0" w:line="136"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duties of the Chief Compliance Officer are as follows:</w:t>
      </w:r>
    </w:p>
    <w:p>
      <w:pPr>
        <w:spacing w:after="0" w:line="136" w:lineRule="exact"/>
        <w:rPr>
          <w:sz w:val="20"/>
          <w:szCs w:val="20"/>
          <w:color w:val="auto"/>
        </w:rPr>
      </w:pPr>
    </w:p>
    <w:p>
      <w:pPr>
        <w:jc w:val="both"/>
        <w:ind w:left="980" w:right="20" w:hanging="486"/>
        <w:spacing w:after="0" w:line="241" w:lineRule="auto"/>
        <w:tabs>
          <w:tab w:leader="none" w:pos="9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09" w:lineRule="exact"/>
        <w:rPr>
          <w:rFonts w:ascii="Times New Roman" w:cs="Times New Roman" w:eastAsia="Times New Roman" w:hAnsi="Times New Roman"/>
          <w:sz w:val="14"/>
          <w:szCs w:val="14"/>
          <w:color w:val="auto"/>
        </w:rPr>
      </w:pPr>
    </w:p>
    <w:p>
      <w:pPr>
        <w:ind w:left="980" w:right="460" w:hanging="486"/>
        <w:spacing w:after="0" w:line="261" w:lineRule="auto"/>
        <w:tabs>
          <w:tab w:leader="none" w:pos="9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annual basis, providing all Covered Personnel a copy of this Code and informing such persons of their duties and obligations hereunder including any supplemental training that may be required from time to time;</w:t>
      </w:r>
    </w:p>
    <w:p>
      <w:pPr>
        <w:spacing w:after="0" w:line="95" w:lineRule="exact"/>
        <w:rPr>
          <w:rFonts w:ascii="Times New Roman" w:cs="Times New Roman" w:eastAsia="Times New Roman" w:hAnsi="Times New Roman"/>
          <w:sz w:val="14"/>
          <w:szCs w:val="14"/>
          <w:color w:val="auto"/>
        </w:rPr>
      </w:pPr>
    </w:p>
    <w:p>
      <w:pPr>
        <w:ind w:left="980" w:hanging="486"/>
        <w:spacing w:after="0"/>
        <w:tabs>
          <w:tab w:leader="none" w:pos="9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or supervising the maintenance of all records and reports required by this Code;</w:t>
      </w:r>
    </w:p>
    <w:p>
      <w:pPr>
        <w:spacing w:after="0" w:line="136" w:lineRule="exact"/>
        <w:rPr>
          <w:rFonts w:ascii="Times New Roman" w:cs="Times New Roman" w:eastAsia="Times New Roman" w:hAnsi="Times New Roman"/>
          <w:sz w:val="14"/>
          <w:szCs w:val="14"/>
          <w:color w:val="auto"/>
        </w:rPr>
      </w:pPr>
    </w:p>
    <w:p>
      <w:pPr>
        <w:ind w:left="980" w:right="640" w:hanging="486"/>
        <w:spacing w:after="0" w:line="261" w:lineRule="auto"/>
        <w:tabs>
          <w:tab w:leader="none" w:pos="9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95" w:lineRule="exact"/>
        <w:rPr>
          <w:rFonts w:ascii="Times New Roman" w:cs="Times New Roman" w:eastAsia="Times New Roman" w:hAnsi="Times New Roman"/>
          <w:sz w:val="14"/>
          <w:szCs w:val="14"/>
          <w:color w:val="auto"/>
        </w:rPr>
      </w:pPr>
    </w:p>
    <w:p>
      <w:pPr>
        <w:ind w:left="980" w:right="80" w:hanging="486"/>
        <w:spacing w:after="0" w:line="261" w:lineRule="auto"/>
        <w:tabs>
          <w:tab w:leader="none" w:pos="9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either personally or with the assistance of counsel as may be appropriate, of any interpretation of this Code that may appear consistent with the objectives of Rule 17j-1 and this Code;</w:t>
      </w:r>
    </w:p>
    <w:p>
      <w:pPr>
        <w:spacing w:after="0" w:line="95" w:lineRule="exact"/>
        <w:rPr>
          <w:rFonts w:ascii="Times New Roman" w:cs="Times New Roman" w:eastAsia="Times New Roman" w:hAnsi="Times New Roman"/>
          <w:sz w:val="14"/>
          <w:szCs w:val="14"/>
          <w:color w:val="auto"/>
        </w:rPr>
      </w:pPr>
    </w:p>
    <w:p>
      <w:pPr>
        <w:ind w:left="980" w:right="420" w:hanging="486"/>
        <w:spacing w:after="0" w:line="261" w:lineRule="auto"/>
        <w:tabs>
          <w:tab w:leader="none" w:pos="9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Conduct such inspections or investigations as shall reasonably be required to detect and report, with recommendations, any apparent violations of this Code to the board of directors of the Corporation;</w:t>
      </w:r>
    </w:p>
    <w:p>
      <w:pPr>
        <w:spacing w:after="0" w:line="95" w:lineRule="exact"/>
        <w:rPr>
          <w:rFonts w:ascii="Times New Roman" w:cs="Times New Roman" w:eastAsia="Times New Roman" w:hAnsi="Times New Roman"/>
          <w:sz w:val="14"/>
          <w:szCs w:val="14"/>
          <w:color w:val="auto"/>
        </w:rPr>
      </w:pPr>
    </w:p>
    <w:p>
      <w:pPr>
        <w:ind w:left="980" w:hanging="486"/>
        <w:spacing w:after="0" w:line="261" w:lineRule="auto"/>
        <w:tabs>
          <w:tab w:leader="none" w:pos="98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95" w:lineRule="exact"/>
        <w:rPr>
          <w:sz w:val="20"/>
          <w:szCs w:val="20"/>
          <w:color w:val="auto"/>
        </w:rPr>
      </w:pPr>
    </w:p>
    <w:p>
      <w:pPr>
        <w:ind w:left="980" w:right="320" w:hanging="486"/>
        <w:spacing w:after="0" w:line="261" w:lineRule="auto"/>
        <w:tabs>
          <w:tab w:leader="none" w:pos="98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Chief Financial Officer shall maintain and cause to be maintained in an easily accessible place at the principal place of business of the 17j-1 Organization, the following records:</w:t>
      </w:r>
    </w:p>
    <w:p>
      <w:pPr>
        <w:spacing w:after="0" w:line="95" w:lineRule="exact"/>
        <w:rPr>
          <w:sz w:val="20"/>
          <w:szCs w:val="20"/>
          <w:color w:val="auto"/>
        </w:rPr>
      </w:pPr>
    </w:p>
    <w:p>
      <w:pPr>
        <w:ind w:left="980" w:right="20" w:hanging="486"/>
        <w:spacing w:after="0" w:line="261" w:lineRule="auto"/>
        <w:tabs>
          <w:tab w:leader="none" w:pos="9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all codes of ethics adopted by the Corporation or the Adviser and its affiliates, as the case may be, pursuant to Rule 17j-1 that have been in effect at any time during the past five (5) years;</w:t>
      </w:r>
    </w:p>
    <w:p>
      <w:pPr>
        <w:spacing w:after="0" w:line="95" w:lineRule="exact"/>
        <w:rPr>
          <w:rFonts w:ascii="Times New Roman" w:cs="Times New Roman" w:eastAsia="Times New Roman" w:hAnsi="Times New Roman"/>
          <w:sz w:val="14"/>
          <w:szCs w:val="14"/>
          <w:color w:val="auto"/>
        </w:rPr>
      </w:pPr>
    </w:p>
    <w:p>
      <w:pPr>
        <w:ind w:left="980" w:right="460" w:hanging="486"/>
        <w:spacing w:after="0" w:line="261" w:lineRule="auto"/>
        <w:tabs>
          <w:tab w:leader="none" w:pos="9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record of each violation of such codes of ethics and of any action taken as a result of such violation for at least five (5) years after the end of the fiscal year in which the violation occurs;</w:t>
      </w:r>
    </w:p>
    <w:p>
      <w:pPr>
        <w:spacing w:after="0" w:line="95" w:lineRule="exact"/>
        <w:rPr>
          <w:rFonts w:ascii="Times New Roman" w:cs="Times New Roman" w:eastAsia="Times New Roman" w:hAnsi="Times New Roman"/>
          <w:sz w:val="14"/>
          <w:szCs w:val="14"/>
          <w:color w:val="auto"/>
        </w:rPr>
      </w:pPr>
    </w:p>
    <w:p>
      <w:pPr>
        <w:ind w:left="980" w:right="260" w:hanging="486"/>
        <w:spacing w:after="0" w:line="261" w:lineRule="auto"/>
        <w:tabs>
          <w:tab w:leader="none" w:pos="9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report made by an Access Person for at least two (2) years after the end of the fiscal year in which the report is made, and for an additional three (3) years in a place that need not be easily accessible;</w:t>
      </w:r>
    </w:p>
    <w:p>
      <w:pPr>
        <w:spacing w:after="0" w:line="95" w:lineRule="exact"/>
        <w:rPr>
          <w:rFonts w:ascii="Times New Roman" w:cs="Times New Roman" w:eastAsia="Times New Roman" w:hAnsi="Times New Roman"/>
          <w:sz w:val="14"/>
          <w:szCs w:val="14"/>
          <w:color w:val="auto"/>
        </w:rPr>
      </w:pPr>
    </w:p>
    <w:p>
      <w:pPr>
        <w:ind w:left="980" w:right="100" w:hanging="486"/>
        <w:spacing w:after="0" w:line="261" w:lineRule="auto"/>
        <w:tabs>
          <w:tab w:leader="none" w:pos="9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95" w:lineRule="exact"/>
        <w:rPr>
          <w:rFonts w:ascii="Times New Roman" w:cs="Times New Roman" w:eastAsia="Times New Roman" w:hAnsi="Times New Roman"/>
          <w:sz w:val="14"/>
          <w:szCs w:val="14"/>
          <w:color w:val="auto"/>
        </w:rPr>
      </w:pPr>
    </w:p>
    <w:p>
      <w:pPr>
        <w:ind w:left="980" w:right="40" w:hanging="486"/>
        <w:spacing w:after="0" w:line="261" w:lineRule="auto"/>
        <w:tabs>
          <w:tab w:leader="none" w:pos="9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list of all persons who are, or within the past five (5) years have been, required to make reports pursuant to the Rule and this Code of Ethics, or who are or were responsible for reviewing such reports;</w:t>
      </w:r>
    </w:p>
    <w:p>
      <w:pPr>
        <w:spacing w:after="0" w:line="95" w:lineRule="exact"/>
        <w:rPr>
          <w:rFonts w:ascii="Times New Roman" w:cs="Times New Roman" w:eastAsia="Times New Roman" w:hAnsi="Times New Roman"/>
          <w:sz w:val="14"/>
          <w:szCs w:val="14"/>
          <w:color w:val="auto"/>
        </w:rPr>
      </w:pPr>
    </w:p>
    <w:p>
      <w:pPr>
        <w:ind w:left="980" w:right="80" w:hanging="486"/>
        <w:spacing w:after="0" w:line="261" w:lineRule="auto"/>
        <w:tabs>
          <w:tab w:leader="none" w:pos="9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report required by Section VII (B) for at least two (2) years after the end of the fiscal year in which it is made, and for an additional three (3) years in a place that need not be easily accessible; and</w:t>
      </w:r>
    </w:p>
    <w:p>
      <w:pPr>
        <w:spacing w:after="0" w:line="95" w:lineRule="exact"/>
        <w:rPr>
          <w:rFonts w:ascii="Times New Roman" w:cs="Times New Roman" w:eastAsia="Times New Roman" w:hAnsi="Times New Roman"/>
          <w:sz w:val="14"/>
          <w:szCs w:val="14"/>
          <w:color w:val="auto"/>
        </w:rPr>
      </w:pPr>
    </w:p>
    <w:p>
      <w:pPr>
        <w:ind w:left="980" w:right="40" w:hanging="486"/>
        <w:spacing w:after="0" w:line="261" w:lineRule="auto"/>
        <w:tabs>
          <w:tab w:leader="none" w:pos="98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95" w:lineRule="exact"/>
        <w:rPr>
          <w:sz w:val="20"/>
          <w:szCs w:val="20"/>
          <w:color w:val="auto"/>
        </w:rPr>
      </w:pPr>
    </w:p>
    <w:p>
      <w:pPr>
        <w:ind w:left="980" w:hanging="486"/>
        <w:spacing w:after="0"/>
        <w:tabs>
          <w:tab w:leader="none" w:pos="9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Code may not be amended or modified except in a written form that is specifically approved by majority vote of the Independent Directors.</w:t>
      </w:r>
    </w:p>
    <w:p>
      <w:pPr>
        <w:spacing w:after="0" w:line="136" w:lineRule="exact"/>
        <w:rPr>
          <w:sz w:val="20"/>
          <w:szCs w:val="20"/>
          <w:color w:val="auto"/>
        </w:rPr>
      </w:pPr>
    </w:p>
    <w:p>
      <w:pPr>
        <w:ind w:right="700" w:firstLine="496"/>
        <w:spacing w:after="0" w:line="261" w:lineRule="auto"/>
        <w:rPr>
          <w:sz w:val="20"/>
          <w:szCs w:val="20"/>
          <w:color w:val="auto"/>
        </w:rPr>
      </w:pPr>
      <w:r>
        <w:rPr>
          <w:rFonts w:ascii="Times New Roman" w:cs="Times New Roman" w:eastAsia="Times New Roman" w:hAnsi="Times New Roman"/>
          <w:sz w:val="14"/>
          <w:szCs w:val="14"/>
          <w:color w:val="auto"/>
        </w:rPr>
        <w:t>This Joint Code of Ethics, originally adopted December 12, 2007, is annually reviewed and approved by the Board of Directors of the Corporation, including a majority of the Independent Directors.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40"/>
          </w:cols>
          <w:pgMar w:left="320" w:top="493"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16"/>
                <w:szCs w:val="16"/>
                <w:color w:val="auto"/>
              </w:rPr>
            </w:pPr>
          </w:p>
        </w:tc>
        <w:tc>
          <w:tcPr>
            <w:tcW w:w="6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tc>
        <w:tc>
          <w:tcPr>
            <w:tcW w:w="0" w:type="dxa"/>
            <w:vAlign w:val="bottom"/>
          </w:tcPr>
          <w:p>
            <w:pPr>
              <w:spacing w:after="0"/>
              <w:rPr>
                <w:sz w:val="1"/>
                <w:szCs w:val="1"/>
                <w:color w:val="auto"/>
              </w:rPr>
            </w:pPr>
          </w:p>
        </w:tc>
      </w:tr>
      <w:tr>
        <w:trPr>
          <w:trHeight w:val="297"/>
        </w:trPr>
        <w:tc>
          <w:tcPr>
            <w:tcW w:w="4260" w:type="dxa"/>
            <w:vAlign w:val="bottom"/>
          </w:tcPr>
          <w:p>
            <w:pPr>
              <w:spacing w:after="0"/>
              <w:rPr>
                <w:sz w:val="24"/>
                <w:szCs w:val="24"/>
                <w:color w:val="auto"/>
              </w:rPr>
            </w:pPr>
          </w:p>
        </w:tc>
        <w:tc>
          <w:tcPr>
            <w:tcW w:w="6720" w:type="dxa"/>
            <w:vAlign w:val="bottom"/>
          </w:tcPr>
          <w:p>
            <w:pPr>
              <w:jc w:val="right"/>
              <w:ind w:right="4368"/>
              <w:spacing w:after="0"/>
              <w:rPr>
                <w:sz w:val="20"/>
                <w:szCs w:val="20"/>
                <w:color w:val="auto"/>
              </w:rPr>
            </w:pPr>
            <w:r>
              <w:rPr>
                <w:rFonts w:ascii="Times New Roman" w:cs="Times New Roman" w:eastAsia="Times New Roman" w:hAnsi="Times New Roman"/>
                <w:sz w:val="14"/>
                <w:szCs w:val="14"/>
                <w:b w:val="1"/>
                <w:bCs w:val="1"/>
                <w:color w:val="auto"/>
              </w:rPr>
              <w:t>Subsidiaries of the Registrant</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4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entity and place of jurisdiction</w:t>
            </w:r>
          </w:p>
        </w:tc>
        <w:tc>
          <w:tcPr>
            <w:tcW w:w="67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Voting Securities</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4260" w:type="dxa"/>
            <w:vAlign w:val="bottom"/>
            <w:vMerge w:val="continue"/>
          </w:tcPr>
          <w:p>
            <w:pPr>
              <w:spacing w:after="0"/>
              <w:rPr>
                <w:sz w:val="15"/>
                <w:szCs w:val="15"/>
                <w:color w:val="auto"/>
              </w:rPr>
            </w:pPr>
          </w:p>
        </w:tc>
        <w:tc>
          <w:tcPr>
            <w:tcW w:w="672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Owned Percentage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PennantPark Investment Funding I, LLC (Delaware)</w:t>
            </w:r>
          </w:p>
        </w:tc>
        <w:tc>
          <w:tcPr>
            <w:tcW w:w="67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PennantPark SBIC GP II, LLC (Delaware)</w:t>
            </w:r>
          </w:p>
        </w:tc>
        <w:tc>
          <w:tcPr>
            <w:tcW w:w="6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PennantPark SBIC II LP (Delaware)</w:t>
            </w:r>
          </w:p>
        </w:tc>
        <w:tc>
          <w:tcPr>
            <w:tcW w:w="67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2"/>
                <w:szCs w:val="12"/>
                <w:color w:val="auto"/>
                <w:w w:val="99"/>
              </w:rPr>
              <w:t>(1)</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PNNT Alabama Holdings Inc. (Delaware)</w:t>
            </w:r>
          </w:p>
        </w:tc>
        <w:tc>
          <w:tcPr>
            <w:tcW w:w="6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(2)</w:t>
            </w:r>
          </w:p>
        </w:tc>
        <w:tc>
          <w:tcPr>
            <w:tcW w:w="0" w:type="dxa"/>
            <w:vAlign w:val="bottom"/>
          </w:tcPr>
          <w:p>
            <w:pPr>
              <w:spacing w:after="0"/>
              <w:rPr>
                <w:sz w:val="1"/>
                <w:szCs w:val="1"/>
                <w:color w:val="auto"/>
              </w:rPr>
            </w:pPr>
          </w:p>
        </w:tc>
      </w:tr>
      <w:tr>
        <w:trPr>
          <w:trHeight w:val="149"/>
        </w:trPr>
        <w:tc>
          <w:tcPr>
            <w:tcW w:w="42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PNNT Cascade Environmental Holdings, LLC (Delaware)</w:t>
            </w:r>
          </w:p>
        </w:tc>
        <w:tc>
          <w:tcPr>
            <w:tcW w:w="67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PNNT CI (GALLS) Prime Investment Holdings, LLC (Delaware)</w:t>
            </w:r>
          </w:p>
        </w:tc>
        <w:tc>
          <w:tcPr>
            <w:tcW w:w="6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PNNT ecoserve, LLC (Delaware)</w:t>
            </w:r>
          </w:p>
        </w:tc>
        <w:tc>
          <w:tcPr>
            <w:tcW w:w="67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PNNT Investment Holdings, LLC (Delaware)</w:t>
            </w:r>
          </w:p>
        </w:tc>
        <w:tc>
          <w:tcPr>
            <w:tcW w:w="6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PNNT New Gulf Resources, LLC (Delaware)</w:t>
            </w:r>
          </w:p>
        </w:tc>
        <w:tc>
          <w:tcPr>
            <w:tcW w:w="67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RAM Energy Holdings LLC (Delaware)</w:t>
            </w:r>
          </w:p>
        </w:tc>
        <w:tc>
          <w:tcPr>
            <w:tcW w:w="6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PennantPark Senior Loan Fund, LLC</w:t>
            </w:r>
          </w:p>
        </w:tc>
        <w:tc>
          <w:tcPr>
            <w:tcW w:w="67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26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148"/>
        </w:trPr>
        <w:tc>
          <w:tcPr>
            <w:tcW w:w="4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AKW Holdings Limited (Isle of Man)</w:t>
            </w:r>
          </w:p>
        </w:tc>
        <w:tc>
          <w:tcPr>
            <w:tcW w:w="6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r>
        <w:trPr>
          <w:trHeight w:val="148"/>
        </w:trPr>
        <w:tc>
          <w:tcPr>
            <w:tcW w:w="4260" w:type="dxa"/>
            <w:vAlign w:val="bottom"/>
            <w:shd w:val="clear" w:color="auto" w:fill="CCECFF"/>
          </w:tcPr>
          <w:p>
            <w:pPr>
              <w:spacing w:after="0" w:line="149" w:lineRule="exact"/>
              <w:rPr>
                <w:sz w:val="20"/>
                <w:szCs w:val="20"/>
                <w:color w:val="auto"/>
              </w:rPr>
            </w:pPr>
            <w:r>
              <w:rPr>
                <w:rFonts w:ascii="Times New Roman" w:cs="Times New Roman" w:eastAsia="Times New Roman" w:hAnsi="Times New Roman"/>
                <w:sz w:val="14"/>
                <w:szCs w:val="14"/>
                <w:color w:val="auto"/>
              </w:rPr>
              <w:t>PT Network Intermediate Holdings, LLC (Delaware)</w:t>
            </w:r>
          </w:p>
        </w:tc>
        <w:tc>
          <w:tcPr>
            <w:tcW w:w="6720" w:type="dxa"/>
            <w:vAlign w:val="bottom"/>
            <w:shd w:val="clear" w:color="auto" w:fill="CCEC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6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2"/>
                <w:szCs w:val="12"/>
                <w:color w:val="auto"/>
                <w:w w:val="99"/>
              </w:rPr>
              <w:t>(3)</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00" w:hanging="492"/>
        <w:spacing w:after="0"/>
        <w:tabs>
          <w:tab w:leader="none" w:pos="5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entity is directly owned 99% by us and 1% by PennantPark SBIC GP II, LLC, which is effectively wholly-owned by us.</w:t>
      </w:r>
    </w:p>
    <w:p>
      <w:pPr>
        <w:spacing w:after="0" w:line="3" w:lineRule="exact"/>
        <w:rPr>
          <w:rFonts w:ascii="Times New Roman" w:cs="Times New Roman" w:eastAsia="Times New Roman" w:hAnsi="Times New Roman"/>
          <w:sz w:val="12"/>
          <w:szCs w:val="12"/>
          <w:color w:val="auto"/>
        </w:rPr>
      </w:pPr>
    </w:p>
    <w:p>
      <w:pPr>
        <w:ind w:left="500" w:hanging="492"/>
        <w:spacing w:after="0" w:line="221" w:lineRule="auto"/>
        <w:tabs>
          <w:tab w:leader="none" w:pos="5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This entity is not operational.</w:t>
      </w:r>
    </w:p>
    <w:p>
      <w:pPr>
        <w:ind w:left="500" w:hanging="492"/>
        <w:spacing w:after="0"/>
        <w:tabs>
          <w:tab w:leader="none" w:pos="50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This is a controlled affiliated investment.</w:t>
      </w:r>
    </w:p>
    <w:p>
      <w:pPr>
        <w:sectPr>
          <w:pgSz w:w="11900" w:h="16838" w:orient="portrait"/>
          <w:cols w:equalWidth="0" w:num="1">
            <w:col w:w="11240"/>
          </w:cols>
          <w:pgMar w:left="320" w:top="344"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N-2 of PennantPark Investment Corporation and Subsidiaries (the Company) of our reports dated November 19, 2020, relating to the consolidated financial statements and the effectiveness of internal control over financial reporting appearing in the accompanying Form 10-K of the Company for the year ended September 30, 2020. We also consent to the use in such Registration Statement of our report dated November 19, 2020, relating to the senior securities table appearing as Exhibit 99.5 in the accompanying Form 10-K of the Company for the year ended September 30, 2020.</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also consent to the reference to our firm under the headings “Senior Securities” in the accompanying Form 10-K and “Independent Registered Public Accounting Firm” in such Registration Statement on Form N-2.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2020</w:t>
      </w:r>
    </w:p>
    <w:p>
      <w:pPr>
        <w:sectPr>
          <w:pgSz w:w="11900" w:h="16838" w:orient="portrait"/>
          <w:cols w:equalWidth="0" w:num="1">
            <w:col w:w="11240"/>
          </w:cols>
          <w:pgMar w:left="320" w:top="34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Auditor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N-2 (No. 333-230014) of PennantPark Investment Corporation of our reports dated November 16, 2020 and November 15, 2019, relating to the consolidated financial statements of Ram Energy Holdings LLC as of and for the years ended September 30, 2020 and 2019, respectively, which appear in this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16, 2020</w:t>
      </w:r>
    </w:p>
    <w:p>
      <w:pPr>
        <w:sectPr>
          <w:pgSz w:w="11900" w:h="16838" w:orient="portrait"/>
          <w:cols w:equalWidth="0" w:num="1">
            <w:col w:w="11240"/>
          </w:cols>
          <w:pgMar w:left="320" w:top="34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3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CHIEF EXECUTIVE OFFICER CERTIFICATION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Arthur H. Penn, Chief Executive Officer and Chairman of the Board of Directors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PennantPark Investment Corporation;</w:t>
      </w:r>
    </w:p>
    <w:p>
      <w:pPr>
        <w:spacing w:after="0" w:line="136" w:lineRule="exact"/>
        <w:rPr>
          <w:rFonts w:ascii="Times New Roman" w:cs="Times New Roman" w:eastAsia="Times New Roman" w:hAnsi="Times New Roman"/>
          <w:sz w:val="14"/>
          <w:szCs w:val="14"/>
          <w:color w:val="auto"/>
        </w:rPr>
      </w:pPr>
    </w:p>
    <w:p>
      <w:pPr>
        <w:ind w:left="260" w:right="620" w:hanging="4"/>
        <w:spacing w:after="0" w:line="261" w:lineRule="auto"/>
        <w:tabs>
          <w:tab w:leader="none" w:pos="40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80" w:hanging="4"/>
        <w:spacing w:after="0" w:line="261" w:lineRule="auto"/>
        <w:tabs>
          <w:tab w:leader="none" w:pos="40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left="260" w:right="280" w:hanging="4"/>
        <w:spacing w:after="0" w:line="261" w:lineRule="auto"/>
        <w:tabs>
          <w:tab w:leader="none" w:pos="40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4"/>
          <w:szCs w:val="14"/>
          <w:color w:val="auto"/>
        </w:rPr>
      </w:pPr>
    </w:p>
    <w:p>
      <w:pPr>
        <w:ind w:left="500" w:right="60" w:firstLine="4"/>
        <w:spacing w:after="0" w:line="261" w:lineRule="auto"/>
        <w:tabs>
          <w:tab w:leader="none" w:pos="648"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1" w:lineRule="exact"/>
        <w:rPr>
          <w:rFonts w:ascii="Times New Roman" w:cs="Times New Roman" w:eastAsia="Times New Roman" w:hAnsi="Times New Roman"/>
          <w:sz w:val="14"/>
          <w:szCs w:val="14"/>
          <w:color w:val="auto"/>
        </w:rPr>
      </w:pPr>
    </w:p>
    <w:p>
      <w:pPr>
        <w:ind w:left="500" w:right="120" w:firstLine="4"/>
        <w:spacing w:after="0" w:line="261" w:lineRule="auto"/>
        <w:tabs>
          <w:tab w:leader="none" w:pos="656"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95" w:lineRule="exact"/>
        <w:rPr>
          <w:rFonts w:ascii="Times New Roman" w:cs="Times New Roman" w:eastAsia="Times New Roman" w:hAnsi="Times New Roman"/>
          <w:sz w:val="14"/>
          <w:szCs w:val="14"/>
          <w:color w:val="auto"/>
        </w:rPr>
      </w:pPr>
    </w:p>
    <w:p>
      <w:pPr>
        <w:ind w:left="500" w:right="320" w:firstLine="4"/>
        <w:spacing w:after="0" w:line="261" w:lineRule="auto"/>
        <w:tabs>
          <w:tab w:leader="none" w:pos="648"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4"/>
          <w:szCs w:val="14"/>
          <w:color w:val="auto"/>
        </w:rPr>
      </w:pPr>
    </w:p>
    <w:p>
      <w:pPr>
        <w:ind w:left="500" w:right="300" w:firstLine="4"/>
        <w:spacing w:after="0" w:line="261" w:lineRule="auto"/>
        <w:tabs>
          <w:tab w:leader="none" w:pos="656"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right="420" w:hanging="4"/>
        <w:spacing w:after="0" w:line="261" w:lineRule="auto"/>
        <w:tabs>
          <w:tab w:leader="none" w:pos="404"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left="500" w:firstLine="4"/>
        <w:spacing w:after="0" w:line="261" w:lineRule="auto"/>
        <w:tabs>
          <w:tab w:leader="none" w:pos="648"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4"/>
          <w:szCs w:val="14"/>
          <w:color w:val="auto"/>
        </w:rPr>
      </w:pPr>
    </w:p>
    <w:p>
      <w:pPr>
        <w:ind w:left="660" w:hanging="156"/>
        <w:spacing w:after="0"/>
        <w:tabs>
          <w:tab w:leader="none" w:pos="660" w:val="left"/>
        </w:tabs>
        <w:numPr>
          <w:ilvl w:val="1"/>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19, 2020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Arthur H. Penn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Name:</w:t>
            </w:r>
          </w:p>
        </w:tc>
        <w:tc>
          <w:tcPr>
            <w:tcW w:w="3920" w:type="dxa"/>
            <w:vAlign w:val="bottom"/>
            <w:tcBorders>
              <w:top w:val="single" w:sz="8" w:color="auto"/>
            </w:tcBorders>
          </w:tcPr>
          <w:p>
            <w:pPr>
              <w:ind w:left="180"/>
              <w:spacing w:after="0" w:line="119" w:lineRule="exact"/>
              <w:rPr>
                <w:sz w:val="20"/>
                <w:szCs w:val="20"/>
                <w:color w:val="auto"/>
              </w:rPr>
            </w:pPr>
            <w:r>
              <w:rPr>
                <w:rFonts w:ascii="Times New Roman" w:cs="Times New Roman" w:eastAsia="Times New Roman" w:hAnsi="Times New Roman"/>
                <w:sz w:val="13"/>
                <w:szCs w:val="13"/>
                <w:color w:val="auto"/>
              </w:rPr>
              <w:t>Arthur H. Penn</w:t>
            </w:r>
          </w:p>
        </w:tc>
      </w:tr>
      <w:tr>
        <w:trPr>
          <w:trHeight w:val="18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40"/>
          </w:cols>
          <w:pgMar w:left="320" w:top="34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3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CERTIFICATION PURSUANT TO SECTION 302</w:t>
      </w:r>
    </w:p>
    <w:p>
      <w:pPr>
        <w:spacing w:after="0" w:line="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CHIEF FINANCIAL OFFICER CERTIFICATION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Aviv Efrat, Chief Financial Officer of PennantPark Investment Corporation, certify that:</w:t>
      </w:r>
    </w:p>
    <w:p>
      <w:pPr>
        <w:spacing w:after="0" w:line="136" w:lineRule="exact"/>
        <w:rPr>
          <w:sz w:val="20"/>
          <w:szCs w:val="20"/>
          <w:color w:val="auto"/>
        </w:rPr>
      </w:pPr>
    </w:p>
    <w:p>
      <w:pPr>
        <w:ind w:left="400" w:hanging="144"/>
        <w:spacing w:after="0"/>
        <w:tabs>
          <w:tab w:leader="none" w:pos="4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PennantPark Investment Corporation;</w:t>
      </w:r>
    </w:p>
    <w:p>
      <w:pPr>
        <w:spacing w:after="0" w:line="136" w:lineRule="exact"/>
        <w:rPr>
          <w:rFonts w:ascii="Times New Roman" w:cs="Times New Roman" w:eastAsia="Times New Roman" w:hAnsi="Times New Roman"/>
          <w:sz w:val="14"/>
          <w:szCs w:val="14"/>
          <w:color w:val="auto"/>
        </w:rPr>
      </w:pPr>
    </w:p>
    <w:p>
      <w:pPr>
        <w:ind w:left="260" w:right="620" w:hanging="4"/>
        <w:spacing w:after="0" w:line="261" w:lineRule="auto"/>
        <w:tabs>
          <w:tab w:leader="none" w:pos="404"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4"/>
          <w:szCs w:val="14"/>
          <w:color w:val="auto"/>
        </w:rPr>
      </w:pPr>
    </w:p>
    <w:p>
      <w:pPr>
        <w:ind w:left="260" w:right="80" w:hanging="4"/>
        <w:spacing w:after="0" w:line="261" w:lineRule="auto"/>
        <w:tabs>
          <w:tab w:leader="none" w:pos="404"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4"/>
          <w:szCs w:val="14"/>
          <w:color w:val="auto"/>
        </w:rPr>
      </w:pPr>
    </w:p>
    <w:p>
      <w:pPr>
        <w:ind w:left="260" w:right="280" w:hanging="4"/>
        <w:spacing w:after="0" w:line="261" w:lineRule="auto"/>
        <w:tabs>
          <w:tab w:leader="none" w:pos="404"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4"/>
          <w:szCs w:val="14"/>
          <w:color w:val="auto"/>
        </w:rPr>
      </w:pPr>
    </w:p>
    <w:p>
      <w:pPr>
        <w:ind w:left="500" w:right="60" w:firstLine="4"/>
        <w:spacing w:after="0" w:line="261" w:lineRule="auto"/>
        <w:tabs>
          <w:tab w:leader="none" w:pos="648"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1" w:lineRule="exact"/>
        <w:rPr>
          <w:rFonts w:ascii="Times New Roman" w:cs="Times New Roman" w:eastAsia="Times New Roman" w:hAnsi="Times New Roman"/>
          <w:sz w:val="14"/>
          <w:szCs w:val="14"/>
          <w:color w:val="auto"/>
        </w:rPr>
      </w:pPr>
    </w:p>
    <w:p>
      <w:pPr>
        <w:ind w:left="500" w:right="120" w:firstLine="4"/>
        <w:spacing w:after="0" w:line="261" w:lineRule="auto"/>
        <w:tabs>
          <w:tab w:leader="none" w:pos="656"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95" w:lineRule="exact"/>
        <w:rPr>
          <w:rFonts w:ascii="Times New Roman" w:cs="Times New Roman" w:eastAsia="Times New Roman" w:hAnsi="Times New Roman"/>
          <w:sz w:val="14"/>
          <w:szCs w:val="14"/>
          <w:color w:val="auto"/>
        </w:rPr>
      </w:pPr>
    </w:p>
    <w:p>
      <w:pPr>
        <w:ind w:left="500" w:right="320" w:firstLine="4"/>
        <w:spacing w:after="0" w:line="261" w:lineRule="auto"/>
        <w:tabs>
          <w:tab w:leader="none" w:pos="648"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Times New Roman" w:cs="Times New Roman" w:eastAsia="Times New Roman" w:hAnsi="Times New Roman"/>
          <w:sz w:val="14"/>
          <w:szCs w:val="14"/>
          <w:color w:val="auto"/>
        </w:rPr>
      </w:pPr>
    </w:p>
    <w:p>
      <w:pPr>
        <w:ind w:left="500" w:right="300" w:firstLine="4"/>
        <w:spacing w:after="0" w:line="261" w:lineRule="auto"/>
        <w:tabs>
          <w:tab w:leader="none" w:pos="656"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4"/>
          <w:szCs w:val="14"/>
          <w:color w:val="auto"/>
        </w:rPr>
      </w:pPr>
    </w:p>
    <w:p>
      <w:pPr>
        <w:ind w:left="260" w:right="420" w:hanging="4"/>
        <w:spacing w:after="0" w:line="261" w:lineRule="auto"/>
        <w:tabs>
          <w:tab w:leader="none" w:pos="404"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4"/>
          <w:szCs w:val="14"/>
          <w:color w:val="auto"/>
        </w:rPr>
      </w:pPr>
    </w:p>
    <w:p>
      <w:pPr>
        <w:ind w:left="500" w:firstLine="4"/>
        <w:spacing w:after="0" w:line="261" w:lineRule="auto"/>
        <w:tabs>
          <w:tab w:leader="none" w:pos="648"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4"/>
          <w:szCs w:val="14"/>
          <w:color w:val="auto"/>
        </w:rPr>
      </w:pPr>
    </w:p>
    <w:p>
      <w:pPr>
        <w:ind w:left="660" w:hanging="156"/>
        <w:spacing w:after="0"/>
        <w:tabs>
          <w:tab w:leader="none" w:pos="660" w:val="left"/>
        </w:tabs>
        <w:numPr>
          <w:ilvl w:val="1"/>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19, 2020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Aviv Efrat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Name:</w:t>
            </w:r>
          </w:p>
        </w:tc>
        <w:tc>
          <w:tcPr>
            <w:tcW w:w="3920" w:type="dxa"/>
            <w:vAlign w:val="bottom"/>
            <w:tcBorders>
              <w:top w:val="single" w:sz="8" w:color="auto"/>
            </w:tcBorders>
          </w:tcPr>
          <w:p>
            <w:pPr>
              <w:ind w:left="180"/>
              <w:spacing w:after="0" w:line="119" w:lineRule="exact"/>
              <w:rPr>
                <w:sz w:val="20"/>
                <w:szCs w:val="20"/>
                <w:color w:val="auto"/>
              </w:rPr>
            </w:pPr>
            <w:r>
              <w:rPr>
                <w:rFonts w:ascii="Times New Roman" w:cs="Times New Roman" w:eastAsia="Times New Roman" w:hAnsi="Times New Roman"/>
                <w:sz w:val="13"/>
                <w:szCs w:val="13"/>
                <w:color w:val="auto"/>
              </w:rPr>
              <w:t>Aviv Efrat</w:t>
            </w:r>
          </w:p>
        </w:tc>
      </w:tr>
      <w:tr>
        <w:trPr>
          <w:trHeight w:val="188"/>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39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40"/>
          </w:cols>
          <w:pgMar w:left="320" w:top="34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Section 1350)</w:t>
      </w:r>
    </w:p>
    <w:p>
      <w:pPr>
        <w:spacing w:after="0" w:line="107" w:lineRule="exact"/>
        <w:rPr>
          <w:sz w:val="20"/>
          <w:szCs w:val="20"/>
          <w:color w:val="auto"/>
        </w:rPr>
      </w:pPr>
    </w:p>
    <w:p>
      <w:pPr>
        <w:ind w:right="160" w:firstLine="496"/>
        <w:spacing w:after="0" w:line="261" w:lineRule="auto"/>
        <w:rPr>
          <w:sz w:val="20"/>
          <w:szCs w:val="20"/>
          <w:color w:val="auto"/>
        </w:rPr>
      </w:pPr>
      <w:r>
        <w:rPr>
          <w:rFonts w:ascii="Times New Roman" w:cs="Times New Roman" w:eastAsia="Times New Roman" w:hAnsi="Times New Roman"/>
          <w:sz w:val="14"/>
          <w:szCs w:val="14"/>
          <w:color w:val="auto"/>
        </w:rPr>
        <w:t>In connection with the Annual Report on Form 10-K of PennantPark Investment Corporation for the annual period ended September 30, 2020 as filed with the Securities and Exchange Commission on the date hereof (the “Report”), I, Arthur H. Penn, as Chief Executive Officer of the Registrant hereby certify, to the best of my knowledge that:</w:t>
      </w:r>
    </w:p>
    <w:p>
      <w:pPr>
        <w:spacing w:after="0" w:line="95" w:lineRule="exact"/>
        <w:rPr>
          <w:sz w:val="20"/>
          <w:szCs w:val="20"/>
          <w:color w:val="auto"/>
        </w:rPr>
      </w:pPr>
    </w:p>
    <w:p>
      <w:pPr>
        <w:ind w:left="460" w:hanging="204"/>
        <w:spacing w:after="0"/>
        <w:tabs>
          <w:tab w:leader="none" w:pos="4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460" w:hanging="204"/>
        <w:spacing w:after="0"/>
        <w:tabs>
          <w:tab w:leader="none" w:pos="46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Arthur H. Penn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Name:</w:t>
            </w:r>
          </w:p>
        </w:tc>
        <w:tc>
          <w:tcPr>
            <w:tcW w:w="4000" w:type="dxa"/>
            <w:vAlign w:val="bottom"/>
            <w:tcBorders>
              <w:top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Arthur H. Penn</w:t>
            </w:r>
          </w:p>
        </w:tc>
      </w:tr>
      <w:tr>
        <w:trPr>
          <w:trHeight w:val="149"/>
        </w:trPr>
        <w:tc>
          <w:tcPr>
            <w:tcW w:w="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Title:</w:t>
            </w:r>
          </w:p>
        </w:tc>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Chief Executive Officer</w:t>
            </w:r>
          </w:p>
        </w:tc>
      </w:tr>
      <w:tr>
        <w:trPr>
          <w:trHeight w:val="18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November 19, 2020</w:t>
            </w:r>
          </w:p>
        </w:tc>
      </w:tr>
    </w:tbl>
    <w:p>
      <w:pPr>
        <w:sectPr>
          <w:pgSz w:w="11900" w:h="16838" w:orient="portrait"/>
          <w:cols w:equalWidth="0" w:num="1">
            <w:col w:w="11240"/>
          </w:cols>
          <w:pgMar w:left="320" w:top="34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Pursuant to</w:t>
      </w: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 (18 U.S.C. Section 1350)</w:t>
      </w:r>
    </w:p>
    <w:p>
      <w:pPr>
        <w:spacing w:after="0" w:line="107" w:lineRule="exact"/>
        <w:rPr>
          <w:sz w:val="20"/>
          <w:szCs w:val="20"/>
          <w:color w:val="auto"/>
        </w:rPr>
      </w:pPr>
    </w:p>
    <w:p>
      <w:pPr>
        <w:ind w:right="160" w:firstLine="496"/>
        <w:spacing w:after="0" w:line="261" w:lineRule="auto"/>
        <w:rPr>
          <w:sz w:val="20"/>
          <w:szCs w:val="20"/>
          <w:color w:val="auto"/>
        </w:rPr>
      </w:pPr>
      <w:r>
        <w:rPr>
          <w:rFonts w:ascii="Times New Roman" w:cs="Times New Roman" w:eastAsia="Times New Roman" w:hAnsi="Times New Roman"/>
          <w:sz w:val="14"/>
          <w:szCs w:val="14"/>
          <w:color w:val="auto"/>
        </w:rPr>
        <w:t>In connection with the Annual Report on Form 10-K of PennantPark Investment Corporation for the annual period ended September 30, 2020 as filed with the Securities and Exchange Commission on the date hereof (the “Report”), I, Aviv Efrat, as Chief Financial Officer of the Registrant hereby certify, to the best of my knowledge that:</w:t>
      </w:r>
    </w:p>
    <w:p>
      <w:pPr>
        <w:spacing w:after="0" w:line="95" w:lineRule="exact"/>
        <w:rPr>
          <w:sz w:val="20"/>
          <w:szCs w:val="20"/>
          <w:color w:val="auto"/>
        </w:rPr>
      </w:pPr>
    </w:p>
    <w:p>
      <w:pPr>
        <w:ind w:left="460" w:hanging="204"/>
        <w:spacing w:after="0"/>
        <w:tabs>
          <w:tab w:leader="none" w:pos="4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36" w:lineRule="exact"/>
        <w:rPr>
          <w:rFonts w:ascii="Times New Roman" w:cs="Times New Roman" w:eastAsia="Times New Roman" w:hAnsi="Times New Roman"/>
          <w:sz w:val="14"/>
          <w:szCs w:val="14"/>
          <w:color w:val="auto"/>
        </w:rPr>
      </w:pPr>
    </w:p>
    <w:p>
      <w:pPr>
        <w:ind w:left="460" w:hanging="204"/>
        <w:spacing w:after="0"/>
        <w:tabs>
          <w:tab w:leader="none" w:pos="46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Aviv Efrat</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8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Name:</w:t>
            </w:r>
          </w:p>
        </w:tc>
        <w:tc>
          <w:tcPr>
            <w:tcW w:w="4000" w:type="dxa"/>
            <w:vAlign w:val="bottom"/>
            <w:tcBorders>
              <w:top w:val="single" w:sz="8" w:color="auto"/>
            </w:tcBorders>
          </w:tcPr>
          <w:p>
            <w:pPr>
              <w:ind w:left="80"/>
              <w:spacing w:after="0" w:line="119" w:lineRule="exact"/>
              <w:rPr>
                <w:sz w:val="20"/>
                <w:szCs w:val="20"/>
                <w:color w:val="auto"/>
              </w:rPr>
            </w:pPr>
            <w:r>
              <w:rPr>
                <w:rFonts w:ascii="Times New Roman" w:cs="Times New Roman" w:eastAsia="Times New Roman" w:hAnsi="Times New Roman"/>
                <w:sz w:val="13"/>
                <w:szCs w:val="13"/>
                <w:color w:val="auto"/>
              </w:rPr>
              <w:t>Aviv Efrat</w:t>
            </w:r>
          </w:p>
        </w:tc>
      </w:tr>
      <w:tr>
        <w:trPr>
          <w:trHeight w:val="149"/>
        </w:trPr>
        <w:tc>
          <w:tcPr>
            <w:tcW w:w="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Title:</w:t>
            </w:r>
          </w:p>
        </w:tc>
        <w:tc>
          <w:tcPr>
            <w:tcW w:w="40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40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November 19, 2020</w:t>
            </w:r>
          </w:p>
        </w:tc>
      </w:tr>
    </w:tbl>
    <w:p>
      <w:pPr>
        <w:sectPr>
          <w:pgSz w:w="11900" w:h="16838" w:orient="portrait"/>
          <w:cols w:equalWidth="0" w:num="1">
            <w:col w:w="11240"/>
          </w:cols>
          <w:pgMar w:left="320" w:top="34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00"/>
        <w:spacing w:after="0"/>
        <w:rPr>
          <w:sz w:val="20"/>
          <w:szCs w:val="20"/>
          <w:color w:val="auto"/>
        </w:rPr>
      </w:pPr>
      <w:r>
        <w:rPr>
          <w:rFonts w:ascii="Trebuchet MS" w:cs="Trebuchet MS" w:eastAsia="Trebuchet MS" w:hAnsi="Trebuchet MS"/>
          <w:sz w:val="29"/>
          <w:szCs w:val="29"/>
          <w:b w:val="1"/>
          <w:bCs w:val="1"/>
          <w:color w:val="auto"/>
        </w:rPr>
        <w:t>RAM ENERGY HOLDINGS LLC</w:t>
      </w:r>
    </w:p>
    <w:p>
      <w:pPr>
        <w:spacing w:after="0" w:line="11" w:lineRule="exact"/>
        <w:rPr>
          <w:sz w:val="20"/>
          <w:szCs w:val="20"/>
          <w:color w:val="auto"/>
        </w:rPr>
      </w:pPr>
    </w:p>
    <w:p>
      <w:pPr>
        <w:ind w:left="4500"/>
        <w:spacing w:after="0"/>
        <w:rPr>
          <w:sz w:val="20"/>
          <w:szCs w:val="20"/>
          <w:color w:val="auto"/>
        </w:rPr>
      </w:pPr>
      <w:r>
        <w:rPr>
          <w:rFonts w:ascii="Trebuchet MS" w:cs="Trebuchet MS" w:eastAsia="Trebuchet MS" w:hAnsi="Trebuchet MS"/>
          <w:sz w:val="29"/>
          <w:szCs w:val="29"/>
          <w:b w:val="1"/>
          <w:bCs w:val="1"/>
          <w:color w:val="auto"/>
        </w:rPr>
        <w:t>AND SUBSIDIARIES</w:t>
      </w:r>
    </w:p>
    <w:p>
      <w:pPr>
        <w:spacing w:after="0" w:line="251" w:lineRule="exact"/>
        <w:rPr>
          <w:sz w:val="20"/>
          <w:szCs w:val="20"/>
          <w:color w:val="auto"/>
        </w:rPr>
      </w:pPr>
    </w:p>
    <w:p>
      <w:pPr>
        <w:ind w:left="4500"/>
        <w:spacing w:after="0"/>
        <w:rPr>
          <w:sz w:val="20"/>
          <w:szCs w:val="20"/>
          <w:color w:val="auto"/>
        </w:rPr>
      </w:pPr>
      <w:r>
        <w:rPr>
          <w:rFonts w:ascii="Trebuchet MS" w:cs="Trebuchet MS" w:eastAsia="Trebuchet MS" w:hAnsi="Trebuchet MS"/>
          <w:sz w:val="25"/>
          <w:szCs w:val="25"/>
          <w:color w:val="auto"/>
        </w:rPr>
        <w:t>Consolidated Financial Statements</w:t>
      </w:r>
    </w:p>
    <w:p>
      <w:pPr>
        <w:spacing w:after="0" w:line="243" w:lineRule="exact"/>
        <w:rPr>
          <w:sz w:val="20"/>
          <w:szCs w:val="20"/>
          <w:color w:val="auto"/>
        </w:rPr>
      </w:pPr>
    </w:p>
    <w:p>
      <w:pPr>
        <w:ind w:left="4500"/>
        <w:spacing w:after="0"/>
        <w:rPr>
          <w:sz w:val="20"/>
          <w:szCs w:val="20"/>
          <w:color w:val="auto"/>
        </w:rPr>
      </w:pPr>
      <w:r>
        <w:rPr>
          <w:rFonts w:ascii="Trebuchet MS" w:cs="Trebuchet MS" w:eastAsia="Trebuchet MS" w:hAnsi="Trebuchet MS"/>
          <w:sz w:val="22"/>
          <w:szCs w:val="22"/>
          <w:color w:val="auto"/>
        </w:rPr>
        <w:t>As of and for the Year Ended</w:t>
      </w:r>
    </w:p>
    <w:p>
      <w:pPr>
        <w:spacing w:after="0" w:line="1" w:lineRule="exact"/>
        <w:rPr>
          <w:sz w:val="20"/>
          <w:szCs w:val="20"/>
          <w:color w:val="auto"/>
        </w:rPr>
      </w:pPr>
    </w:p>
    <w:p>
      <w:pPr>
        <w:ind w:left="4500"/>
        <w:spacing w:after="0"/>
        <w:rPr>
          <w:sz w:val="20"/>
          <w:szCs w:val="20"/>
          <w:color w:val="auto"/>
        </w:rPr>
      </w:pPr>
      <w:r>
        <w:rPr>
          <w:rFonts w:ascii="Trebuchet MS" w:cs="Trebuchet MS" w:eastAsia="Trebuchet MS" w:hAnsi="Trebuchet MS"/>
          <w:sz w:val="22"/>
          <w:szCs w:val="22"/>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2684145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563"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9"/>
          <w:szCs w:val="29"/>
          <w:b w:val="1"/>
          <w:bCs w:val="1"/>
          <w:color w:val="auto"/>
        </w:rPr>
        <w:t>RAM ENERGY HOLDINGS LLC</w:t>
      </w:r>
    </w:p>
    <w:p>
      <w:pPr>
        <w:spacing w:after="0" w:line="11"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9"/>
          <w:szCs w:val="29"/>
          <w:b w:val="1"/>
          <w:bCs w:val="1"/>
          <w:color w:val="auto"/>
        </w:rPr>
        <w:t>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43815</wp:posOffset>
            </wp:positionV>
            <wp:extent cx="71323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366"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4"/>
          <w:szCs w:val="24"/>
          <w:color w:val="auto"/>
        </w:rPr>
        <w:t>Consolidated Financial Statements</w:t>
      </w:r>
    </w:p>
    <w:p>
      <w:pPr>
        <w:spacing w:after="0" w:line="228"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2"/>
          <w:szCs w:val="22"/>
          <w:color w:val="auto"/>
        </w:rPr>
        <w:t>As of and for the Year Ended</w:t>
      </w:r>
    </w:p>
    <w:p>
      <w:pPr>
        <w:spacing w:after="0" w:line="1"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22"/>
          <w:szCs w:val="22"/>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3129915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7" w:lineRule="exact"/>
        <w:rPr>
          <w:sz w:val="20"/>
          <w:szCs w:val="20"/>
          <w:color w:val="auto"/>
        </w:rPr>
      </w:pPr>
    </w:p>
    <w:p>
      <w:pPr>
        <w:jc w:val="center"/>
        <w:spacing w:after="0"/>
        <w:rPr>
          <w:sz w:val="20"/>
          <w:szCs w:val="20"/>
          <w:color w:val="auto"/>
        </w:rPr>
      </w:pPr>
      <w:r>
        <w:rPr>
          <w:rFonts w:ascii="Trebuchet MS" w:cs="Trebuchet MS" w:eastAsia="Trebuchet MS" w:hAnsi="Trebuchet MS"/>
          <w:sz w:val="25"/>
          <w:szCs w:val="25"/>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00" w:type="dxa"/>
            <w:vAlign w:val="bottom"/>
          </w:tcPr>
          <w:p>
            <w:pPr>
              <w:spacing w:after="0"/>
              <w:rPr>
                <w:sz w:val="20"/>
                <w:szCs w:val="20"/>
                <w:color w:val="auto"/>
              </w:rPr>
            </w:pPr>
          </w:p>
        </w:tc>
        <w:tc>
          <w:tcPr>
            <w:tcW w:w="3540" w:type="dxa"/>
            <w:vAlign w:val="bottom"/>
          </w:tcPr>
          <w:p>
            <w:pPr>
              <w:jc w:val="right"/>
              <w:spacing w:after="0"/>
              <w:rPr>
                <w:sz w:val="20"/>
                <w:szCs w:val="20"/>
                <w:color w:val="auto"/>
              </w:rPr>
            </w:pPr>
            <w:r>
              <w:rPr>
                <w:rFonts w:ascii="Trebuchet MS" w:cs="Trebuchet MS" w:eastAsia="Trebuchet MS" w:hAnsi="Trebuchet MS"/>
                <w:sz w:val="19"/>
                <w:szCs w:val="19"/>
                <w:b w:val="1"/>
                <w:bCs w:val="1"/>
                <w:color w:val="auto"/>
              </w:rPr>
              <w:t>Page</w:t>
            </w:r>
          </w:p>
        </w:tc>
      </w:tr>
      <w:tr>
        <w:trPr>
          <w:trHeight w:val="392"/>
        </w:trPr>
        <w:tc>
          <w:tcPr>
            <w:tcW w:w="7700" w:type="dxa"/>
            <w:vAlign w:val="bottom"/>
          </w:tcPr>
          <w:p>
            <w:pPr>
              <w:spacing w:after="0"/>
              <w:rPr>
                <w:sz w:val="20"/>
                <w:szCs w:val="20"/>
                <w:color w:val="auto"/>
              </w:rPr>
            </w:pPr>
            <w:r>
              <w:rPr>
                <w:rFonts w:ascii="Trebuchet MS" w:cs="Trebuchet MS" w:eastAsia="Trebuchet MS" w:hAnsi="Trebuchet MS"/>
                <w:sz w:val="19"/>
                <w:szCs w:val="19"/>
                <w:b w:val="1"/>
                <w:bCs w:val="1"/>
                <w:color w:val="auto"/>
              </w:rPr>
              <w:t>Independent Auditor’s Report</w:t>
            </w:r>
          </w:p>
        </w:tc>
        <w:tc>
          <w:tcPr>
            <w:tcW w:w="3540" w:type="dxa"/>
            <w:vAlign w:val="bottom"/>
          </w:tcPr>
          <w:p>
            <w:pPr>
              <w:jc w:val="right"/>
              <w:spacing w:after="0"/>
              <w:rPr>
                <w:sz w:val="20"/>
                <w:szCs w:val="20"/>
                <w:color w:val="auto"/>
              </w:rPr>
            </w:pPr>
            <w:r>
              <w:rPr>
                <w:rFonts w:ascii="Trebuchet MS" w:cs="Trebuchet MS" w:eastAsia="Trebuchet MS" w:hAnsi="Trebuchet MS"/>
                <w:sz w:val="19"/>
                <w:szCs w:val="19"/>
                <w:color w:val="auto"/>
              </w:rPr>
              <w:t>3</w:t>
            </w:r>
          </w:p>
        </w:tc>
      </w:tr>
      <w:tr>
        <w:trPr>
          <w:trHeight w:val="392"/>
        </w:trPr>
        <w:tc>
          <w:tcPr>
            <w:tcW w:w="7700" w:type="dxa"/>
            <w:vAlign w:val="bottom"/>
          </w:tcPr>
          <w:p>
            <w:pPr>
              <w:spacing w:after="0"/>
              <w:rPr>
                <w:sz w:val="20"/>
                <w:szCs w:val="20"/>
                <w:color w:val="auto"/>
              </w:rPr>
            </w:pPr>
            <w:r>
              <w:rPr>
                <w:rFonts w:ascii="Trebuchet MS" w:cs="Trebuchet MS" w:eastAsia="Trebuchet MS" w:hAnsi="Trebuchet MS"/>
                <w:sz w:val="19"/>
                <w:szCs w:val="19"/>
                <w:b w:val="1"/>
                <w:bCs w:val="1"/>
                <w:color w:val="auto"/>
              </w:rPr>
              <w:t>Consolidated Financial Statements</w:t>
            </w:r>
          </w:p>
        </w:tc>
        <w:tc>
          <w:tcPr>
            <w:tcW w:w="3540" w:type="dxa"/>
            <w:vAlign w:val="bottom"/>
          </w:tcPr>
          <w:p>
            <w:pPr>
              <w:spacing w:after="0"/>
              <w:rPr>
                <w:sz w:val="24"/>
                <w:szCs w:val="24"/>
                <w:color w:val="auto"/>
              </w:rPr>
            </w:pPr>
          </w:p>
        </w:tc>
      </w:tr>
      <w:tr>
        <w:trPr>
          <w:trHeight w:val="390"/>
        </w:trPr>
        <w:tc>
          <w:tcPr>
            <w:tcW w:w="7700" w:type="dxa"/>
            <w:vAlign w:val="bottom"/>
          </w:tcPr>
          <w:p>
            <w:pPr>
              <w:spacing w:after="0"/>
              <w:rPr>
                <w:sz w:val="20"/>
                <w:szCs w:val="20"/>
                <w:color w:val="auto"/>
              </w:rPr>
            </w:pPr>
            <w:r>
              <w:rPr>
                <w:rFonts w:ascii="Trebuchet MS" w:cs="Trebuchet MS" w:eastAsia="Trebuchet MS" w:hAnsi="Trebuchet MS"/>
                <w:sz w:val="19"/>
                <w:szCs w:val="19"/>
                <w:color w:val="auto"/>
              </w:rPr>
              <w:t>Consolidated Balance Sheet as of September 30, 2020</w:t>
            </w:r>
          </w:p>
        </w:tc>
        <w:tc>
          <w:tcPr>
            <w:tcW w:w="3540" w:type="dxa"/>
            <w:vAlign w:val="bottom"/>
          </w:tcPr>
          <w:p>
            <w:pPr>
              <w:jc w:val="right"/>
              <w:spacing w:after="0"/>
              <w:rPr>
                <w:sz w:val="20"/>
                <w:szCs w:val="20"/>
                <w:color w:val="auto"/>
              </w:rPr>
            </w:pPr>
            <w:r>
              <w:rPr>
                <w:rFonts w:ascii="Trebuchet MS" w:cs="Trebuchet MS" w:eastAsia="Trebuchet MS" w:hAnsi="Trebuchet MS"/>
                <w:sz w:val="19"/>
                <w:szCs w:val="19"/>
                <w:color w:val="auto"/>
              </w:rPr>
              <w:t>5</w:t>
            </w:r>
          </w:p>
        </w:tc>
      </w:tr>
      <w:tr>
        <w:trPr>
          <w:trHeight w:val="382"/>
        </w:trPr>
        <w:tc>
          <w:tcPr>
            <w:tcW w:w="7700" w:type="dxa"/>
            <w:vAlign w:val="bottom"/>
          </w:tcPr>
          <w:p>
            <w:pPr>
              <w:ind w:left="220"/>
              <w:spacing w:after="0"/>
              <w:rPr>
                <w:sz w:val="20"/>
                <w:szCs w:val="20"/>
                <w:color w:val="auto"/>
              </w:rPr>
            </w:pPr>
            <w:r>
              <w:rPr>
                <w:rFonts w:ascii="Trebuchet MS" w:cs="Trebuchet MS" w:eastAsia="Trebuchet MS" w:hAnsi="Trebuchet MS"/>
                <w:sz w:val="19"/>
                <w:szCs w:val="19"/>
                <w:color w:val="auto"/>
              </w:rPr>
              <w:t>Consolidated Statement of Operations</w:t>
            </w:r>
          </w:p>
        </w:tc>
        <w:tc>
          <w:tcPr>
            <w:tcW w:w="3540" w:type="dxa"/>
            <w:vAlign w:val="bottom"/>
          </w:tcPr>
          <w:p>
            <w:pPr>
              <w:jc w:val="right"/>
              <w:spacing w:after="0"/>
              <w:rPr>
                <w:sz w:val="20"/>
                <w:szCs w:val="20"/>
                <w:color w:val="auto"/>
              </w:rPr>
            </w:pPr>
            <w:r>
              <w:rPr>
                <w:rFonts w:ascii="Trebuchet MS" w:cs="Trebuchet MS" w:eastAsia="Trebuchet MS" w:hAnsi="Trebuchet MS"/>
                <w:sz w:val="19"/>
                <w:szCs w:val="19"/>
                <w:color w:val="auto"/>
              </w:rPr>
              <w:t>6</w:t>
            </w:r>
          </w:p>
        </w:tc>
      </w:tr>
      <w:tr>
        <w:trPr>
          <w:trHeight w:val="225"/>
        </w:trPr>
        <w:tc>
          <w:tcPr>
            <w:tcW w:w="7700" w:type="dxa"/>
            <w:vAlign w:val="bottom"/>
          </w:tcPr>
          <w:p>
            <w:pPr>
              <w:ind w:left="360"/>
              <w:spacing w:after="0"/>
              <w:rPr>
                <w:sz w:val="20"/>
                <w:szCs w:val="20"/>
                <w:color w:val="auto"/>
              </w:rPr>
            </w:pPr>
            <w:r>
              <w:rPr>
                <w:rFonts w:ascii="Trebuchet MS" w:cs="Trebuchet MS" w:eastAsia="Trebuchet MS" w:hAnsi="Trebuchet MS"/>
                <w:sz w:val="19"/>
                <w:szCs w:val="19"/>
                <w:color w:val="auto"/>
              </w:rPr>
              <w:t>for the Year Ended September 30, 2020</w:t>
            </w:r>
          </w:p>
        </w:tc>
        <w:tc>
          <w:tcPr>
            <w:tcW w:w="3540" w:type="dxa"/>
            <w:vAlign w:val="bottom"/>
          </w:tcPr>
          <w:p>
            <w:pPr>
              <w:spacing w:after="0"/>
              <w:rPr>
                <w:sz w:val="19"/>
                <w:szCs w:val="19"/>
                <w:color w:val="auto"/>
              </w:rPr>
            </w:pPr>
          </w:p>
        </w:tc>
      </w:tr>
      <w:tr>
        <w:trPr>
          <w:trHeight w:val="382"/>
        </w:trPr>
        <w:tc>
          <w:tcPr>
            <w:tcW w:w="7700" w:type="dxa"/>
            <w:vAlign w:val="bottom"/>
          </w:tcPr>
          <w:p>
            <w:pPr>
              <w:ind w:left="220"/>
              <w:spacing w:after="0"/>
              <w:rPr>
                <w:sz w:val="20"/>
                <w:szCs w:val="20"/>
                <w:color w:val="auto"/>
              </w:rPr>
            </w:pPr>
            <w:r>
              <w:rPr>
                <w:rFonts w:ascii="Trebuchet MS" w:cs="Trebuchet MS" w:eastAsia="Trebuchet MS" w:hAnsi="Trebuchet MS"/>
                <w:sz w:val="19"/>
                <w:szCs w:val="19"/>
                <w:color w:val="auto"/>
              </w:rPr>
              <w:t>Consolidated Statement of Member’s Equity</w:t>
            </w:r>
          </w:p>
        </w:tc>
        <w:tc>
          <w:tcPr>
            <w:tcW w:w="3540" w:type="dxa"/>
            <w:vAlign w:val="bottom"/>
          </w:tcPr>
          <w:p>
            <w:pPr>
              <w:jc w:val="right"/>
              <w:spacing w:after="0"/>
              <w:rPr>
                <w:sz w:val="20"/>
                <w:szCs w:val="20"/>
                <w:color w:val="auto"/>
              </w:rPr>
            </w:pPr>
            <w:r>
              <w:rPr>
                <w:rFonts w:ascii="Trebuchet MS" w:cs="Trebuchet MS" w:eastAsia="Trebuchet MS" w:hAnsi="Trebuchet MS"/>
                <w:sz w:val="19"/>
                <w:szCs w:val="19"/>
                <w:color w:val="auto"/>
              </w:rPr>
              <w:t>7</w:t>
            </w:r>
          </w:p>
        </w:tc>
      </w:tr>
      <w:tr>
        <w:trPr>
          <w:trHeight w:val="225"/>
        </w:trPr>
        <w:tc>
          <w:tcPr>
            <w:tcW w:w="7700" w:type="dxa"/>
            <w:vAlign w:val="bottom"/>
          </w:tcPr>
          <w:p>
            <w:pPr>
              <w:ind w:left="360"/>
              <w:spacing w:after="0"/>
              <w:rPr>
                <w:sz w:val="20"/>
                <w:szCs w:val="20"/>
                <w:color w:val="auto"/>
              </w:rPr>
            </w:pPr>
            <w:r>
              <w:rPr>
                <w:rFonts w:ascii="Trebuchet MS" w:cs="Trebuchet MS" w:eastAsia="Trebuchet MS" w:hAnsi="Trebuchet MS"/>
                <w:sz w:val="19"/>
                <w:szCs w:val="19"/>
                <w:color w:val="auto"/>
              </w:rPr>
              <w:t>for the Year Ended September 30, 2020</w:t>
            </w:r>
          </w:p>
        </w:tc>
        <w:tc>
          <w:tcPr>
            <w:tcW w:w="3540" w:type="dxa"/>
            <w:vAlign w:val="bottom"/>
          </w:tcPr>
          <w:p>
            <w:pPr>
              <w:spacing w:after="0"/>
              <w:rPr>
                <w:sz w:val="19"/>
                <w:szCs w:val="19"/>
                <w:color w:val="auto"/>
              </w:rPr>
            </w:pPr>
          </w:p>
        </w:tc>
      </w:tr>
      <w:tr>
        <w:trPr>
          <w:trHeight w:val="382"/>
        </w:trPr>
        <w:tc>
          <w:tcPr>
            <w:tcW w:w="7700" w:type="dxa"/>
            <w:vAlign w:val="bottom"/>
          </w:tcPr>
          <w:p>
            <w:pPr>
              <w:ind w:left="220"/>
              <w:spacing w:after="0"/>
              <w:rPr>
                <w:sz w:val="20"/>
                <w:szCs w:val="20"/>
                <w:color w:val="auto"/>
              </w:rPr>
            </w:pPr>
            <w:r>
              <w:rPr>
                <w:rFonts w:ascii="Trebuchet MS" w:cs="Trebuchet MS" w:eastAsia="Trebuchet MS" w:hAnsi="Trebuchet MS"/>
                <w:sz w:val="19"/>
                <w:szCs w:val="19"/>
                <w:color w:val="auto"/>
              </w:rPr>
              <w:t>Consolidated Statement of Cash Flows</w:t>
            </w:r>
          </w:p>
        </w:tc>
        <w:tc>
          <w:tcPr>
            <w:tcW w:w="3540" w:type="dxa"/>
            <w:vAlign w:val="bottom"/>
          </w:tcPr>
          <w:p>
            <w:pPr>
              <w:jc w:val="right"/>
              <w:spacing w:after="0"/>
              <w:rPr>
                <w:sz w:val="20"/>
                <w:szCs w:val="20"/>
                <w:color w:val="auto"/>
              </w:rPr>
            </w:pPr>
            <w:r>
              <w:rPr>
                <w:rFonts w:ascii="Trebuchet MS" w:cs="Trebuchet MS" w:eastAsia="Trebuchet MS" w:hAnsi="Trebuchet MS"/>
                <w:sz w:val="19"/>
                <w:szCs w:val="19"/>
                <w:color w:val="auto"/>
              </w:rPr>
              <w:t>8</w:t>
            </w:r>
          </w:p>
        </w:tc>
      </w:tr>
      <w:tr>
        <w:trPr>
          <w:trHeight w:val="225"/>
        </w:trPr>
        <w:tc>
          <w:tcPr>
            <w:tcW w:w="7700" w:type="dxa"/>
            <w:vAlign w:val="bottom"/>
          </w:tcPr>
          <w:p>
            <w:pPr>
              <w:ind w:left="360"/>
              <w:spacing w:after="0"/>
              <w:rPr>
                <w:sz w:val="20"/>
                <w:szCs w:val="20"/>
                <w:color w:val="auto"/>
              </w:rPr>
            </w:pPr>
            <w:r>
              <w:rPr>
                <w:rFonts w:ascii="Trebuchet MS" w:cs="Trebuchet MS" w:eastAsia="Trebuchet MS" w:hAnsi="Trebuchet MS"/>
                <w:sz w:val="19"/>
                <w:szCs w:val="19"/>
                <w:color w:val="auto"/>
              </w:rPr>
              <w:t>for the Year Ended September 30, 2020</w:t>
            </w:r>
          </w:p>
        </w:tc>
        <w:tc>
          <w:tcPr>
            <w:tcW w:w="3540" w:type="dxa"/>
            <w:vAlign w:val="bottom"/>
          </w:tcPr>
          <w:p>
            <w:pPr>
              <w:spacing w:after="0"/>
              <w:rPr>
                <w:sz w:val="19"/>
                <w:szCs w:val="19"/>
                <w:color w:val="auto"/>
              </w:rPr>
            </w:pPr>
          </w:p>
        </w:tc>
      </w:tr>
      <w:tr>
        <w:trPr>
          <w:trHeight w:val="391"/>
        </w:trPr>
        <w:tc>
          <w:tcPr>
            <w:tcW w:w="7700" w:type="dxa"/>
            <w:vAlign w:val="bottom"/>
          </w:tcPr>
          <w:p>
            <w:pPr>
              <w:ind w:left="220"/>
              <w:spacing w:after="0"/>
              <w:rPr>
                <w:sz w:val="20"/>
                <w:szCs w:val="20"/>
                <w:color w:val="auto"/>
              </w:rPr>
            </w:pPr>
            <w:r>
              <w:rPr>
                <w:rFonts w:ascii="Trebuchet MS" w:cs="Trebuchet MS" w:eastAsia="Trebuchet MS" w:hAnsi="Trebuchet MS"/>
                <w:sz w:val="19"/>
                <w:szCs w:val="19"/>
                <w:color w:val="auto"/>
              </w:rPr>
              <w:t>Notes to Consolidated Financial Statements</w:t>
            </w:r>
          </w:p>
        </w:tc>
        <w:tc>
          <w:tcPr>
            <w:tcW w:w="3540" w:type="dxa"/>
            <w:vAlign w:val="bottom"/>
          </w:tcPr>
          <w:p>
            <w:pPr>
              <w:jc w:val="right"/>
              <w:spacing w:after="0"/>
              <w:rPr>
                <w:sz w:val="20"/>
                <w:szCs w:val="20"/>
                <w:color w:val="auto"/>
              </w:rPr>
            </w:pPr>
            <w:r>
              <w:rPr>
                <w:rFonts w:ascii="Trebuchet MS" w:cs="Trebuchet MS" w:eastAsia="Trebuchet MS" w:hAnsi="Trebuchet MS"/>
                <w:sz w:val="19"/>
                <w:szCs w:val="19"/>
                <w:color w:val="auto"/>
              </w:rPr>
              <w:t>9-20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76" w:right="339" w:bottom="1440" w:gutter="0" w:footer="0" w:header="0"/>
        </w:sectPr>
      </w:pPr>
    </w:p>
    <w:bookmarkStart w:id="111" w:name="page112"/>
    <w:bookmarkEnd w:id="111"/>
    <w:p>
      <w:pPr>
        <w:spacing w:after="0"/>
        <w:rPr>
          <w:sz w:val="20"/>
          <w:szCs w:val="20"/>
          <w:color w:val="auto"/>
        </w:rPr>
      </w:pPr>
      <w:r>
        <w:rPr>
          <w:rFonts w:ascii="Trebuchet MS" w:cs="Trebuchet MS" w:eastAsia="Trebuchet MS" w:hAnsi="Trebuchet MS"/>
          <w:sz w:val="19"/>
          <w:szCs w:val="19"/>
          <w:b w:val="1"/>
          <w:bCs w:val="1"/>
          <w:color w:val="auto"/>
        </w:rPr>
        <w:t>Independent Auditor’s Report</w:t>
      </w:r>
    </w:p>
    <w:p>
      <w:pPr>
        <w:spacing w:after="0" w:line="105"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To the Board of Directors RAM</w:t>
      </w:r>
    </w:p>
    <w:p>
      <w:pPr>
        <w:spacing w:after="0" w:line="234" w:lineRule="auto"/>
        <w:rPr>
          <w:sz w:val="20"/>
          <w:szCs w:val="20"/>
          <w:color w:val="auto"/>
        </w:rPr>
      </w:pPr>
      <w:r>
        <w:rPr>
          <w:rFonts w:ascii="Trebuchet MS" w:cs="Trebuchet MS" w:eastAsia="Trebuchet MS" w:hAnsi="Trebuchet MS"/>
          <w:sz w:val="19"/>
          <w:szCs w:val="19"/>
          <w:color w:val="auto"/>
        </w:rPr>
        <w:t>Energy Holdings LLC</w:t>
      </w:r>
    </w:p>
    <w:p>
      <w:pPr>
        <w:spacing w:after="0" w:line="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Tulsa, Oklahoma</w:t>
      </w:r>
    </w:p>
    <w:p>
      <w:pPr>
        <w:spacing w:after="0" w:line="103"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We have audited the accompanying consolidated financial statements of RAM Energy Holdings LLC and its subsidiaries (the “Company”), which comprise the consolidated balance sheet as of September 30, 2020, and the related consolidated statements of operations, member’s equity, and cash flows for the year then ended, and the related notes to the consolidated financial statements.</w:t>
      </w:r>
    </w:p>
    <w:p>
      <w:pPr>
        <w:spacing w:after="0" w:line="31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Management’s Responsibility for the Consolidated Financial Statements</w:t>
      </w:r>
    </w:p>
    <w:p>
      <w:pPr>
        <w:spacing w:after="0" w:line="1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31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Auditor’s Responsibility</w:t>
      </w:r>
    </w:p>
    <w:p>
      <w:pPr>
        <w:spacing w:after="0" w:line="1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209"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209"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We believe that the audit evidence we have obtained is sufficient and appropriate to provide a basis for our audit opinion.</w:t>
      </w:r>
    </w:p>
    <w:p>
      <w:pPr>
        <w:spacing w:after="0" w:line="315"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Opinion</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our opinion, the consolidated financial statements referred to above present fairly, in all material respects, the financial position of RAM Energy Holdings LLC and its subsidiaries as of September 30, 2020, and the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spacing w:after="0"/>
        <w:rPr>
          <w:sz w:val="20"/>
          <w:szCs w:val="20"/>
          <w:color w:val="auto"/>
        </w:rPr>
      </w:pPr>
      <w:r>
        <w:rPr>
          <w:rFonts w:ascii="Trebuchet MS" w:cs="Trebuchet MS" w:eastAsia="Trebuchet MS" w:hAnsi="Trebuchet MS"/>
          <w:sz w:val="19"/>
          <w:szCs w:val="19"/>
          <w:b w:val="1"/>
          <w:bCs w:val="1"/>
          <w:i w:val="1"/>
          <w:iCs w:val="1"/>
          <w:color w:val="auto"/>
        </w:rPr>
        <w:t>Emphasis of Matter</w:t>
      </w:r>
    </w:p>
    <w:p>
      <w:pPr>
        <w:spacing w:after="0" w:line="1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As more fully described in Note 2 to the consolidated financial statements, the Company has been materially impacted by the outbreak of a novel coronavirus (COVID-19), which was declared a global pandemic by the World Health Organization in March 2020. The pandemic has compounded the crude oil price volatility due to disruption of global supply and demand, which has, and may continue to have a material impact to the Company’s financial position and results of operations. Our opinion is not modified with respect to this matter.</w:t>
      </w:r>
    </w:p>
    <w:p>
      <w:pPr>
        <w:spacing w:after="0" w:line="2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 BDO USA, LLP</w:t>
      </w:r>
    </w:p>
    <w:p>
      <w:pPr>
        <w:spacing w:after="0" w:line="207"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Houston, TX</w:t>
      </w:r>
    </w:p>
    <w:p>
      <w:pPr>
        <w:spacing w:after="0"/>
        <w:rPr>
          <w:sz w:val="20"/>
          <w:szCs w:val="20"/>
          <w:color w:val="auto"/>
        </w:rPr>
      </w:pPr>
      <w:r>
        <w:rPr>
          <w:rFonts w:ascii="Trebuchet MS" w:cs="Trebuchet MS" w:eastAsia="Trebuchet MS" w:hAnsi="Trebuchet MS"/>
          <w:sz w:val="19"/>
          <w:szCs w:val="19"/>
          <w:color w:val="auto"/>
        </w:rPr>
        <w:t>November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615315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sectPr>
      </w:pPr>
    </w:p>
    <w:bookmarkStart w:id="113" w:name="page114"/>
    <w:bookmarkEnd w:id="113"/>
    <w:p>
      <w:pPr>
        <w:jc w:val="center"/>
        <w:ind w:right="19"/>
        <w:spacing w:after="0"/>
        <w:rPr>
          <w:sz w:val="20"/>
          <w:szCs w:val="20"/>
          <w:color w:val="auto"/>
        </w:rPr>
      </w:pPr>
      <w:r>
        <w:rPr>
          <w:rFonts w:ascii="Trebuchet MS" w:cs="Trebuchet MS" w:eastAsia="Trebuchet MS" w:hAnsi="Trebuchet MS"/>
          <w:sz w:val="28"/>
          <w:szCs w:val="2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24130</wp:posOffset>
            </wp:positionV>
            <wp:extent cx="713232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3127375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28"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313"/>
        </w:trPr>
        <w:tc>
          <w:tcPr>
            <w:tcW w:w="8500" w:type="dxa"/>
            <w:vAlign w:val="bottom"/>
          </w:tcPr>
          <w:p>
            <w:pPr>
              <w:ind w:left="318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27"/>
        </w:trPr>
        <w:tc>
          <w:tcPr>
            <w:tcW w:w="8500" w:type="dxa"/>
            <w:vAlign w:val="bottom"/>
            <w:tcBorders>
              <w:bottom w:val="single" w:sz="8" w:color="auto"/>
            </w:tcBorders>
          </w:tcPr>
          <w:p>
            <w:pPr>
              <w:ind w:left="4240"/>
              <w:spacing w:after="0"/>
              <w:rPr>
                <w:sz w:val="20"/>
                <w:szCs w:val="20"/>
                <w:color w:val="auto"/>
              </w:rPr>
            </w:pPr>
            <w:r>
              <w:rPr>
                <w:rFonts w:ascii="Trebuchet MS" w:cs="Trebuchet MS" w:eastAsia="Trebuchet MS" w:hAnsi="Trebuchet MS"/>
                <w:sz w:val="22"/>
                <w:szCs w:val="22"/>
                <w:b w:val="1"/>
                <w:bCs w:val="1"/>
                <w:color w:val="auto"/>
              </w:rPr>
              <w:t>Consolidated Balance Sheet</w:t>
            </w: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37"/>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9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6"/>
              <w:spacing w:after="0"/>
              <w:rPr>
                <w:sz w:val="20"/>
                <w:szCs w:val="20"/>
                <w:color w:val="auto"/>
              </w:rPr>
            </w:pPr>
            <w:r>
              <w:rPr>
                <w:rFonts w:ascii="Trebuchet MS" w:cs="Trebuchet MS" w:eastAsia="Trebuchet MS" w:hAnsi="Trebuchet MS"/>
                <w:sz w:val="19"/>
                <w:szCs w:val="19"/>
                <w:b w:val="1"/>
                <w:bCs w:val="1"/>
                <w:color w:val="auto"/>
              </w:rPr>
              <w:t>2020</w:t>
            </w:r>
          </w:p>
        </w:tc>
      </w:tr>
      <w:tr>
        <w:trPr>
          <w:trHeight w:val="38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Assets</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Current Assets</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Cash and cash equivalents</w:t>
            </w:r>
          </w:p>
        </w:tc>
        <w:tc>
          <w:tcPr>
            <w:tcW w:w="900" w:type="dxa"/>
            <w:vAlign w:val="bottom"/>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8,670,146</w:t>
            </w:r>
          </w:p>
        </w:tc>
      </w:tr>
      <w:tr>
        <w:trPr>
          <w:trHeight w:val="229"/>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Accounts receivable, net</w:t>
            </w:r>
          </w:p>
        </w:tc>
        <w:tc>
          <w:tcPr>
            <w:tcW w:w="90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1,776,351</w:t>
            </w:r>
          </w:p>
        </w:tc>
      </w:tr>
      <w:tr>
        <w:trPr>
          <w:trHeight w:val="222"/>
        </w:trPr>
        <w:tc>
          <w:tcPr>
            <w:tcW w:w="850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Prepaid expenses</w:t>
            </w:r>
          </w:p>
        </w:tc>
        <w:tc>
          <w:tcPr>
            <w:tcW w:w="9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167,589</w:t>
            </w:r>
          </w:p>
        </w:tc>
      </w:tr>
      <w:tr>
        <w:trPr>
          <w:trHeight w:val="381"/>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Total Current Assets</w:t>
            </w:r>
          </w:p>
        </w:tc>
        <w:tc>
          <w:tcPr>
            <w:tcW w:w="900" w:type="dxa"/>
            <w:vAlign w:val="bottom"/>
          </w:tcPr>
          <w:p>
            <w:pPr>
              <w:spacing w:after="0"/>
              <w:rPr>
                <w:sz w:val="24"/>
                <w:szCs w:val="24"/>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10,614,086</w:t>
            </w:r>
          </w:p>
        </w:tc>
      </w:tr>
      <w:tr>
        <w:trPr>
          <w:trHeight w:val="37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Property and Equipment, at Cost</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18"/>
        </w:trPr>
        <w:tc>
          <w:tcPr>
            <w:tcW w:w="8500" w:type="dxa"/>
            <w:vAlign w:val="bottom"/>
          </w:tcPr>
          <w:p>
            <w:pPr>
              <w:ind w:left="260"/>
              <w:spacing w:after="0" w:line="218" w:lineRule="exact"/>
              <w:rPr>
                <w:sz w:val="20"/>
                <w:szCs w:val="20"/>
                <w:color w:val="auto"/>
              </w:rPr>
            </w:pPr>
            <w:r>
              <w:rPr>
                <w:rFonts w:ascii="Trebuchet MS" w:cs="Trebuchet MS" w:eastAsia="Trebuchet MS" w:hAnsi="Trebuchet MS"/>
                <w:sz w:val="19"/>
                <w:szCs w:val="19"/>
                <w:color w:val="auto"/>
              </w:rPr>
              <w:t>Proved oil and natural gas properties and equipment,</w:t>
            </w:r>
          </w:p>
        </w:tc>
        <w:tc>
          <w:tcPr>
            <w:tcW w:w="9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25"/>
        </w:trPr>
        <w:tc>
          <w:tcPr>
            <w:tcW w:w="8500" w:type="dxa"/>
            <w:vAlign w:val="bottom"/>
          </w:tcPr>
          <w:p>
            <w:pPr>
              <w:ind w:left="420"/>
              <w:spacing w:after="0"/>
              <w:rPr>
                <w:sz w:val="20"/>
                <w:szCs w:val="20"/>
                <w:color w:val="auto"/>
              </w:rPr>
            </w:pPr>
            <w:r>
              <w:rPr>
                <w:rFonts w:ascii="Trebuchet MS" w:cs="Trebuchet MS" w:eastAsia="Trebuchet MS" w:hAnsi="Trebuchet MS"/>
                <w:sz w:val="19"/>
                <w:szCs w:val="19"/>
                <w:color w:val="auto"/>
              </w:rPr>
              <w:t>full cost method</w:t>
            </w:r>
          </w:p>
        </w:tc>
        <w:tc>
          <w:tcPr>
            <w:tcW w:w="90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116,121,091</w:t>
            </w:r>
          </w:p>
        </w:tc>
      </w:tr>
      <w:tr>
        <w:trPr>
          <w:trHeight w:val="230"/>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Unproved oil and natural gas properties</w:t>
            </w:r>
          </w:p>
        </w:tc>
        <w:tc>
          <w:tcPr>
            <w:tcW w:w="90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7,488,377</w:t>
            </w:r>
          </w:p>
        </w:tc>
      </w:tr>
      <w:tr>
        <w:trPr>
          <w:trHeight w:val="229"/>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Gas gathering and processing equipment</w:t>
            </w:r>
          </w:p>
        </w:tc>
        <w:tc>
          <w:tcPr>
            <w:tcW w:w="90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17,610,003</w:t>
            </w:r>
          </w:p>
        </w:tc>
      </w:tr>
      <w:tr>
        <w:trPr>
          <w:trHeight w:val="222"/>
        </w:trPr>
        <w:tc>
          <w:tcPr>
            <w:tcW w:w="850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Other property and equipment</w:t>
            </w:r>
          </w:p>
        </w:tc>
        <w:tc>
          <w:tcPr>
            <w:tcW w:w="9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534,903</w:t>
            </w:r>
          </w:p>
        </w:tc>
      </w:tr>
      <w:tr>
        <w:trPr>
          <w:trHeight w:val="231"/>
        </w:trPr>
        <w:tc>
          <w:tcPr>
            <w:tcW w:w="8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141,754,374</w:t>
            </w:r>
          </w:p>
        </w:tc>
      </w:tr>
      <w:tr>
        <w:trPr>
          <w:trHeight w:val="220"/>
        </w:trPr>
        <w:tc>
          <w:tcPr>
            <w:tcW w:w="8500" w:type="dxa"/>
            <w:vAlign w:val="bottom"/>
          </w:tcPr>
          <w:p>
            <w:pPr>
              <w:spacing w:after="0"/>
              <w:rPr>
                <w:sz w:val="20"/>
                <w:szCs w:val="20"/>
                <w:color w:val="auto"/>
              </w:rPr>
            </w:pPr>
            <w:r>
              <w:rPr>
                <w:rFonts w:ascii="Trebuchet MS" w:cs="Trebuchet MS" w:eastAsia="Trebuchet MS" w:hAnsi="Trebuchet MS"/>
                <w:sz w:val="19"/>
                <w:szCs w:val="19"/>
                <w:color w:val="auto"/>
              </w:rPr>
              <w:t>Less: accumulated depreciation, depletion,</w:t>
            </w:r>
          </w:p>
        </w:tc>
        <w:tc>
          <w:tcPr>
            <w:tcW w:w="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8"/>
        </w:trPr>
        <w:tc>
          <w:tcPr>
            <w:tcW w:w="8500" w:type="dxa"/>
            <w:vAlign w:val="bottom"/>
            <w:tcBorders>
              <w:bottom w:val="single" w:sz="8" w:color="auto"/>
            </w:tcBorders>
          </w:tcPr>
          <w:p>
            <w:pPr>
              <w:ind w:left="180"/>
              <w:spacing w:after="0" w:line="218" w:lineRule="exact"/>
              <w:rPr>
                <w:sz w:val="20"/>
                <w:szCs w:val="20"/>
                <w:color w:val="auto"/>
              </w:rPr>
            </w:pPr>
            <w:r>
              <w:rPr>
                <w:rFonts w:ascii="Trebuchet MS" w:cs="Trebuchet MS" w:eastAsia="Trebuchet MS" w:hAnsi="Trebuchet MS"/>
                <w:sz w:val="19"/>
                <w:szCs w:val="19"/>
                <w:color w:val="auto"/>
              </w:rPr>
              <w:t>amortization and impairment</w:t>
            </w:r>
          </w:p>
        </w:tc>
        <w:tc>
          <w:tcPr>
            <w:tcW w:w="9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line="218" w:lineRule="exact"/>
              <w:rPr>
                <w:sz w:val="20"/>
                <w:szCs w:val="20"/>
                <w:color w:val="auto"/>
              </w:rPr>
            </w:pPr>
            <w:r>
              <w:rPr>
                <w:rFonts w:ascii="Trebuchet MS" w:cs="Trebuchet MS" w:eastAsia="Trebuchet MS" w:hAnsi="Trebuchet MS"/>
                <w:sz w:val="19"/>
                <w:szCs w:val="19"/>
                <w:color w:val="auto"/>
              </w:rPr>
              <w:t>(90,727,620)</w:t>
            </w:r>
          </w:p>
        </w:tc>
      </w:tr>
      <w:tr>
        <w:trPr>
          <w:trHeight w:val="381"/>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Net Property and Equipment</w:t>
            </w:r>
          </w:p>
        </w:tc>
        <w:tc>
          <w:tcPr>
            <w:tcW w:w="900" w:type="dxa"/>
            <w:vAlign w:val="bottom"/>
          </w:tcPr>
          <w:p>
            <w:pPr>
              <w:spacing w:after="0"/>
              <w:rPr>
                <w:sz w:val="24"/>
                <w:szCs w:val="24"/>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51,026,754</w:t>
            </w:r>
          </w:p>
        </w:tc>
      </w:tr>
      <w:tr>
        <w:trPr>
          <w:trHeight w:val="37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Other Assets</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Restricted cash</w:t>
            </w:r>
          </w:p>
        </w:tc>
        <w:tc>
          <w:tcPr>
            <w:tcW w:w="90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741,524</w:t>
            </w:r>
          </w:p>
        </w:tc>
      </w:tr>
      <w:tr>
        <w:trPr>
          <w:trHeight w:val="222"/>
        </w:trPr>
        <w:tc>
          <w:tcPr>
            <w:tcW w:w="850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Other</w:t>
            </w:r>
          </w:p>
        </w:tc>
        <w:tc>
          <w:tcPr>
            <w:tcW w:w="9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15,334</w:t>
            </w:r>
          </w:p>
        </w:tc>
      </w:tr>
      <w:tr>
        <w:trPr>
          <w:trHeight w:val="372"/>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Total Other Assets</w:t>
            </w: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756,858</w:t>
            </w:r>
          </w:p>
        </w:tc>
      </w:tr>
      <w:tr>
        <w:trPr>
          <w:trHeight w:val="378"/>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Total Assets</w:t>
            </w:r>
          </w:p>
        </w:tc>
        <w:tc>
          <w:tcPr>
            <w:tcW w:w="900" w:type="dxa"/>
            <w:vAlign w:val="bottom"/>
            <w:tcBorders>
              <w:bottom w:val="single" w:sz="8" w:color="auto"/>
            </w:tcBorders>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62,397,698</w:t>
            </w:r>
          </w:p>
        </w:tc>
      </w:tr>
      <w:tr>
        <w:trPr>
          <w:trHeight w:val="38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Liabilities and Member’s Equity</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Current Liabilities</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Accounts payable</w:t>
            </w:r>
          </w:p>
        </w:tc>
        <w:tc>
          <w:tcPr>
            <w:tcW w:w="900" w:type="dxa"/>
            <w:vAlign w:val="bottom"/>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9,297,593</w:t>
            </w:r>
          </w:p>
        </w:tc>
      </w:tr>
      <w:tr>
        <w:trPr>
          <w:trHeight w:val="230"/>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Revenue payable</w:t>
            </w:r>
          </w:p>
        </w:tc>
        <w:tc>
          <w:tcPr>
            <w:tcW w:w="90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1,526,449</w:t>
            </w:r>
          </w:p>
        </w:tc>
      </w:tr>
      <w:tr>
        <w:trPr>
          <w:trHeight w:val="229"/>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Accrued liabilities</w:t>
            </w:r>
          </w:p>
        </w:tc>
        <w:tc>
          <w:tcPr>
            <w:tcW w:w="90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1,074,357</w:t>
            </w:r>
          </w:p>
        </w:tc>
      </w:tr>
      <w:tr>
        <w:trPr>
          <w:trHeight w:val="230"/>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Derivative liabilities</w:t>
            </w:r>
          </w:p>
        </w:tc>
        <w:tc>
          <w:tcPr>
            <w:tcW w:w="90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537,157</w:t>
            </w:r>
          </w:p>
        </w:tc>
      </w:tr>
      <w:tr>
        <w:trPr>
          <w:trHeight w:val="222"/>
        </w:trPr>
        <w:tc>
          <w:tcPr>
            <w:tcW w:w="850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Current portion of asset retirement obligations</w:t>
            </w:r>
          </w:p>
        </w:tc>
        <w:tc>
          <w:tcPr>
            <w:tcW w:w="9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903,228</w:t>
            </w:r>
          </w:p>
        </w:tc>
      </w:tr>
      <w:tr>
        <w:trPr>
          <w:trHeight w:val="381"/>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Total Current Liabilities</w:t>
            </w:r>
          </w:p>
        </w:tc>
        <w:tc>
          <w:tcPr>
            <w:tcW w:w="900" w:type="dxa"/>
            <w:vAlign w:val="bottom"/>
          </w:tcPr>
          <w:p>
            <w:pPr>
              <w:spacing w:after="0"/>
              <w:rPr>
                <w:sz w:val="24"/>
                <w:szCs w:val="24"/>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13,338,784</w:t>
            </w:r>
          </w:p>
        </w:tc>
      </w:tr>
      <w:tr>
        <w:trPr>
          <w:trHeight w:val="37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Asset Retirement Obligations, net of current portion</w:t>
            </w:r>
          </w:p>
        </w:tc>
        <w:tc>
          <w:tcPr>
            <w:tcW w:w="900" w:type="dxa"/>
            <w:vAlign w:val="bottom"/>
          </w:tcPr>
          <w:p>
            <w:pPr>
              <w:spacing w:after="0"/>
              <w:rPr>
                <w:sz w:val="24"/>
                <w:szCs w:val="24"/>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4,827,793</w:t>
            </w:r>
          </w:p>
        </w:tc>
      </w:tr>
      <w:tr>
        <w:trPr>
          <w:trHeight w:val="368"/>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Long-Term Debt, net</w:t>
            </w: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40,293,546</w:t>
            </w:r>
          </w:p>
        </w:tc>
      </w:tr>
      <w:tr>
        <w:trPr>
          <w:trHeight w:val="371"/>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Total Liabilities</w:t>
            </w: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58,460,123</w:t>
            </w:r>
          </w:p>
        </w:tc>
      </w:tr>
      <w:tr>
        <w:trPr>
          <w:trHeight w:val="381"/>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Commitments and Contingencies (Note 9)</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5"/>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Member’s Equity</w:t>
            </w: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3,937,575</w:t>
            </w:r>
          </w:p>
        </w:tc>
      </w:tr>
      <w:tr>
        <w:trPr>
          <w:trHeight w:val="385"/>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Total Liabilities and Member’s Equity</w:t>
            </w:r>
          </w:p>
        </w:tc>
        <w:tc>
          <w:tcPr>
            <w:tcW w:w="900" w:type="dxa"/>
            <w:vAlign w:val="bottom"/>
            <w:tcBorders>
              <w:bottom w:val="single" w:sz="8" w:color="auto"/>
            </w:tcBorders>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62,397,698</w:t>
            </w:r>
          </w:p>
        </w:tc>
      </w:tr>
    </w:tbl>
    <w:p>
      <w:pPr>
        <w:spacing w:after="0" w:line="160" w:lineRule="exact"/>
        <w:rPr>
          <w:sz w:val="20"/>
          <w:szCs w:val="20"/>
          <w:color w:val="auto"/>
        </w:rPr>
      </w:pPr>
    </w:p>
    <w:p>
      <w:pPr>
        <w:jc w:val="center"/>
        <w:ind w:right="100"/>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313"/>
        </w:trPr>
        <w:tc>
          <w:tcPr>
            <w:tcW w:w="8500" w:type="dxa"/>
            <w:vAlign w:val="bottom"/>
          </w:tcPr>
          <w:p>
            <w:pPr>
              <w:ind w:left="318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27"/>
        </w:trPr>
        <w:tc>
          <w:tcPr>
            <w:tcW w:w="8500" w:type="dxa"/>
            <w:vAlign w:val="bottom"/>
            <w:tcBorders>
              <w:bottom w:val="single" w:sz="8" w:color="auto"/>
            </w:tcBorders>
          </w:tcPr>
          <w:p>
            <w:pPr>
              <w:ind w:left="3700"/>
              <w:spacing w:after="0"/>
              <w:rPr>
                <w:sz w:val="20"/>
                <w:szCs w:val="20"/>
                <w:color w:val="auto"/>
              </w:rPr>
            </w:pPr>
            <w:r>
              <w:rPr>
                <w:rFonts w:ascii="Trebuchet MS" w:cs="Trebuchet MS" w:eastAsia="Trebuchet MS" w:hAnsi="Trebuchet MS"/>
                <w:sz w:val="22"/>
                <w:szCs w:val="22"/>
                <w:b w:val="1"/>
                <w:bCs w:val="1"/>
                <w:color w:val="auto"/>
              </w:rPr>
              <w:t>Consolidated Statement of Operations</w:t>
            </w: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37"/>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tc>
        <w:tc>
          <w:tcPr>
            <w:tcW w:w="9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906"/>
              <w:spacing w:after="0"/>
              <w:rPr>
                <w:sz w:val="20"/>
                <w:szCs w:val="20"/>
                <w:color w:val="auto"/>
              </w:rPr>
            </w:pPr>
            <w:r>
              <w:rPr>
                <w:rFonts w:ascii="Trebuchet MS" w:cs="Trebuchet MS" w:eastAsia="Trebuchet MS" w:hAnsi="Trebuchet MS"/>
                <w:sz w:val="19"/>
                <w:szCs w:val="19"/>
                <w:b w:val="1"/>
                <w:bCs w:val="1"/>
                <w:color w:val="auto"/>
              </w:rPr>
              <w:t>2020</w:t>
            </w:r>
          </w:p>
        </w:tc>
      </w:tr>
      <w:tr>
        <w:trPr>
          <w:trHeight w:val="38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Operating Revenues</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Crude oil sales</w:t>
            </w:r>
          </w:p>
        </w:tc>
        <w:tc>
          <w:tcPr>
            <w:tcW w:w="900" w:type="dxa"/>
            <w:vAlign w:val="bottom"/>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13,242,725</w:t>
            </w:r>
          </w:p>
        </w:tc>
      </w:tr>
      <w:tr>
        <w:trPr>
          <w:trHeight w:val="229"/>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Natural gas sales</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8,046,227</w:t>
            </w:r>
          </w:p>
        </w:tc>
      </w:tr>
      <w:tr>
        <w:trPr>
          <w:trHeight w:val="230"/>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Natural gas liquids sales</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5,281,458</w:t>
            </w:r>
          </w:p>
        </w:tc>
      </w:tr>
      <w:tr>
        <w:trPr>
          <w:trHeight w:val="229"/>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Water supply services</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748,221</w:t>
            </w:r>
          </w:p>
        </w:tc>
      </w:tr>
      <w:tr>
        <w:trPr>
          <w:trHeight w:val="222"/>
        </w:trPr>
        <w:tc>
          <w:tcPr>
            <w:tcW w:w="850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Gathering fees</w:t>
            </w:r>
          </w:p>
        </w:tc>
        <w:tc>
          <w:tcPr>
            <w:tcW w:w="9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3,267,474</w:t>
            </w:r>
          </w:p>
        </w:tc>
      </w:tr>
      <w:tr>
        <w:trPr>
          <w:trHeight w:val="381"/>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Total Revenues</w:t>
            </w:r>
          </w:p>
        </w:tc>
        <w:tc>
          <w:tcPr>
            <w:tcW w:w="900" w:type="dxa"/>
            <w:vAlign w:val="bottom"/>
          </w:tcPr>
          <w:p>
            <w:pPr>
              <w:spacing w:after="0"/>
              <w:rPr>
                <w:sz w:val="24"/>
                <w:szCs w:val="24"/>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30,586,105</w:t>
            </w:r>
          </w:p>
        </w:tc>
      </w:tr>
      <w:tr>
        <w:trPr>
          <w:trHeight w:val="37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Operating Expenses</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Oil and natural gas operating expenses</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19,371,952</w:t>
            </w:r>
          </w:p>
        </w:tc>
      </w:tr>
      <w:tr>
        <w:trPr>
          <w:trHeight w:val="230"/>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Oil and natural gas production taxes</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713,228</w:t>
            </w:r>
          </w:p>
        </w:tc>
      </w:tr>
      <w:tr>
        <w:trPr>
          <w:trHeight w:val="229"/>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Water usage</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75,000</w:t>
            </w:r>
          </w:p>
        </w:tc>
      </w:tr>
      <w:tr>
        <w:trPr>
          <w:trHeight w:val="229"/>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Depreciation, depletion and amortization</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14,816,892</w:t>
            </w:r>
          </w:p>
        </w:tc>
      </w:tr>
      <w:tr>
        <w:trPr>
          <w:trHeight w:val="230"/>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Impairment of oil and gas properties</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32,455,508</w:t>
            </w:r>
          </w:p>
        </w:tc>
      </w:tr>
      <w:tr>
        <w:trPr>
          <w:trHeight w:val="229"/>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Accretion of asset retirement obligations</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576,665</w:t>
            </w:r>
          </w:p>
        </w:tc>
      </w:tr>
      <w:tr>
        <w:trPr>
          <w:trHeight w:val="229"/>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Bad debt expense</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1,050</w:t>
            </w:r>
          </w:p>
        </w:tc>
      </w:tr>
      <w:tr>
        <w:trPr>
          <w:trHeight w:val="220"/>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General and administrative, overhead and other</w:t>
            </w:r>
          </w:p>
        </w:tc>
        <w:tc>
          <w:tcPr>
            <w:tcW w:w="9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8"/>
        </w:trPr>
        <w:tc>
          <w:tcPr>
            <w:tcW w:w="8500" w:type="dxa"/>
            <w:vAlign w:val="bottom"/>
            <w:tcBorders>
              <w:bottom w:val="single" w:sz="8" w:color="auto"/>
            </w:tcBorders>
          </w:tcPr>
          <w:p>
            <w:pPr>
              <w:ind w:left="420"/>
              <w:spacing w:after="0" w:line="218" w:lineRule="exact"/>
              <w:rPr>
                <w:sz w:val="20"/>
                <w:szCs w:val="20"/>
                <w:color w:val="auto"/>
              </w:rPr>
            </w:pPr>
            <w:r>
              <w:rPr>
                <w:rFonts w:ascii="Trebuchet MS" w:cs="Trebuchet MS" w:eastAsia="Trebuchet MS" w:hAnsi="Trebuchet MS"/>
                <w:sz w:val="19"/>
                <w:szCs w:val="19"/>
                <w:color w:val="auto"/>
              </w:rPr>
              <w:t>expenses, net of operator's overhead fees</w:t>
            </w:r>
          </w:p>
        </w:tc>
        <w:tc>
          <w:tcPr>
            <w:tcW w:w="9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26"/>
              <w:spacing w:after="0" w:line="218" w:lineRule="exact"/>
              <w:rPr>
                <w:sz w:val="20"/>
                <w:szCs w:val="20"/>
                <w:color w:val="auto"/>
              </w:rPr>
            </w:pPr>
            <w:r>
              <w:rPr>
                <w:rFonts w:ascii="Trebuchet MS" w:cs="Trebuchet MS" w:eastAsia="Trebuchet MS" w:hAnsi="Trebuchet MS"/>
                <w:sz w:val="19"/>
                <w:szCs w:val="19"/>
                <w:color w:val="auto"/>
              </w:rPr>
              <w:t>4,450,780</w:t>
            </w:r>
          </w:p>
        </w:tc>
      </w:tr>
      <w:tr>
        <w:trPr>
          <w:trHeight w:val="371"/>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Total Operating Expenses</w:t>
            </w: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72,461,075</w:t>
            </w:r>
          </w:p>
        </w:tc>
      </w:tr>
      <w:tr>
        <w:trPr>
          <w:trHeight w:val="381"/>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Loss from Operations</w:t>
            </w:r>
          </w:p>
        </w:tc>
        <w:tc>
          <w:tcPr>
            <w:tcW w:w="90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Trebuchet MS" w:cs="Trebuchet MS" w:eastAsia="Trebuchet MS" w:hAnsi="Trebuchet MS"/>
                <w:sz w:val="19"/>
                <w:szCs w:val="19"/>
                <w:color w:val="auto"/>
              </w:rPr>
              <w:t>(41,874,970)</w:t>
            </w:r>
          </w:p>
        </w:tc>
      </w:tr>
      <w:tr>
        <w:trPr>
          <w:trHeight w:val="378"/>
        </w:trPr>
        <w:tc>
          <w:tcPr>
            <w:tcW w:w="8500" w:type="dxa"/>
            <w:vAlign w:val="bottom"/>
          </w:tcPr>
          <w:p>
            <w:pPr>
              <w:spacing w:after="0"/>
              <w:rPr>
                <w:sz w:val="20"/>
                <w:szCs w:val="20"/>
                <w:color w:val="auto"/>
              </w:rPr>
            </w:pPr>
            <w:r>
              <w:rPr>
                <w:rFonts w:ascii="Trebuchet MS" w:cs="Trebuchet MS" w:eastAsia="Trebuchet MS" w:hAnsi="Trebuchet MS"/>
                <w:sz w:val="19"/>
                <w:szCs w:val="19"/>
                <w:b w:val="1"/>
                <w:bCs w:val="1"/>
                <w:color w:val="auto"/>
              </w:rPr>
              <w:t>Other Income (Expense)</w:t>
            </w:r>
          </w:p>
        </w:tc>
        <w:tc>
          <w:tcPr>
            <w:tcW w:w="9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Interest expense</w:t>
            </w:r>
          </w:p>
        </w:tc>
        <w:tc>
          <w:tcPr>
            <w:tcW w:w="9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rebuchet MS" w:cs="Trebuchet MS" w:eastAsia="Trebuchet MS" w:hAnsi="Trebuchet MS"/>
                <w:sz w:val="19"/>
                <w:szCs w:val="19"/>
                <w:color w:val="auto"/>
              </w:rPr>
              <w:t>(5,945,697)</w:t>
            </w:r>
          </w:p>
        </w:tc>
      </w:tr>
      <w:tr>
        <w:trPr>
          <w:trHeight w:val="230"/>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Interest income</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86,697</w:t>
            </w:r>
          </w:p>
        </w:tc>
      </w:tr>
      <w:tr>
        <w:trPr>
          <w:trHeight w:val="230"/>
        </w:trPr>
        <w:tc>
          <w:tcPr>
            <w:tcW w:w="8500" w:type="dxa"/>
            <w:vAlign w:val="bottom"/>
          </w:tcPr>
          <w:p>
            <w:pPr>
              <w:ind w:left="260"/>
              <w:spacing w:after="0"/>
              <w:rPr>
                <w:sz w:val="20"/>
                <w:szCs w:val="20"/>
                <w:color w:val="auto"/>
              </w:rPr>
            </w:pPr>
            <w:r>
              <w:rPr>
                <w:rFonts w:ascii="Trebuchet MS" w:cs="Trebuchet MS" w:eastAsia="Trebuchet MS" w:hAnsi="Trebuchet MS"/>
                <w:sz w:val="19"/>
                <w:szCs w:val="19"/>
                <w:color w:val="auto"/>
              </w:rPr>
              <w:t>Gain on derivative instruments</w:t>
            </w:r>
          </w:p>
        </w:tc>
        <w:tc>
          <w:tcPr>
            <w:tcW w:w="900" w:type="dxa"/>
            <w:vAlign w:val="bottom"/>
          </w:tcPr>
          <w:p>
            <w:pPr>
              <w:spacing w:after="0"/>
              <w:rPr>
                <w:sz w:val="19"/>
                <w:szCs w:val="19"/>
                <w:color w:val="auto"/>
              </w:rPr>
            </w:pPr>
          </w:p>
        </w:tc>
        <w:tc>
          <w:tcPr>
            <w:tcW w:w="184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2,322,535</w:t>
            </w:r>
          </w:p>
        </w:tc>
      </w:tr>
      <w:tr>
        <w:trPr>
          <w:trHeight w:val="222"/>
        </w:trPr>
        <w:tc>
          <w:tcPr>
            <w:tcW w:w="850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Other income, net</w:t>
            </w:r>
          </w:p>
        </w:tc>
        <w:tc>
          <w:tcPr>
            <w:tcW w:w="9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82,745</w:t>
            </w:r>
          </w:p>
        </w:tc>
      </w:tr>
      <w:tr>
        <w:trPr>
          <w:trHeight w:val="372"/>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Total Other Income (Expense)</w:t>
            </w:r>
          </w:p>
        </w:tc>
        <w:tc>
          <w:tcPr>
            <w:tcW w:w="9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(3,453,720)</w:t>
            </w:r>
          </w:p>
        </w:tc>
      </w:tr>
      <w:tr>
        <w:trPr>
          <w:trHeight w:val="378"/>
        </w:trPr>
        <w:tc>
          <w:tcPr>
            <w:tcW w:w="85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Net Loss</w:t>
            </w:r>
          </w:p>
        </w:tc>
        <w:tc>
          <w:tcPr>
            <w:tcW w:w="900" w:type="dxa"/>
            <w:vAlign w:val="bottom"/>
            <w:tcBorders>
              <w:bottom w:val="single" w:sz="8" w:color="auto"/>
            </w:tcBorders>
          </w:tcPr>
          <w:p>
            <w:pPr>
              <w:jc w:val="right"/>
              <w:ind w:right="286"/>
              <w:spacing w:after="0"/>
              <w:rPr>
                <w:sz w:val="20"/>
                <w:szCs w:val="20"/>
                <w:color w:val="auto"/>
              </w:rPr>
            </w:pPr>
            <w:r>
              <w:rPr>
                <w:rFonts w:ascii="Trebuchet MS" w:cs="Trebuchet MS" w:eastAsia="Trebuchet MS" w:hAnsi="Trebuchet MS"/>
                <w:sz w:val="19"/>
                <w:szCs w:val="19"/>
                <w:color w:val="auto"/>
              </w:rPr>
              <w:t>$</w:t>
            </w:r>
          </w:p>
        </w:tc>
        <w:tc>
          <w:tcPr>
            <w:tcW w:w="18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(45,328,690)</w:t>
            </w:r>
          </w:p>
        </w:tc>
      </w:tr>
    </w:tbl>
    <w:p>
      <w:pPr>
        <w:spacing w:after="0" w:line="241" w:lineRule="exact"/>
        <w:rPr>
          <w:sz w:val="20"/>
          <w:szCs w:val="20"/>
          <w:color w:val="auto"/>
        </w:rPr>
      </w:pPr>
    </w:p>
    <w:p>
      <w:pPr>
        <w:jc w:val="center"/>
        <w:ind w:right="120"/>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6" w:name="page117"/>
    <w:bookmarkEnd w:id="116"/>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50"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Consolidated Statement of Member’s Equity</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840" w:type="dxa"/>
            <w:vAlign w:val="bottom"/>
            <w:tcBorders>
              <w:top w:val="single" w:sz="8" w:color="auto"/>
            </w:tcBorders>
          </w:tcPr>
          <w:p>
            <w:pPr>
              <w:spacing w:after="0"/>
              <w:rPr>
                <w:sz w:val="21"/>
                <w:szCs w:val="21"/>
                <w:color w:val="auto"/>
              </w:rPr>
            </w:pPr>
          </w:p>
        </w:tc>
        <w:tc>
          <w:tcPr>
            <w:tcW w:w="38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820" w:type="dxa"/>
            <w:vAlign w:val="bottom"/>
            <w:tcBorders>
              <w:top w:val="single" w:sz="8" w:color="auto"/>
            </w:tcBorders>
          </w:tcPr>
          <w:p>
            <w:pPr>
              <w:jc w:val="right"/>
              <w:ind w:right="546"/>
              <w:spacing w:after="0"/>
              <w:rPr>
                <w:sz w:val="20"/>
                <w:szCs w:val="20"/>
                <w:color w:val="auto"/>
              </w:rPr>
            </w:pPr>
            <w:r>
              <w:rPr>
                <w:rFonts w:ascii="Trebuchet MS" w:cs="Trebuchet MS" w:eastAsia="Trebuchet MS" w:hAnsi="Trebuchet MS"/>
                <w:sz w:val="19"/>
                <w:szCs w:val="19"/>
                <w:b w:val="1"/>
                <w:bCs w:val="1"/>
                <w:color w:val="auto"/>
              </w:rPr>
              <w:t>Member’s</w:t>
            </w:r>
          </w:p>
        </w:tc>
      </w:tr>
      <w:tr>
        <w:trPr>
          <w:trHeight w:val="231"/>
        </w:trPr>
        <w:tc>
          <w:tcPr>
            <w:tcW w:w="4840" w:type="dxa"/>
            <w:vAlign w:val="bottom"/>
            <w:tcBorders>
              <w:bottom w:val="single" w:sz="8" w:color="auto"/>
            </w:tcBorders>
          </w:tcPr>
          <w:p>
            <w:pPr>
              <w:spacing w:after="0"/>
              <w:rPr>
                <w:sz w:val="20"/>
                <w:szCs w:val="20"/>
                <w:color w:val="auto"/>
              </w:rPr>
            </w:pPr>
          </w:p>
        </w:tc>
        <w:tc>
          <w:tcPr>
            <w:tcW w:w="3820" w:type="dxa"/>
            <w:vAlign w:val="bottom"/>
            <w:tcBorders>
              <w:bottom w:val="single" w:sz="8" w:color="auto"/>
            </w:tcBorders>
          </w:tcPr>
          <w:p>
            <w:pPr>
              <w:jc w:val="right"/>
              <w:ind w:right="1046"/>
              <w:spacing w:after="0"/>
              <w:rPr>
                <w:sz w:val="20"/>
                <w:szCs w:val="20"/>
                <w:color w:val="auto"/>
              </w:rPr>
            </w:pPr>
            <w:r>
              <w:rPr>
                <w:rFonts w:ascii="Trebuchet MS" w:cs="Trebuchet MS" w:eastAsia="Trebuchet MS" w:hAnsi="Trebuchet MS"/>
                <w:sz w:val="19"/>
                <w:szCs w:val="19"/>
                <w:b w:val="1"/>
                <w:bCs w:val="1"/>
                <w:color w:val="auto"/>
              </w:rPr>
              <w:t>Units</w:t>
            </w:r>
          </w:p>
        </w:tc>
        <w:tc>
          <w:tcPr>
            <w:tcW w:w="7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286"/>
              <w:spacing w:after="0"/>
              <w:rPr>
                <w:sz w:val="20"/>
                <w:szCs w:val="20"/>
                <w:color w:val="auto"/>
              </w:rPr>
            </w:pPr>
            <w:r>
              <w:rPr>
                <w:rFonts w:ascii="Trebuchet MS" w:cs="Trebuchet MS" w:eastAsia="Trebuchet MS" w:hAnsi="Trebuchet MS"/>
                <w:sz w:val="19"/>
                <w:szCs w:val="19"/>
                <w:b w:val="1"/>
                <w:bCs w:val="1"/>
                <w:color w:val="auto"/>
              </w:rPr>
              <w:t>Equity (Deficit)</w:t>
            </w:r>
          </w:p>
        </w:tc>
      </w:tr>
      <w:tr>
        <w:trPr>
          <w:trHeight w:val="388"/>
        </w:trPr>
        <w:tc>
          <w:tcPr>
            <w:tcW w:w="4840" w:type="dxa"/>
            <w:vAlign w:val="bottom"/>
          </w:tcPr>
          <w:p>
            <w:pPr>
              <w:spacing w:after="0"/>
              <w:rPr>
                <w:sz w:val="20"/>
                <w:szCs w:val="20"/>
                <w:color w:val="auto"/>
              </w:rPr>
            </w:pPr>
            <w:r>
              <w:rPr>
                <w:rFonts w:ascii="Trebuchet MS" w:cs="Trebuchet MS" w:eastAsia="Trebuchet MS" w:hAnsi="Trebuchet MS"/>
                <w:sz w:val="19"/>
                <w:szCs w:val="19"/>
                <w:b w:val="1"/>
                <w:bCs w:val="1"/>
                <w:color w:val="auto"/>
              </w:rPr>
              <w:t>Balance, October 1, 2019</w:t>
            </w:r>
          </w:p>
        </w:tc>
        <w:tc>
          <w:tcPr>
            <w:tcW w:w="3820" w:type="dxa"/>
            <w:vAlign w:val="bottom"/>
          </w:tcPr>
          <w:p>
            <w:pPr>
              <w:jc w:val="right"/>
              <w:ind w:right="486"/>
              <w:spacing w:after="0"/>
              <w:rPr>
                <w:sz w:val="20"/>
                <w:szCs w:val="20"/>
                <w:color w:val="auto"/>
              </w:rPr>
            </w:pPr>
            <w:r>
              <w:rPr>
                <w:rFonts w:ascii="Trebuchet MS" w:cs="Trebuchet MS" w:eastAsia="Trebuchet MS" w:hAnsi="Trebuchet MS"/>
                <w:sz w:val="19"/>
                <w:szCs w:val="19"/>
                <w:color w:val="auto"/>
              </w:rPr>
              <w:t>84,747</w:t>
            </w:r>
          </w:p>
        </w:tc>
        <w:tc>
          <w:tcPr>
            <w:tcW w:w="760" w:type="dxa"/>
            <w:vAlign w:val="bottom"/>
          </w:tcPr>
          <w:p>
            <w:pPr>
              <w:jc w:val="right"/>
              <w:spacing w:after="0"/>
              <w:rPr>
                <w:sz w:val="20"/>
                <w:szCs w:val="20"/>
                <w:color w:val="auto"/>
              </w:rPr>
            </w:pPr>
            <w:r>
              <w:rPr>
                <w:rFonts w:ascii="Trebuchet MS" w:cs="Trebuchet MS" w:eastAsia="Trebuchet MS" w:hAnsi="Trebuchet MS"/>
                <w:sz w:val="19"/>
                <w:szCs w:val="19"/>
                <w:color w:val="auto"/>
              </w:rPr>
              <w:t>$</w:t>
            </w:r>
          </w:p>
        </w:tc>
        <w:tc>
          <w:tcPr>
            <w:tcW w:w="1820" w:type="dxa"/>
            <w:vAlign w:val="bottom"/>
          </w:tcPr>
          <w:p>
            <w:pPr>
              <w:jc w:val="right"/>
              <w:spacing w:after="0"/>
              <w:rPr>
                <w:sz w:val="20"/>
                <w:szCs w:val="20"/>
                <w:color w:val="auto"/>
              </w:rPr>
            </w:pPr>
            <w:r>
              <w:rPr>
                <w:rFonts w:ascii="Trebuchet MS" w:cs="Trebuchet MS" w:eastAsia="Trebuchet MS" w:hAnsi="Trebuchet MS"/>
                <w:sz w:val="19"/>
                <w:szCs w:val="19"/>
                <w:color w:val="auto"/>
              </w:rPr>
              <w:t>(37,177,068)</w:t>
            </w:r>
          </w:p>
        </w:tc>
      </w:tr>
      <w:tr>
        <w:trPr>
          <w:trHeight w:val="378"/>
        </w:trPr>
        <w:tc>
          <w:tcPr>
            <w:tcW w:w="4840" w:type="dxa"/>
            <w:vAlign w:val="bottom"/>
          </w:tcPr>
          <w:p>
            <w:pPr>
              <w:spacing w:after="0"/>
              <w:rPr>
                <w:sz w:val="20"/>
                <w:szCs w:val="20"/>
                <w:color w:val="auto"/>
              </w:rPr>
            </w:pPr>
            <w:r>
              <w:rPr>
                <w:rFonts w:ascii="Trebuchet MS" w:cs="Trebuchet MS" w:eastAsia="Trebuchet MS" w:hAnsi="Trebuchet MS"/>
                <w:sz w:val="19"/>
                <w:szCs w:val="19"/>
                <w:b w:val="1"/>
                <w:bCs w:val="1"/>
                <w:color w:val="auto"/>
              </w:rPr>
              <w:t>Conversion of debt to equity</w:t>
            </w:r>
          </w:p>
        </w:tc>
        <w:tc>
          <w:tcPr>
            <w:tcW w:w="3820" w:type="dxa"/>
            <w:vAlign w:val="bottom"/>
          </w:tcPr>
          <w:p>
            <w:pPr>
              <w:jc w:val="right"/>
              <w:ind w:right="486"/>
              <w:spacing w:after="0"/>
              <w:rPr>
                <w:sz w:val="20"/>
                <w:szCs w:val="20"/>
                <w:color w:val="auto"/>
              </w:rPr>
            </w:pPr>
            <w:r>
              <w:rPr>
                <w:rFonts w:ascii="Trebuchet MS" w:cs="Trebuchet MS" w:eastAsia="Trebuchet MS" w:hAnsi="Trebuchet MS"/>
                <w:sz w:val="19"/>
                <w:szCs w:val="19"/>
                <w:color w:val="auto"/>
              </w:rPr>
              <w:t>96,058</w:t>
            </w:r>
          </w:p>
        </w:tc>
        <w:tc>
          <w:tcPr>
            <w:tcW w:w="760" w:type="dxa"/>
            <w:vAlign w:val="bottom"/>
          </w:tcPr>
          <w:p>
            <w:pPr>
              <w:spacing w:after="0"/>
              <w:rPr>
                <w:sz w:val="24"/>
                <w:szCs w:val="24"/>
                <w:color w:val="auto"/>
              </w:rPr>
            </w:pPr>
          </w:p>
        </w:tc>
        <w:tc>
          <w:tcPr>
            <w:tcW w:w="182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86,443,333</w:t>
            </w:r>
          </w:p>
        </w:tc>
      </w:tr>
      <w:tr>
        <w:trPr>
          <w:trHeight w:val="369"/>
        </w:trPr>
        <w:tc>
          <w:tcPr>
            <w:tcW w:w="484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Net loss</w:t>
            </w:r>
          </w:p>
        </w:tc>
        <w:tc>
          <w:tcPr>
            <w:tcW w:w="3820" w:type="dxa"/>
            <w:vAlign w:val="bottom"/>
            <w:tcBorders>
              <w:bottom w:val="single" w:sz="8" w:color="auto"/>
            </w:tcBorders>
          </w:tcPr>
          <w:p>
            <w:pPr>
              <w:jc w:val="right"/>
              <w:ind w:right="486"/>
              <w:spacing w:after="0"/>
              <w:rPr>
                <w:sz w:val="20"/>
                <w:szCs w:val="20"/>
                <w:color w:val="auto"/>
              </w:rPr>
            </w:pPr>
            <w:r>
              <w:rPr>
                <w:rFonts w:ascii="Trebuchet MS" w:cs="Trebuchet MS" w:eastAsia="Trebuchet MS" w:hAnsi="Trebuchet MS"/>
                <w:sz w:val="19"/>
                <w:szCs w:val="19"/>
                <w:color w:val="auto"/>
              </w:rPr>
              <w:t>-</w:t>
            </w:r>
          </w:p>
        </w:tc>
        <w:tc>
          <w:tcPr>
            <w:tcW w:w="7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(45,328,690)</w:t>
            </w:r>
          </w:p>
        </w:tc>
      </w:tr>
      <w:tr>
        <w:trPr>
          <w:trHeight w:val="378"/>
        </w:trPr>
        <w:tc>
          <w:tcPr>
            <w:tcW w:w="484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Balance, September 30, 2020</w:t>
            </w:r>
          </w:p>
        </w:tc>
        <w:tc>
          <w:tcPr>
            <w:tcW w:w="3820" w:type="dxa"/>
            <w:vAlign w:val="bottom"/>
            <w:tcBorders>
              <w:bottom w:val="single" w:sz="8" w:color="auto"/>
            </w:tcBorders>
          </w:tcPr>
          <w:p>
            <w:pPr>
              <w:jc w:val="right"/>
              <w:ind w:right="486"/>
              <w:spacing w:after="0"/>
              <w:rPr>
                <w:sz w:val="20"/>
                <w:szCs w:val="20"/>
                <w:color w:val="auto"/>
              </w:rPr>
            </w:pPr>
            <w:r>
              <w:rPr>
                <w:rFonts w:ascii="Trebuchet MS" w:cs="Trebuchet MS" w:eastAsia="Trebuchet MS" w:hAnsi="Trebuchet MS"/>
                <w:sz w:val="19"/>
                <w:szCs w:val="19"/>
                <w:color w:val="auto"/>
              </w:rPr>
              <w:t>180,805</w:t>
            </w:r>
          </w:p>
        </w:tc>
        <w:tc>
          <w:tcPr>
            <w:tcW w:w="76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w:t>
            </w:r>
          </w:p>
        </w:tc>
        <w:tc>
          <w:tcPr>
            <w:tcW w:w="182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3,937,575</w:t>
            </w:r>
          </w:p>
        </w:tc>
      </w:tr>
    </w:tbl>
    <w:p>
      <w:pPr>
        <w:spacing w:after="0" w:line="241" w:lineRule="exact"/>
        <w:rPr>
          <w:sz w:val="20"/>
          <w:szCs w:val="20"/>
          <w:color w:val="auto"/>
        </w:rPr>
      </w:pPr>
    </w:p>
    <w:p>
      <w:pPr>
        <w:jc w:val="center"/>
        <w:ind w:right="120"/>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313"/>
        </w:trPr>
        <w:tc>
          <w:tcPr>
            <w:tcW w:w="8480" w:type="dxa"/>
            <w:vAlign w:val="bottom"/>
          </w:tcPr>
          <w:p>
            <w:pPr>
              <w:ind w:left="318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87"/>
        </w:trPr>
        <w:tc>
          <w:tcPr>
            <w:tcW w:w="8480" w:type="dxa"/>
            <w:vAlign w:val="bottom"/>
            <w:tcBorders>
              <w:bottom w:val="single" w:sz="8" w:color="auto"/>
            </w:tcBorders>
          </w:tcPr>
          <w:p>
            <w:pPr>
              <w:ind w:left="3840"/>
              <w:spacing w:after="0"/>
              <w:rPr>
                <w:sz w:val="20"/>
                <w:szCs w:val="20"/>
                <w:color w:val="auto"/>
              </w:rPr>
            </w:pPr>
            <w:r>
              <w:rPr>
                <w:rFonts w:ascii="Times New Roman" w:cs="Times New Roman" w:eastAsia="Times New Roman" w:hAnsi="Times New Roman"/>
                <w:sz w:val="22"/>
                <w:szCs w:val="22"/>
                <w:b w:val="1"/>
                <w:bCs w:val="1"/>
                <w:color w:val="auto"/>
              </w:rPr>
              <w:t>Consolidated Statement of Cash Flows</w:t>
            </w: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r>
      <w:tr>
        <w:trPr>
          <w:trHeight w:val="277"/>
        </w:trPr>
        <w:tc>
          <w:tcPr>
            <w:tcW w:w="84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906"/>
              <w:spacing w:after="0"/>
              <w:rPr>
                <w:sz w:val="20"/>
                <w:szCs w:val="20"/>
                <w:color w:val="auto"/>
              </w:rPr>
            </w:pPr>
            <w:r>
              <w:rPr>
                <w:rFonts w:ascii="Trebuchet MS" w:cs="Trebuchet MS" w:eastAsia="Trebuchet MS" w:hAnsi="Trebuchet MS"/>
                <w:sz w:val="19"/>
                <w:szCs w:val="19"/>
                <w:b w:val="1"/>
                <w:bCs w:val="1"/>
                <w:color w:val="auto"/>
              </w:rPr>
              <w:t>2020</w:t>
            </w:r>
          </w:p>
        </w:tc>
      </w:tr>
      <w:tr>
        <w:trPr>
          <w:trHeight w:val="388"/>
        </w:trPr>
        <w:tc>
          <w:tcPr>
            <w:tcW w:w="8480" w:type="dxa"/>
            <w:vAlign w:val="bottom"/>
          </w:tcPr>
          <w:p>
            <w:pPr>
              <w:spacing w:after="0"/>
              <w:rPr>
                <w:sz w:val="20"/>
                <w:szCs w:val="20"/>
                <w:color w:val="auto"/>
              </w:rPr>
            </w:pPr>
            <w:r>
              <w:rPr>
                <w:rFonts w:ascii="Trebuchet MS" w:cs="Trebuchet MS" w:eastAsia="Trebuchet MS" w:hAnsi="Trebuchet MS"/>
                <w:sz w:val="19"/>
                <w:szCs w:val="19"/>
                <w:b w:val="1"/>
                <w:bCs w:val="1"/>
                <w:color w:val="auto"/>
              </w:rPr>
              <w:t>Cash Flows from Operating Activities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Net loss</w:t>
            </w:r>
          </w:p>
        </w:tc>
        <w:tc>
          <w:tcPr>
            <w:tcW w:w="920" w:type="dxa"/>
            <w:vAlign w:val="bottom"/>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Pr>
          <w:p>
            <w:pPr>
              <w:jc w:val="right"/>
              <w:spacing w:after="0"/>
              <w:rPr>
                <w:sz w:val="20"/>
                <w:szCs w:val="20"/>
                <w:color w:val="auto"/>
              </w:rPr>
            </w:pPr>
            <w:r>
              <w:rPr>
                <w:rFonts w:ascii="Trebuchet MS" w:cs="Trebuchet MS" w:eastAsia="Trebuchet MS" w:hAnsi="Trebuchet MS"/>
                <w:sz w:val="19"/>
                <w:szCs w:val="19"/>
                <w:color w:val="auto"/>
              </w:rPr>
              <w:t>(45,328,690)</w:t>
            </w:r>
          </w:p>
        </w:tc>
      </w:tr>
      <w:tr>
        <w:trPr>
          <w:trHeight w:val="220"/>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Adjustments to reconcile net loss to net cash used in</w:t>
            </w: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5"/>
        </w:trPr>
        <w:tc>
          <w:tcPr>
            <w:tcW w:w="8480" w:type="dxa"/>
            <w:vAlign w:val="bottom"/>
          </w:tcPr>
          <w:p>
            <w:pPr>
              <w:ind w:left="420"/>
              <w:spacing w:after="0"/>
              <w:rPr>
                <w:sz w:val="20"/>
                <w:szCs w:val="20"/>
                <w:color w:val="auto"/>
              </w:rPr>
            </w:pPr>
            <w:r>
              <w:rPr>
                <w:rFonts w:ascii="Trebuchet MS" w:cs="Trebuchet MS" w:eastAsia="Trebuchet MS" w:hAnsi="Trebuchet MS"/>
                <w:sz w:val="19"/>
                <w:szCs w:val="19"/>
                <w:color w:val="auto"/>
              </w:rPr>
              <w:t>operating activities:</w:t>
            </w: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Depreciation, depletion and amortization</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14,816,892</w:t>
            </w:r>
          </w:p>
        </w:tc>
      </w:tr>
      <w:tr>
        <w:trPr>
          <w:trHeight w:val="229"/>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Impairment of oil and gas properties</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32,455,508</w:t>
            </w:r>
          </w:p>
        </w:tc>
      </w:tr>
      <w:tr>
        <w:trPr>
          <w:trHeight w:val="230"/>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Interest expense paid in kind</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1,443,333</w:t>
            </w:r>
          </w:p>
        </w:tc>
      </w:tr>
      <w:tr>
        <w:trPr>
          <w:trHeight w:val="229"/>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Amortization of deferred loan costs</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8,466</w:t>
            </w:r>
          </w:p>
        </w:tc>
      </w:tr>
      <w:tr>
        <w:trPr>
          <w:trHeight w:val="230"/>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Accretion of asset retirement obligations</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576,665</w:t>
            </w:r>
          </w:p>
        </w:tc>
      </w:tr>
      <w:tr>
        <w:trPr>
          <w:trHeight w:val="229"/>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Bad debt expense</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1,050</w:t>
            </w:r>
          </w:p>
        </w:tc>
      </w:tr>
      <w:tr>
        <w:trPr>
          <w:trHeight w:val="229"/>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Gain on derivative instruments</w:t>
            </w:r>
          </w:p>
        </w:tc>
        <w:tc>
          <w:tcPr>
            <w:tcW w:w="9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rebuchet MS" w:cs="Trebuchet MS" w:eastAsia="Trebuchet MS" w:hAnsi="Trebuchet MS"/>
                <w:sz w:val="19"/>
                <w:szCs w:val="19"/>
                <w:color w:val="auto"/>
              </w:rPr>
              <w:t>(2,322,535)</w:t>
            </w:r>
          </w:p>
        </w:tc>
      </w:tr>
      <w:tr>
        <w:trPr>
          <w:trHeight w:val="230"/>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Derivative cash settlements</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2,859,692</w:t>
            </w:r>
          </w:p>
        </w:tc>
      </w:tr>
      <w:tr>
        <w:trPr>
          <w:trHeight w:val="229"/>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Changes in operating assets and liabilities:</w:t>
            </w:r>
          </w:p>
        </w:tc>
        <w:tc>
          <w:tcPr>
            <w:tcW w:w="9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29"/>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Accounts receivable</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6,049,168</w:t>
            </w:r>
          </w:p>
        </w:tc>
      </w:tr>
      <w:tr>
        <w:trPr>
          <w:trHeight w:val="230"/>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Prepaid expenses and other assets</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57,806</w:t>
            </w:r>
          </w:p>
        </w:tc>
      </w:tr>
      <w:tr>
        <w:trPr>
          <w:trHeight w:val="229"/>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Accounts payable and revenue payable</w:t>
            </w:r>
          </w:p>
        </w:tc>
        <w:tc>
          <w:tcPr>
            <w:tcW w:w="9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rebuchet MS" w:cs="Trebuchet MS" w:eastAsia="Trebuchet MS" w:hAnsi="Trebuchet MS"/>
                <w:sz w:val="19"/>
                <w:szCs w:val="19"/>
                <w:color w:val="auto"/>
              </w:rPr>
              <w:t>(18,113,792)</w:t>
            </w:r>
          </w:p>
        </w:tc>
      </w:tr>
      <w:tr>
        <w:trPr>
          <w:trHeight w:val="230"/>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Drilling advances</w:t>
            </w:r>
          </w:p>
        </w:tc>
        <w:tc>
          <w:tcPr>
            <w:tcW w:w="9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rebuchet MS" w:cs="Trebuchet MS" w:eastAsia="Trebuchet MS" w:hAnsi="Trebuchet MS"/>
                <w:sz w:val="19"/>
                <w:szCs w:val="19"/>
                <w:color w:val="auto"/>
              </w:rPr>
              <w:t>(2,226,283)</w:t>
            </w:r>
          </w:p>
        </w:tc>
      </w:tr>
      <w:tr>
        <w:trPr>
          <w:trHeight w:val="229"/>
        </w:trPr>
        <w:tc>
          <w:tcPr>
            <w:tcW w:w="8480" w:type="dxa"/>
            <w:vAlign w:val="bottom"/>
          </w:tcPr>
          <w:p>
            <w:pPr>
              <w:ind w:left="500"/>
              <w:spacing w:after="0"/>
              <w:rPr>
                <w:sz w:val="20"/>
                <w:szCs w:val="20"/>
                <w:color w:val="auto"/>
              </w:rPr>
            </w:pPr>
            <w:r>
              <w:rPr>
                <w:rFonts w:ascii="Trebuchet MS" w:cs="Trebuchet MS" w:eastAsia="Trebuchet MS" w:hAnsi="Trebuchet MS"/>
                <w:sz w:val="19"/>
                <w:szCs w:val="19"/>
                <w:color w:val="auto"/>
              </w:rPr>
              <w:t>Settlements of asset retirement obligations</w:t>
            </w:r>
          </w:p>
        </w:tc>
        <w:tc>
          <w:tcPr>
            <w:tcW w:w="9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rebuchet MS" w:cs="Trebuchet MS" w:eastAsia="Trebuchet MS" w:hAnsi="Trebuchet MS"/>
                <w:sz w:val="19"/>
                <w:szCs w:val="19"/>
                <w:color w:val="auto"/>
              </w:rPr>
              <w:t>(664,473)</w:t>
            </w:r>
          </w:p>
        </w:tc>
      </w:tr>
      <w:tr>
        <w:trPr>
          <w:trHeight w:val="222"/>
        </w:trPr>
        <w:tc>
          <w:tcPr>
            <w:tcW w:w="8480" w:type="dxa"/>
            <w:vAlign w:val="bottom"/>
            <w:tcBorders>
              <w:bottom w:val="single" w:sz="8" w:color="auto"/>
            </w:tcBorders>
          </w:tcPr>
          <w:p>
            <w:pPr>
              <w:ind w:left="500"/>
              <w:spacing w:after="0"/>
              <w:rPr>
                <w:sz w:val="20"/>
                <w:szCs w:val="20"/>
                <w:color w:val="auto"/>
              </w:rPr>
            </w:pPr>
            <w:r>
              <w:rPr>
                <w:rFonts w:ascii="Trebuchet MS" w:cs="Trebuchet MS" w:eastAsia="Trebuchet MS" w:hAnsi="Trebuchet MS"/>
                <w:sz w:val="19"/>
                <w:szCs w:val="19"/>
                <w:color w:val="auto"/>
              </w:rPr>
              <w:t>Accrued liabilities</w:t>
            </w:r>
          </w:p>
        </w:tc>
        <w:tc>
          <w:tcPr>
            <w:tcW w:w="9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(507,152)</w:t>
            </w:r>
          </w:p>
        </w:tc>
      </w:tr>
      <w:tr>
        <w:trPr>
          <w:trHeight w:val="372"/>
        </w:trPr>
        <w:tc>
          <w:tcPr>
            <w:tcW w:w="84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Net Cash Used in Operating Activities</w:t>
            </w: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(10,894,345)</w:t>
            </w:r>
          </w:p>
        </w:tc>
      </w:tr>
      <w:tr>
        <w:trPr>
          <w:trHeight w:val="381"/>
        </w:trPr>
        <w:tc>
          <w:tcPr>
            <w:tcW w:w="8480" w:type="dxa"/>
            <w:vAlign w:val="bottom"/>
          </w:tcPr>
          <w:p>
            <w:pPr>
              <w:spacing w:after="0"/>
              <w:rPr>
                <w:sz w:val="20"/>
                <w:szCs w:val="20"/>
                <w:color w:val="auto"/>
              </w:rPr>
            </w:pPr>
            <w:r>
              <w:rPr>
                <w:rFonts w:ascii="Trebuchet MS" w:cs="Trebuchet MS" w:eastAsia="Trebuchet MS" w:hAnsi="Trebuchet MS"/>
                <w:sz w:val="19"/>
                <w:szCs w:val="19"/>
                <w:b w:val="1"/>
                <w:bCs w:val="1"/>
                <w:color w:val="auto"/>
              </w:rPr>
              <w:t>Cash Flows from Investing Activities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7"/>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Payments for oil and natural gas properties and equipment</w:t>
            </w:r>
          </w:p>
        </w:tc>
        <w:tc>
          <w:tcPr>
            <w:tcW w:w="9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rebuchet MS" w:cs="Trebuchet MS" w:eastAsia="Trebuchet MS" w:hAnsi="Trebuchet MS"/>
                <w:sz w:val="19"/>
                <w:szCs w:val="19"/>
                <w:color w:val="auto"/>
              </w:rPr>
              <w:t>(34,021,957)</w:t>
            </w:r>
          </w:p>
        </w:tc>
      </w:tr>
      <w:tr>
        <w:trPr>
          <w:trHeight w:val="230"/>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Proceeds from sales of oil and natural gas properties</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75,000</w:t>
            </w:r>
          </w:p>
        </w:tc>
      </w:tr>
      <w:tr>
        <w:trPr>
          <w:trHeight w:val="222"/>
        </w:trPr>
        <w:tc>
          <w:tcPr>
            <w:tcW w:w="848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Payments for other property and equipment</w:t>
            </w:r>
          </w:p>
        </w:tc>
        <w:tc>
          <w:tcPr>
            <w:tcW w:w="9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(7,297)</w:t>
            </w:r>
          </w:p>
        </w:tc>
      </w:tr>
      <w:tr>
        <w:trPr>
          <w:trHeight w:val="372"/>
        </w:trPr>
        <w:tc>
          <w:tcPr>
            <w:tcW w:w="84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Net Cash Used in Investing Activities</w:t>
            </w: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(33,954,254)</w:t>
            </w:r>
          </w:p>
        </w:tc>
      </w:tr>
      <w:tr>
        <w:trPr>
          <w:trHeight w:val="381"/>
        </w:trPr>
        <w:tc>
          <w:tcPr>
            <w:tcW w:w="8480" w:type="dxa"/>
            <w:vAlign w:val="bottom"/>
          </w:tcPr>
          <w:p>
            <w:pPr>
              <w:spacing w:after="0"/>
              <w:rPr>
                <w:sz w:val="20"/>
                <w:szCs w:val="20"/>
                <w:color w:val="auto"/>
              </w:rPr>
            </w:pPr>
            <w:r>
              <w:rPr>
                <w:rFonts w:ascii="Trebuchet MS" w:cs="Trebuchet MS" w:eastAsia="Trebuchet MS" w:hAnsi="Trebuchet MS"/>
                <w:sz w:val="19"/>
                <w:szCs w:val="19"/>
                <w:b w:val="1"/>
                <w:bCs w:val="1"/>
                <w:color w:val="auto"/>
              </w:rPr>
              <w:t>Cash Flows from Financing Activities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8"/>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Proceeds from borrowings on long-term debt</w:t>
            </w:r>
          </w:p>
        </w:tc>
        <w:tc>
          <w:tcPr>
            <w:tcW w:w="920" w:type="dxa"/>
            <w:vAlign w:val="bottom"/>
          </w:tcPr>
          <w:p>
            <w:pPr>
              <w:spacing w:after="0"/>
              <w:rPr>
                <w:sz w:val="19"/>
                <w:szCs w:val="19"/>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81,801,000</w:t>
            </w:r>
          </w:p>
        </w:tc>
      </w:tr>
      <w:tr>
        <w:trPr>
          <w:trHeight w:val="229"/>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Payments on long-term debt</w:t>
            </w:r>
          </w:p>
        </w:tc>
        <w:tc>
          <w:tcPr>
            <w:tcW w:w="9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rebuchet MS" w:cs="Trebuchet MS" w:eastAsia="Trebuchet MS" w:hAnsi="Trebuchet MS"/>
                <w:sz w:val="19"/>
                <w:szCs w:val="19"/>
                <w:color w:val="auto"/>
              </w:rPr>
              <w:t>(30,500,000)</w:t>
            </w:r>
          </w:p>
        </w:tc>
      </w:tr>
      <w:tr>
        <w:trPr>
          <w:trHeight w:val="222"/>
        </w:trPr>
        <w:tc>
          <w:tcPr>
            <w:tcW w:w="848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Deferred financing costs</w:t>
            </w:r>
          </w:p>
        </w:tc>
        <w:tc>
          <w:tcPr>
            <w:tcW w:w="9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(965,920)</w:t>
            </w:r>
          </w:p>
        </w:tc>
      </w:tr>
      <w:tr>
        <w:trPr>
          <w:trHeight w:val="372"/>
        </w:trPr>
        <w:tc>
          <w:tcPr>
            <w:tcW w:w="84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Net Cash Provided by Financing Activities</w:t>
            </w: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50,335,080</w:t>
            </w:r>
          </w:p>
        </w:tc>
      </w:tr>
      <w:tr>
        <w:trPr>
          <w:trHeight w:val="381"/>
        </w:trPr>
        <w:tc>
          <w:tcPr>
            <w:tcW w:w="8480" w:type="dxa"/>
            <w:vAlign w:val="bottom"/>
          </w:tcPr>
          <w:p>
            <w:pPr>
              <w:spacing w:after="0"/>
              <w:rPr>
                <w:sz w:val="20"/>
                <w:szCs w:val="20"/>
                <w:color w:val="auto"/>
              </w:rPr>
            </w:pPr>
            <w:r>
              <w:rPr>
                <w:rFonts w:ascii="Trebuchet MS" w:cs="Trebuchet MS" w:eastAsia="Trebuchet MS" w:hAnsi="Trebuchet MS"/>
                <w:sz w:val="19"/>
                <w:szCs w:val="19"/>
                <w:b w:val="1"/>
                <w:bCs w:val="1"/>
                <w:color w:val="auto"/>
              </w:rPr>
              <w:t>Net Increase in Cash, Cash Equivalents and Restricted Cash</w:t>
            </w:r>
          </w:p>
        </w:tc>
        <w:tc>
          <w:tcPr>
            <w:tcW w:w="920" w:type="dxa"/>
            <w:vAlign w:val="bottom"/>
          </w:tcPr>
          <w:p>
            <w:pPr>
              <w:spacing w:after="0"/>
              <w:rPr>
                <w:sz w:val="24"/>
                <w:szCs w:val="24"/>
                <w:color w:val="auto"/>
              </w:rPr>
            </w:pP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5,486,481</w:t>
            </w:r>
          </w:p>
        </w:tc>
      </w:tr>
      <w:tr>
        <w:trPr>
          <w:trHeight w:val="369"/>
        </w:trPr>
        <w:tc>
          <w:tcPr>
            <w:tcW w:w="84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Cash, Cash Equivalents and Restricted Cash - Beginning of Year</w:t>
            </w:r>
          </w:p>
        </w:tc>
        <w:tc>
          <w:tcPr>
            <w:tcW w:w="9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3,925,189</w:t>
            </w:r>
          </w:p>
        </w:tc>
      </w:tr>
      <w:tr>
        <w:trPr>
          <w:trHeight w:val="378"/>
        </w:trPr>
        <w:tc>
          <w:tcPr>
            <w:tcW w:w="848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Cash, Cash Equivalents and Restricted Cash - End of Year</w:t>
            </w:r>
          </w:p>
        </w:tc>
        <w:tc>
          <w:tcPr>
            <w:tcW w:w="920" w:type="dxa"/>
            <w:vAlign w:val="bottom"/>
            <w:tcBorders>
              <w:bottom w:val="single" w:sz="8" w:color="auto"/>
            </w:tcBorders>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9,411,670</w:t>
            </w:r>
          </w:p>
        </w:tc>
      </w:tr>
      <w:tr>
        <w:trPr>
          <w:trHeight w:val="388"/>
        </w:trPr>
        <w:tc>
          <w:tcPr>
            <w:tcW w:w="8480" w:type="dxa"/>
            <w:vAlign w:val="bottom"/>
          </w:tcPr>
          <w:p>
            <w:pPr>
              <w:spacing w:after="0"/>
              <w:rPr>
                <w:sz w:val="20"/>
                <w:szCs w:val="20"/>
                <w:color w:val="auto"/>
              </w:rPr>
            </w:pPr>
            <w:r>
              <w:rPr>
                <w:rFonts w:ascii="Trebuchet MS" w:cs="Trebuchet MS" w:eastAsia="Trebuchet MS" w:hAnsi="Trebuchet MS"/>
                <w:sz w:val="19"/>
                <w:szCs w:val="19"/>
                <w:b w:val="1"/>
                <w:bCs w:val="1"/>
                <w:color w:val="auto"/>
              </w:rPr>
              <w:t>Supplemental Cash Flow Information</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26"/>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Cash paid for interest</w:t>
            </w:r>
          </w:p>
        </w:tc>
        <w:tc>
          <w:tcPr>
            <w:tcW w:w="920" w:type="dxa"/>
            <w:vAlign w:val="bottom"/>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2,301,546</w:t>
            </w:r>
          </w:p>
        </w:tc>
      </w:tr>
      <w:tr>
        <w:trPr>
          <w:trHeight w:val="233"/>
        </w:trPr>
        <w:tc>
          <w:tcPr>
            <w:tcW w:w="8480" w:type="dxa"/>
            <w:vAlign w:val="bottom"/>
          </w:tcPr>
          <w:p>
            <w:pPr>
              <w:spacing w:after="0"/>
              <w:rPr>
                <w:sz w:val="20"/>
                <w:szCs w:val="20"/>
                <w:color w:val="auto"/>
              </w:rPr>
            </w:pPr>
            <w:r>
              <w:rPr>
                <w:rFonts w:ascii="Trebuchet MS" w:cs="Trebuchet MS" w:eastAsia="Trebuchet MS" w:hAnsi="Trebuchet MS"/>
                <w:sz w:val="19"/>
                <w:szCs w:val="19"/>
                <w:b w:val="1"/>
                <w:bCs w:val="1"/>
                <w:color w:val="auto"/>
              </w:rPr>
              <w:t>Non-Cash Investing and Financing Activities</w:t>
            </w:r>
          </w:p>
        </w:tc>
        <w:tc>
          <w:tcPr>
            <w:tcW w:w="9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8"/>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Oil and natural gas properties accrued</w:t>
            </w:r>
          </w:p>
        </w:tc>
        <w:tc>
          <w:tcPr>
            <w:tcW w:w="920" w:type="dxa"/>
            <w:vAlign w:val="bottom"/>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1,935,869</w:t>
            </w:r>
          </w:p>
        </w:tc>
      </w:tr>
      <w:tr>
        <w:trPr>
          <w:trHeight w:val="230"/>
        </w:trPr>
        <w:tc>
          <w:tcPr>
            <w:tcW w:w="8480" w:type="dxa"/>
            <w:vAlign w:val="bottom"/>
          </w:tcPr>
          <w:p>
            <w:pPr>
              <w:ind w:left="260"/>
              <w:spacing w:after="0"/>
              <w:rPr>
                <w:sz w:val="20"/>
                <w:szCs w:val="20"/>
                <w:color w:val="auto"/>
              </w:rPr>
            </w:pPr>
            <w:r>
              <w:rPr>
                <w:rFonts w:ascii="Trebuchet MS" w:cs="Trebuchet MS" w:eastAsia="Trebuchet MS" w:hAnsi="Trebuchet MS"/>
                <w:sz w:val="19"/>
                <w:szCs w:val="19"/>
                <w:color w:val="auto"/>
              </w:rPr>
              <w:t>Asset retirement obligations</w:t>
            </w:r>
          </w:p>
        </w:tc>
        <w:tc>
          <w:tcPr>
            <w:tcW w:w="920" w:type="dxa"/>
            <w:vAlign w:val="bottom"/>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334,919</w:t>
            </w:r>
          </w:p>
        </w:tc>
      </w:tr>
      <w:tr>
        <w:trPr>
          <w:trHeight w:val="229"/>
        </w:trPr>
        <w:tc>
          <w:tcPr>
            <w:tcW w:w="848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9"/>
                <w:szCs w:val="19"/>
                <w:color w:val="auto"/>
              </w:rPr>
              <w:t>Conversion of debt to equity</w:t>
            </w:r>
          </w:p>
        </w:tc>
        <w:tc>
          <w:tcPr>
            <w:tcW w:w="920" w:type="dxa"/>
            <w:vAlign w:val="bottom"/>
            <w:tcBorders>
              <w:bottom w:val="single" w:sz="8" w:color="auto"/>
            </w:tcBorders>
          </w:tcPr>
          <w:p>
            <w:pPr>
              <w:jc w:val="right"/>
              <w:ind w:right="306"/>
              <w:spacing w:after="0"/>
              <w:rPr>
                <w:sz w:val="20"/>
                <w:szCs w:val="20"/>
                <w:color w:val="auto"/>
              </w:rPr>
            </w:pPr>
            <w:r>
              <w:rPr>
                <w:rFonts w:ascii="Trebuchet MS" w:cs="Trebuchet MS" w:eastAsia="Trebuchet MS" w:hAnsi="Trebuchet MS"/>
                <w:sz w:val="19"/>
                <w:szCs w:val="19"/>
                <w:color w:val="auto"/>
              </w:rPr>
              <w:t>$</w:t>
            </w:r>
          </w:p>
        </w:tc>
        <w:tc>
          <w:tcPr>
            <w:tcW w:w="184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86,443,333</w:t>
            </w:r>
          </w:p>
        </w:tc>
      </w:tr>
    </w:tbl>
    <w:p>
      <w:pPr>
        <w:spacing w:after="0" w:line="241" w:lineRule="exact"/>
        <w:rPr>
          <w:sz w:val="20"/>
          <w:szCs w:val="20"/>
          <w:color w:val="auto"/>
        </w:rPr>
      </w:pPr>
    </w:p>
    <w:p>
      <w:pPr>
        <w:jc w:val="center"/>
        <w:ind w:right="100"/>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8" w:name="page119"/>
    <w:bookmarkEnd w:id="118"/>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47" w:lineRule="exact"/>
        <w:rPr>
          <w:sz w:val="20"/>
          <w:szCs w:val="20"/>
          <w:color w:val="auto"/>
        </w:rPr>
      </w:pPr>
    </w:p>
    <w:p>
      <w:pPr>
        <w:ind w:left="440" w:hanging="432"/>
        <w:spacing w:after="0"/>
        <w:tabs>
          <w:tab w:leader="none" w:pos="440" w:val="left"/>
        </w:tabs>
        <w:numPr>
          <w:ilvl w:val="0"/>
          <w:numId w:val="129"/>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Nature of Operations and Organization</w:t>
      </w:r>
    </w:p>
    <w:p>
      <w:pPr>
        <w:spacing w:after="0" w:line="115"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RAM Energy Holdings LLC (“Holdings”) is a Delaware limited liability company, wholly-owned by PennantPark Investment Corporation (“PennantPark”), and was formed in July 2014 as a holding company for interest ownership in RAM Energy LLC (“RAM”). RAM Fayette LLC (“Fayette”) was formed in September 2017 and Fayette Service Company LLC (“Service”) was formed in June 2018, both as wholly-owned subsidiaries of RAM. On October 1, 2019, RAM contributed its ownership in Service to Holdings and Service became wholly-owned by Holdings. Holdings, RAM, Fayette and Service are herein referred to as the “Company.”</w:t>
      </w:r>
    </w:p>
    <w:p>
      <w:pPr>
        <w:spacing w:after="0" w:line="207" w:lineRule="exact"/>
        <w:rPr>
          <w:sz w:val="20"/>
          <w:szCs w:val="20"/>
          <w:color w:val="auto"/>
        </w:rPr>
      </w:pPr>
    </w:p>
    <w:p>
      <w:pPr>
        <w:jc w:val="both"/>
        <w:ind w:right="20"/>
        <w:spacing w:after="0"/>
        <w:rPr>
          <w:sz w:val="20"/>
          <w:szCs w:val="20"/>
          <w:color w:val="auto"/>
        </w:rPr>
      </w:pPr>
      <w:r>
        <w:rPr>
          <w:rFonts w:ascii="Trebuchet MS" w:cs="Trebuchet MS" w:eastAsia="Trebuchet MS" w:hAnsi="Trebuchet MS"/>
          <w:sz w:val="19"/>
          <w:szCs w:val="19"/>
          <w:color w:val="auto"/>
        </w:rPr>
        <w:t>RAM was formed in April 2012 as a privately held, independent oil and natural gas company engaged in the acquisition, exploration, exploitation, development and production of oil and natural gas.</w:t>
      </w:r>
    </w:p>
    <w:p>
      <w:pPr>
        <w:spacing w:after="0" w:line="2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In September 2017, Holdings issued PennantPark 61,606 common units in satisfaction of the $88 million of outstanding debt that RAM owed to PennantPark. Holdings then entered into a new $35 million term loan. In June 2018, the credit agreement was amended to add a $15 million revolving loan. The credit agreement was amended in January 2019 and May 2019 to increase the revolving loan to $40 million, and further amended in October 2019 to increase the revolving loan to $50 million. In January 2020, the debt was restructured and converted to equity, and Holdings issued PennantPark 96,058 common units in satisfaction of the $86 million in debt that Holdings owed to PennantPark. See Notes 7 and 8.</w:t>
      </w:r>
    </w:p>
    <w:p>
      <w:pPr>
        <w:spacing w:after="0" w:line="210"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In July 2018, the Company began a drilling program in the Austin Chalk formation. Fayette was formed to be an owner in the new wells drilled, and Service was formed to invest in gathering and facilities infrastructure.</w:t>
      </w:r>
    </w:p>
    <w:p>
      <w:pPr>
        <w:spacing w:after="0" w:line="2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201" w:lineRule="exact"/>
        <w:rPr>
          <w:sz w:val="20"/>
          <w:szCs w:val="20"/>
          <w:color w:val="auto"/>
        </w:rPr>
      </w:pPr>
    </w:p>
    <w:p>
      <w:pPr>
        <w:ind w:left="440" w:hanging="432"/>
        <w:spacing w:after="0"/>
        <w:tabs>
          <w:tab w:leader="none" w:pos="440" w:val="left"/>
        </w:tabs>
        <w:numPr>
          <w:ilvl w:val="0"/>
          <w:numId w:val="130"/>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Liquidity and Recent Events</w:t>
      </w:r>
    </w:p>
    <w:p>
      <w:pPr>
        <w:spacing w:after="0" w:line="115"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 novel strain of coronavirus (“COVID-19”) was first identified in December 2019, and subsequently declared a global pandemic by the World Health Organization in March 2020. As a result of the outbreak, many companies have experienced disruptions in their operations and in markets served.</w:t>
      </w:r>
    </w:p>
    <w:p>
      <w:pPr>
        <w:spacing w:after="0" w:line="208"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adverse economic effects of the COVID-19 outbreak have materially decreased demand for crude oil based on the restrictions in place by governments trying to curb the outbreak and changes in consumer behavior. This has led to a significant global oversupply of oil and consequently a substantial decrease in crude oil prices. In response to the reduction in crude oil prices, the Company has instituted cost reduction measures that include negotiated cost reductions with vendors and elimination or deferral of certain discretionary capital spending. Further, as discussed in Note 1, the Company’s sole Member converted all of its outstanding debt to equity during the year, and as further discussed in Note 7, the Company also refinanced its debt with Macquarie with a loan from the Main Street Lending Program, which is part of the U.S. Federally enacted “CAREs Act”. As a result of these two transactions, the Company has no debt principal payments due until 2023 and no cash interest payments due until October 2021.</w:t>
      </w:r>
    </w:p>
    <w:p>
      <w:pPr>
        <w:spacing w:after="0" w:line="208"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While management believes it has sufficient liquidity to fund its cash requirements through November 2021 based on current oil and gas pricing models and derivative instruments the Company has in place, the full impact of the COVID-19 pandemic continues to evolve, and as such,</w:t>
      </w:r>
    </w:p>
    <w:p>
      <w:pPr>
        <w:spacing w:after="0" w:line="202"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19" w:name="page120"/>
    <w:bookmarkEnd w:id="119"/>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70"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full magnitude that the pandemic will have on the Company’s financial condition, liquidity, and future results of operations is uncertain. Management is actively monitoring the impact of the COVID-19 pandemic and oil and gas pricing volatility on the Company's financial position, liquidity, operations, suppliers, industry and workforce.</w:t>
      </w:r>
    </w:p>
    <w:p>
      <w:pPr>
        <w:spacing w:after="0" w:line="201" w:lineRule="exact"/>
        <w:rPr>
          <w:sz w:val="20"/>
          <w:szCs w:val="20"/>
          <w:color w:val="auto"/>
        </w:rPr>
      </w:pPr>
    </w:p>
    <w:p>
      <w:pPr>
        <w:ind w:left="440" w:hanging="432"/>
        <w:spacing w:after="0"/>
        <w:tabs>
          <w:tab w:leader="none" w:pos="440" w:val="left"/>
        </w:tabs>
        <w:numPr>
          <w:ilvl w:val="0"/>
          <w:numId w:val="131"/>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Summary of Significant Accounting Policies</w:t>
      </w:r>
    </w:p>
    <w:p>
      <w:pPr>
        <w:spacing w:after="0" w:line="111"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Basis of Presentation</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accompanying consolidated financial statements include the accounts of Holdings, its wholly-owned subsidiaries, RAM and Service, and RAM’s wholly-owned subsidiary, Fayette. All significant intercompany accounts and transactions have been eliminated in consolidation.</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Property and Equipment</w:t>
      </w:r>
    </w:p>
    <w:p>
      <w:pPr>
        <w:spacing w:after="0" w:line="1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209"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209"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During the first half of calendar 2020, crude oil prices declined significantly due to the Saudi-Russia conflict and decreased demand as a result of the COVID-19 pandemic. As a result, the Company recognized an impairment of $32.5 million during the year ended September 30, 2020.</w:t>
      </w:r>
    </w:p>
    <w:p>
      <w:pPr>
        <w:spacing w:after="0" w:line="210" w:lineRule="exact"/>
        <w:rPr>
          <w:sz w:val="20"/>
          <w:szCs w:val="20"/>
          <w:color w:val="auto"/>
        </w:rPr>
      </w:pPr>
    </w:p>
    <w:p>
      <w:pPr>
        <w:jc w:val="both"/>
        <w:spacing w:after="0" w:line="235" w:lineRule="auto"/>
        <w:rPr>
          <w:sz w:val="20"/>
          <w:szCs w:val="20"/>
          <w:color w:val="auto"/>
        </w:rPr>
      </w:pPr>
      <w:r>
        <w:rPr>
          <w:rFonts w:ascii="Trebuchet MS" w:cs="Trebuchet MS" w:eastAsia="Trebuchet MS" w:hAnsi="Trebuchet MS"/>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w:t>
      </w:r>
    </w:p>
    <w:p>
      <w:pPr>
        <w:spacing w:after="0" w:line="210"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0" w:name="page121"/>
    <w:bookmarkEnd w:id="120"/>
    <w:p>
      <w:pPr>
        <w:jc w:val="center"/>
        <w:ind w:right="2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7">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70" w:lineRule="exact"/>
        <w:rPr>
          <w:sz w:val="20"/>
          <w:szCs w:val="20"/>
          <w:color w:val="auto"/>
        </w:rPr>
      </w:pPr>
    </w:p>
    <w:p>
      <w:pPr>
        <w:ind w:right="920"/>
        <w:spacing w:after="0" w:line="411" w:lineRule="auto"/>
        <w:rPr>
          <w:sz w:val="20"/>
          <w:szCs w:val="20"/>
          <w:color w:val="auto"/>
        </w:rPr>
      </w:pPr>
      <w:r>
        <w:rPr>
          <w:rFonts w:ascii="Trebuchet MS" w:cs="Trebuchet MS" w:eastAsia="Trebuchet MS" w:hAnsi="Trebuchet MS"/>
          <w:sz w:val="19"/>
          <w:szCs w:val="19"/>
          <w:color w:val="auto"/>
        </w:rPr>
        <w:t xml:space="preserve">The Company did not have any impairment of its unproved oil and gas properties for the year ended September 30, 2020. </w:t>
      </w:r>
      <w:r>
        <w:rPr>
          <w:rFonts w:ascii="Trebuchet MS" w:cs="Trebuchet MS" w:eastAsia="Trebuchet MS" w:hAnsi="Trebuchet MS"/>
          <w:sz w:val="19"/>
          <w:szCs w:val="19"/>
          <w:b w:val="1"/>
          <w:bCs w:val="1"/>
          <w:i w:val="1"/>
          <w:iCs w:val="1"/>
          <w:color w:val="auto"/>
        </w:rPr>
        <w:t>Depreciation, Depletion and Amortization</w:t>
      </w:r>
    </w:p>
    <w:p>
      <w:pPr>
        <w:jc w:val="both"/>
        <w:ind w:right="20"/>
        <w:spacing w:after="0" w:line="237" w:lineRule="auto"/>
        <w:rPr>
          <w:sz w:val="20"/>
          <w:szCs w:val="20"/>
          <w:color w:val="auto"/>
        </w:rPr>
      </w:pPr>
      <w:r>
        <w:rPr>
          <w:rFonts w:ascii="Trebuchet MS" w:cs="Trebuchet MS" w:eastAsia="Trebuchet MS" w:hAnsi="Trebuchet MS"/>
          <w:sz w:val="19"/>
          <w:szCs w:val="19"/>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207" w:lineRule="exact"/>
        <w:rPr>
          <w:sz w:val="20"/>
          <w:szCs w:val="20"/>
          <w:color w:val="auto"/>
        </w:rPr>
      </w:pPr>
    </w:p>
    <w:p>
      <w:pPr>
        <w:jc w:val="both"/>
        <w:ind w:right="20"/>
        <w:spacing w:after="0" w:line="237" w:lineRule="auto"/>
        <w:rPr>
          <w:sz w:val="20"/>
          <w:szCs w:val="20"/>
          <w:color w:val="auto"/>
        </w:rPr>
      </w:pPr>
      <w:r>
        <w:rPr>
          <w:rFonts w:ascii="Trebuchet MS" w:cs="Trebuchet MS" w:eastAsia="Trebuchet MS" w:hAnsi="Trebuchet MS"/>
          <w:sz w:val="19"/>
          <w:szCs w:val="19"/>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 ended September 30, 2020 was approximately $463 thousand.</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Cash and Cash Equivalents</w:t>
      </w:r>
    </w:p>
    <w:p>
      <w:pPr>
        <w:spacing w:after="0" w:line="107" w:lineRule="exact"/>
        <w:rPr>
          <w:sz w:val="20"/>
          <w:szCs w:val="20"/>
          <w:color w:val="auto"/>
        </w:rPr>
      </w:pPr>
    </w:p>
    <w:p>
      <w:pPr>
        <w:jc w:val="both"/>
        <w:ind w:right="20"/>
        <w:spacing w:after="0"/>
        <w:rPr>
          <w:sz w:val="20"/>
          <w:szCs w:val="20"/>
          <w:color w:val="auto"/>
        </w:rPr>
      </w:pPr>
      <w:r>
        <w:rPr>
          <w:rFonts w:ascii="Trebuchet MS" w:cs="Trebuchet MS" w:eastAsia="Trebuchet MS" w:hAnsi="Trebuchet MS"/>
          <w:sz w:val="19"/>
          <w:szCs w:val="19"/>
          <w:color w:val="auto"/>
        </w:rPr>
        <w:t>All highly liquid unrestricted investments with a maturity of three months or less when purchased are considered to be cash equivalents.</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Restricted Cash</w:t>
      </w:r>
    </w:p>
    <w:p>
      <w:pPr>
        <w:spacing w:after="0" w:line="107" w:lineRule="exact"/>
        <w:rPr>
          <w:sz w:val="20"/>
          <w:szCs w:val="20"/>
          <w:color w:val="auto"/>
        </w:rPr>
      </w:pPr>
    </w:p>
    <w:p>
      <w:pPr>
        <w:jc w:val="both"/>
        <w:ind w:right="20"/>
        <w:spacing w:after="0" w:line="238" w:lineRule="auto"/>
        <w:rPr>
          <w:sz w:val="20"/>
          <w:szCs w:val="20"/>
          <w:color w:val="auto"/>
        </w:rPr>
      </w:pPr>
      <w:r>
        <w:rPr>
          <w:rFonts w:ascii="Trebuchet MS" w:cs="Trebuchet MS" w:eastAsia="Trebuchet MS" w:hAnsi="Trebuchet MS"/>
          <w:sz w:val="19"/>
          <w:szCs w:val="19"/>
          <w:color w:val="auto"/>
        </w:rPr>
        <w:t>At September 30, 2020, the Company had approximately $742 thousand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w:t>
      </w:r>
    </w:p>
    <w:p>
      <w:pPr>
        <w:spacing w:after="0" w:line="208" w:lineRule="exact"/>
        <w:rPr>
          <w:sz w:val="20"/>
          <w:szCs w:val="20"/>
          <w:color w:val="auto"/>
        </w:rPr>
      </w:pPr>
    </w:p>
    <w:p>
      <w:pPr>
        <w:jc w:val="both"/>
        <w:ind w:right="20"/>
        <w:spacing w:after="0"/>
        <w:rPr>
          <w:sz w:val="20"/>
          <w:szCs w:val="20"/>
          <w:color w:val="auto"/>
        </w:rPr>
      </w:pPr>
      <w:r>
        <w:rPr>
          <w:rFonts w:ascii="Trebuchet MS" w:cs="Trebuchet MS" w:eastAsia="Trebuchet MS" w:hAnsi="Trebuchet MS"/>
          <w:sz w:val="19"/>
          <w:szCs w:val="19"/>
          <w:color w:val="auto"/>
        </w:rPr>
        <w:t>The following table provides a reconciliation of cash, cash equivalents, and restricted cash reported within the statement of financial position that sum to the total of the same such amounts shown in the statement of cash flows: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34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46"/>
              <w:spacing w:after="0"/>
              <w:rPr>
                <w:sz w:val="20"/>
                <w:szCs w:val="20"/>
                <w:color w:val="auto"/>
              </w:rPr>
            </w:pPr>
            <w:r>
              <w:rPr>
                <w:rFonts w:ascii="Trebuchet MS" w:cs="Trebuchet MS" w:eastAsia="Trebuchet MS" w:hAnsi="Trebuchet MS"/>
                <w:sz w:val="19"/>
                <w:szCs w:val="19"/>
                <w:b w:val="1"/>
                <w:bCs w:val="1"/>
                <w:color w:val="auto"/>
              </w:rPr>
              <w:t>2020</w:t>
            </w:r>
          </w:p>
        </w:tc>
        <w:tc>
          <w:tcPr>
            <w:tcW w:w="1160" w:type="dxa"/>
            <w:vAlign w:val="bottom"/>
          </w:tcPr>
          <w:p>
            <w:pPr>
              <w:spacing w:after="0"/>
              <w:rPr>
                <w:sz w:val="20"/>
                <w:szCs w:val="20"/>
                <w:color w:val="auto"/>
              </w:rPr>
            </w:pPr>
          </w:p>
        </w:tc>
      </w:tr>
      <w:tr>
        <w:trPr>
          <w:trHeight w:val="385"/>
        </w:trPr>
        <w:tc>
          <w:tcPr>
            <w:tcW w:w="44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Trebuchet MS" w:cs="Trebuchet MS" w:eastAsia="Trebuchet MS" w:hAnsi="Trebuchet MS"/>
                <w:sz w:val="19"/>
                <w:szCs w:val="19"/>
                <w:color w:val="auto"/>
              </w:rPr>
              <w:t>Cash and cash equivalents</w:t>
            </w:r>
          </w:p>
        </w:tc>
        <w:tc>
          <w:tcPr>
            <w:tcW w:w="3400" w:type="dxa"/>
            <w:vAlign w:val="bottom"/>
          </w:tcPr>
          <w:p>
            <w:pPr>
              <w:jc w:val="right"/>
              <w:ind w:right="246"/>
              <w:spacing w:after="0"/>
              <w:rPr>
                <w:sz w:val="20"/>
                <w:szCs w:val="20"/>
                <w:color w:val="auto"/>
              </w:rPr>
            </w:pPr>
            <w:r>
              <w:rPr>
                <w:rFonts w:ascii="Trebuchet MS" w:cs="Trebuchet MS" w:eastAsia="Trebuchet MS" w:hAnsi="Trebuchet MS"/>
                <w:sz w:val="19"/>
                <w:szCs w:val="19"/>
                <w:color w:val="auto"/>
              </w:rPr>
              <w:t>$</w:t>
            </w:r>
          </w:p>
        </w:tc>
        <w:tc>
          <w:tcPr>
            <w:tcW w:w="1600" w:type="dxa"/>
            <w:vAlign w:val="bottom"/>
          </w:tcPr>
          <w:p>
            <w:pPr>
              <w:jc w:val="right"/>
              <w:spacing w:after="0"/>
              <w:rPr>
                <w:sz w:val="20"/>
                <w:szCs w:val="20"/>
                <w:color w:val="auto"/>
              </w:rPr>
            </w:pPr>
            <w:r>
              <w:rPr>
                <w:rFonts w:ascii="Trebuchet MS" w:cs="Trebuchet MS" w:eastAsia="Trebuchet MS" w:hAnsi="Trebuchet MS"/>
                <w:sz w:val="19"/>
                <w:szCs w:val="19"/>
                <w:color w:val="auto"/>
              </w:rPr>
              <w:t>8,670,146</w:t>
            </w:r>
          </w:p>
        </w:tc>
        <w:tc>
          <w:tcPr>
            <w:tcW w:w="116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46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Restricted cash included in other long-term assets</w:t>
            </w:r>
          </w:p>
        </w:tc>
        <w:tc>
          <w:tcPr>
            <w:tcW w:w="34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741,524</w:t>
            </w:r>
          </w:p>
        </w:tc>
        <w:tc>
          <w:tcPr>
            <w:tcW w:w="1160" w:type="dxa"/>
            <w:vAlign w:val="bottom"/>
          </w:tcPr>
          <w:p>
            <w:pPr>
              <w:spacing w:after="0"/>
              <w:rPr>
                <w:sz w:val="19"/>
                <w:szCs w:val="19"/>
                <w:color w:val="auto"/>
              </w:rPr>
            </w:pPr>
          </w:p>
        </w:tc>
      </w:tr>
      <w:tr>
        <w:trPr>
          <w:trHeight w:val="370"/>
        </w:trPr>
        <w:tc>
          <w:tcPr>
            <w:tcW w:w="44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Trebuchet MS" w:cs="Trebuchet MS" w:eastAsia="Trebuchet MS" w:hAnsi="Trebuchet MS"/>
                <w:sz w:val="19"/>
                <w:szCs w:val="19"/>
                <w:color w:val="auto"/>
              </w:rPr>
              <w:t>Total cash, cash equivalents, and restricted cash</w:t>
            </w:r>
          </w:p>
        </w:tc>
        <w:tc>
          <w:tcPr>
            <w:tcW w:w="3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5"/>
        </w:trPr>
        <w:tc>
          <w:tcPr>
            <w:tcW w:w="440" w:type="dxa"/>
            <w:vAlign w:val="bottom"/>
          </w:tcPr>
          <w:p>
            <w:pPr>
              <w:spacing w:after="0"/>
              <w:rPr>
                <w:sz w:val="19"/>
                <w:szCs w:val="19"/>
                <w:color w:val="auto"/>
              </w:rPr>
            </w:pPr>
          </w:p>
        </w:tc>
        <w:tc>
          <w:tcPr>
            <w:tcW w:w="4660" w:type="dxa"/>
            <w:vAlign w:val="bottom"/>
            <w:tcBorders>
              <w:bottom w:val="single" w:sz="8" w:color="auto"/>
            </w:tcBorders>
          </w:tcPr>
          <w:p>
            <w:pPr>
              <w:ind w:left="180"/>
              <w:spacing w:after="0" w:line="218" w:lineRule="exact"/>
              <w:rPr>
                <w:sz w:val="20"/>
                <w:szCs w:val="20"/>
                <w:color w:val="auto"/>
              </w:rPr>
            </w:pPr>
            <w:r>
              <w:rPr>
                <w:rFonts w:ascii="Trebuchet MS" w:cs="Trebuchet MS" w:eastAsia="Trebuchet MS" w:hAnsi="Trebuchet MS"/>
                <w:sz w:val="19"/>
                <w:szCs w:val="19"/>
                <w:color w:val="auto"/>
              </w:rPr>
              <w:t>shown in the statement of cash flows</w:t>
            </w:r>
          </w:p>
        </w:tc>
        <w:tc>
          <w:tcPr>
            <w:tcW w:w="3400" w:type="dxa"/>
            <w:vAlign w:val="bottom"/>
            <w:tcBorders>
              <w:bottom w:val="single" w:sz="8" w:color="auto"/>
            </w:tcBorders>
          </w:tcPr>
          <w:p>
            <w:pPr>
              <w:jc w:val="right"/>
              <w:ind w:right="246"/>
              <w:spacing w:after="0" w:line="218" w:lineRule="exact"/>
              <w:rPr>
                <w:sz w:val="20"/>
                <w:szCs w:val="20"/>
                <w:color w:val="auto"/>
              </w:rPr>
            </w:pPr>
            <w:r>
              <w:rPr>
                <w:rFonts w:ascii="Trebuchet MS" w:cs="Trebuchet MS" w:eastAsia="Trebuchet MS" w:hAnsi="Trebuchet MS"/>
                <w:sz w:val="19"/>
                <w:szCs w:val="19"/>
                <w:color w:val="auto"/>
              </w:rPr>
              <w:t>$</w:t>
            </w:r>
          </w:p>
        </w:tc>
        <w:tc>
          <w:tcPr>
            <w:tcW w:w="1600" w:type="dxa"/>
            <w:vAlign w:val="bottom"/>
            <w:tcBorders>
              <w:bottom w:val="single" w:sz="8" w:color="auto"/>
            </w:tcBorders>
          </w:tcPr>
          <w:p>
            <w:pPr>
              <w:jc w:val="right"/>
              <w:spacing w:after="0" w:line="218" w:lineRule="exact"/>
              <w:rPr>
                <w:sz w:val="20"/>
                <w:szCs w:val="20"/>
                <w:color w:val="auto"/>
              </w:rPr>
            </w:pPr>
            <w:r>
              <w:rPr>
                <w:rFonts w:ascii="Trebuchet MS" w:cs="Trebuchet MS" w:eastAsia="Trebuchet MS" w:hAnsi="Trebuchet MS"/>
                <w:sz w:val="19"/>
                <w:szCs w:val="19"/>
                <w:color w:val="auto"/>
              </w:rPr>
              <w:t>9,411,670</w:t>
            </w:r>
          </w:p>
        </w:tc>
        <w:tc>
          <w:tcPr>
            <w:tcW w:w="1160" w:type="dxa"/>
            <w:vAlign w:val="bottom"/>
          </w:tcPr>
          <w:p>
            <w:pPr>
              <w:spacing w:after="0"/>
              <w:rPr>
                <w:sz w:val="19"/>
                <w:szCs w:val="19"/>
                <w:color w:val="auto"/>
              </w:rPr>
            </w:pPr>
          </w:p>
        </w:tc>
      </w:tr>
      <w:tr>
        <w:trPr>
          <w:trHeight w:val="887"/>
        </w:trPr>
        <w:tc>
          <w:tcPr>
            <w:tcW w:w="4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400" w:type="dxa"/>
            <w:vAlign w:val="bottom"/>
          </w:tcPr>
          <w:p>
            <w:pPr>
              <w:jc w:val="right"/>
              <w:ind w:right="2666"/>
              <w:spacing w:after="0"/>
              <w:rPr>
                <w:sz w:val="20"/>
                <w:szCs w:val="20"/>
                <w:color w:val="auto"/>
              </w:rPr>
            </w:pPr>
            <w:r>
              <w:rPr>
                <w:rFonts w:ascii="Trebuchet MS" w:cs="Trebuchet MS" w:eastAsia="Trebuchet MS" w:hAnsi="Trebuchet MS"/>
                <w:sz w:val="19"/>
                <w:szCs w:val="19"/>
                <w:b w:val="1"/>
                <w:bCs w:val="1"/>
                <w:color w:val="auto"/>
              </w:rPr>
              <w:t>11</w:t>
            </w: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9"/>
        </w:trPr>
        <w:tc>
          <w:tcPr>
            <w:tcW w:w="44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6" w:right="319" w:bottom="1440" w:gutter="0" w:footer="0" w:header="0"/>
        </w:sectPr>
      </w:pPr>
    </w:p>
    <w:bookmarkStart w:id="121" w:name="page122"/>
    <w:bookmarkEnd w:id="121"/>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Concentrations of Credit Risk</w:t>
      </w:r>
    </w:p>
    <w:p>
      <w:pPr>
        <w:spacing w:after="0" w:line="1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2020, over 87%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2020, the allowance for doubtful accounts was $8 thousand.</w:t>
      </w:r>
    </w:p>
    <w:p>
      <w:pPr>
        <w:spacing w:after="0" w:line="210"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2020,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General and Administrative Expenses</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receives fees for the operation of jointly owned oil and natural gas properties and records such reimbursements as reductions of general and administrative expenses. Such fees totaled approximately $0.5 million for the year ended September 30, 2020.</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Use of Estimates</w:t>
      </w:r>
    </w:p>
    <w:p>
      <w:pPr>
        <w:spacing w:after="0" w:line="1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205"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Oil and Natural Gas Reserves Estimates</w:t>
      </w:r>
    </w:p>
    <w:p>
      <w:pPr>
        <w:spacing w:after="0" w:line="1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September 30, 2020,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205"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Asset Retirement Obligations</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The Company determines its asset retirement obligations on its oil and natural gas properties by</w:t>
      </w:r>
    </w:p>
    <w:p>
      <w:pPr>
        <w:spacing w:after="0" w:line="202"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2" w:name="page123"/>
    <w:bookmarkEnd w:id="122"/>
    <w:p>
      <w:pPr>
        <w:jc w:val="center"/>
        <w:ind w:right="-19"/>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62"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calculating the present value of the estimated cash flows related to the estimated liability. Periodic accretion of the discount of the estimated liability associated with the Company’s oil and natural gas properties is recorded in the consolidated statement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800" w:type="dxa"/>
            <w:vAlign w:val="bottom"/>
            <w:gridSpan w:val="2"/>
          </w:tcPr>
          <w:p>
            <w:pPr>
              <w:spacing w:after="0"/>
              <w:rPr>
                <w:sz w:val="20"/>
                <w:szCs w:val="20"/>
                <w:color w:val="auto"/>
              </w:rPr>
            </w:pPr>
            <w:r>
              <w:rPr>
                <w:rFonts w:ascii="Trebuchet MS" w:cs="Trebuchet MS" w:eastAsia="Trebuchet MS" w:hAnsi="Trebuchet MS"/>
                <w:sz w:val="19"/>
                <w:szCs w:val="19"/>
                <w:color w:val="auto"/>
              </w:rPr>
              <w:t>The Company recorded the following activity related to the asset retirement obligations:</w:t>
            </w:r>
          </w:p>
        </w:tc>
        <w:tc>
          <w:tcPr>
            <w:tcW w:w="6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45"/>
        </w:trPr>
        <w:tc>
          <w:tcPr>
            <w:tcW w:w="440" w:type="dxa"/>
            <w:vAlign w:val="bottom"/>
          </w:tcPr>
          <w:p>
            <w:pPr>
              <w:spacing w:after="0"/>
              <w:rPr>
                <w:sz w:val="24"/>
                <w:szCs w:val="24"/>
                <w:color w:val="auto"/>
              </w:rPr>
            </w:pPr>
          </w:p>
        </w:tc>
        <w:tc>
          <w:tcPr>
            <w:tcW w:w="73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tc>
        <w:tc>
          <w:tcPr>
            <w:tcW w:w="6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786"/>
              <w:spacing w:after="0"/>
              <w:rPr>
                <w:sz w:val="20"/>
                <w:szCs w:val="20"/>
                <w:color w:val="auto"/>
              </w:rPr>
            </w:pPr>
            <w:r>
              <w:rPr>
                <w:rFonts w:ascii="Trebuchet MS" w:cs="Trebuchet MS" w:eastAsia="Trebuchet MS" w:hAnsi="Trebuchet MS"/>
                <w:sz w:val="19"/>
                <w:szCs w:val="19"/>
                <w:b w:val="1"/>
                <w:bCs w:val="1"/>
                <w:color w:val="auto"/>
              </w:rPr>
              <w:t>2020</w:t>
            </w:r>
          </w:p>
        </w:tc>
      </w:tr>
      <w:tr>
        <w:trPr>
          <w:trHeight w:val="384"/>
        </w:trPr>
        <w:tc>
          <w:tcPr>
            <w:tcW w:w="44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rebuchet MS" w:cs="Trebuchet MS" w:eastAsia="Trebuchet MS" w:hAnsi="Trebuchet MS"/>
                <w:sz w:val="19"/>
                <w:szCs w:val="19"/>
                <w:b w:val="1"/>
                <w:bCs w:val="1"/>
                <w:color w:val="auto"/>
              </w:rPr>
              <w:t>Liability for Asset Retirement Obligations,</w:t>
            </w: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3"/>
        </w:trPr>
        <w:tc>
          <w:tcPr>
            <w:tcW w:w="440" w:type="dxa"/>
            <w:vAlign w:val="bottom"/>
          </w:tcPr>
          <w:p>
            <w:pPr>
              <w:spacing w:after="0"/>
              <w:rPr>
                <w:sz w:val="20"/>
                <w:szCs w:val="20"/>
                <w:color w:val="auto"/>
              </w:rPr>
            </w:pPr>
          </w:p>
        </w:tc>
        <w:tc>
          <w:tcPr>
            <w:tcW w:w="7360" w:type="dxa"/>
            <w:vAlign w:val="bottom"/>
          </w:tcPr>
          <w:p>
            <w:pPr>
              <w:ind w:left="240"/>
              <w:spacing w:after="0"/>
              <w:rPr>
                <w:sz w:val="20"/>
                <w:szCs w:val="20"/>
                <w:color w:val="auto"/>
              </w:rPr>
            </w:pPr>
            <w:r>
              <w:rPr>
                <w:rFonts w:ascii="Trebuchet MS" w:cs="Trebuchet MS" w:eastAsia="Trebuchet MS" w:hAnsi="Trebuchet MS"/>
                <w:sz w:val="19"/>
                <w:szCs w:val="19"/>
                <w:b w:val="1"/>
                <w:bCs w:val="1"/>
                <w:color w:val="auto"/>
              </w:rPr>
              <w:t>Beginning of Year</w:t>
            </w:r>
          </w:p>
        </w:tc>
        <w:tc>
          <w:tcPr>
            <w:tcW w:w="640" w:type="dxa"/>
            <w:vAlign w:val="bottom"/>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6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5,483,910</w:t>
            </w:r>
          </w:p>
        </w:tc>
      </w:tr>
      <w:tr>
        <w:trPr>
          <w:trHeight w:val="228"/>
        </w:trPr>
        <w:tc>
          <w:tcPr>
            <w:tcW w:w="440" w:type="dxa"/>
            <w:vAlign w:val="bottom"/>
          </w:tcPr>
          <w:p>
            <w:pPr>
              <w:spacing w:after="0"/>
              <w:rPr>
                <w:sz w:val="19"/>
                <w:szCs w:val="19"/>
                <w:color w:val="auto"/>
              </w:rPr>
            </w:pPr>
          </w:p>
        </w:tc>
        <w:tc>
          <w:tcPr>
            <w:tcW w:w="7360" w:type="dxa"/>
            <w:vAlign w:val="bottom"/>
          </w:tcPr>
          <w:p>
            <w:pPr>
              <w:ind w:left="500"/>
              <w:spacing w:after="0"/>
              <w:rPr>
                <w:sz w:val="20"/>
                <w:szCs w:val="20"/>
                <w:color w:val="auto"/>
              </w:rPr>
            </w:pPr>
            <w:r>
              <w:rPr>
                <w:rFonts w:ascii="Trebuchet MS" w:cs="Trebuchet MS" w:eastAsia="Trebuchet MS" w:hAnsi="Trebuchet MS"/>
                <w:sz w:val="19"/>
                <w:szCs w:val="19"/>
                <w:color w:val="auto"/>
              </w:rPr>
              <w:t>Accretion expense</w:t>
            </w:r>
          </w:p>
        </w:tc>
        <w:tc>
          <w:tcPr>
            <w:tcW w:w="640" w:type="dxa"/>
            <w:vAlign w:val="bottom"/>
          </w:tcPr>
          <w:p>
            <w:pPr>
              <w:spacing w:after="0"/>
              <w:rPr>
                <w:sz w:val="19"/>
                <w:szCs w:val="19"/>
                <w:color w:val="auto"/>
              </w:rPr>
            </w:pPr>
          </w:p>
        </w:tc>
        <w:tc>
          <w:tcPr>
            <w:tcW w:w="166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576,665</w:t>
            </w:r>
          </w:p>
        </w:tc>
      </w:tr>
      <w:tr>
        <w:trPr>
          <w:trHeight w:val="229"/>
        </w:trPr>
        <w:tc>
          <w:tcPr>
            <w:tcW w:w="440" w:type="dxa"/>
            <w:vAlign w:val="bottom"/>
          </w:tcPr>
          <w:p>
            <w:pPr>
              <w:spacing w:after="0"/>
              <w:rPr>
                <w:sz w:val="19"/>
                <w:szCs w:val="19"/>
                <w:color w:val="auto"/>
              </w:rPr>
            </w:pPr>
          </w:p>
        </w:tc>
        <w:tc>
          <w:tcPr>
            <w:tcW w:w="7360" w:type="dxa"/>
            <w:vAlign w:val="bottom"/>
          </w:tcPr>
          <w:p>
            <w:pPr>
              <w:ind w:left="500"/>
              <w:spacing w:after="0"/>
              <w:rPr>
                <w:sz w:val="20"/>
                <w:szCs w:val="20"/>
                <w:color w:val="auto"/>
              </w:rPr>
            </w:pPr>
            <w:r>
              <w:rPr>
                <w:rFonts w:ascii="Trebuchet MS" w:cs="Trebuchet MS" w:eastAsia="Trebuchet MS" w:hAnsi="Trebuchet MS"/>
                <w:sz w:val="19"/>
                <w:szCs w:val="19"/>
                <w:color w:val="auto"/>
              </w:rPr>
              <w:t>Additions</w:t>
            </w:r>
          </w:p>
        </w:tc>
        <w:tc>
          <w:tcPr>
            <w:tcW w:w="640" w:type="dxa"/>
            <w:vAlign w:val="bottom"/>
          </w:tcPr>
          <w:p>
            <w:pPr>
              <w:spacing w:after="0"/>
              <w:rPr>
                <w:sz w:val="19"/>
                <w:szCs w:val="19"/>
                <w:color w:val="auto"/>
              </w:rPr>
            </w:pPr>
          </w:p>
        </w:tc>
        <w:tc>
          <w:tcPr>
            <w:tcW w:w="166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124,960</w:t>
            </w:r>
          </w:p>
        </w:tc>
      </w:tr>
      <w:tr>
        <w:trPr>
          <w:trHeight w:val="229"/>
        </w:trPr>
        <w:tc>
          <w:tcPr>
            <w:tcW w:w="440" w:type="dxa"/>
            <w:vAlign w:val="bottom"/>
          </w:tcPr>
          <w:p>
            <w:pPr>
              <w:spacing w:after="0"/>
              <w:rPr>
                <w:sz w:val="19"/>
                <w:szCs w:val="19"/>
                <w:color w:val="auto"/>
              </w:rPr>
            </w:pPr>
          </w:p>
        </w:tc>
        <w:tc>
          <w:tcPr>
            <w:tcW w:w="7360" w:type="dxa"/>
            <w:vAlign w:val="bottom"/>
          </w:tcPr>
          <w:p>
            <w:pPr>
              <w:ind w:left="500"/>
              <w:spacing w:after="0"/>
              <w:rPr>
                <w:sz w:val="20"/>
                <w:szCs w:val="20"/>
                <w:color w:val="auto"/>
              </w:rPr>
            </w:pPr>
            <w:r>
              <w:rPr>
                <w:rFonts w:ascii="Trebuchet MS" w:cs="Trebuchet MS" w:eastAsia="Trebuchet MS" w:hAnsi="Trebuchet MS"/>
                <w:sz w:val="19"/>
                <w:szCs w:val="19"/>
                <w:color w:val="auto"/>
              </w:rPr>
              <w:t>Obligations for wells sold</w:t>
            </w:r>
          </w:p>
        </w:tc>
        <w:tc>
          <w:tcPr>
            <w:tcW w:w="6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rebuchet MS" w:cs="Trebuchet MS" w:eastAsia="Trebuchet MS" w:hAnsi="Trebuchet MS"/>
                <w:sz w:val="19"/>
                <w:szCs w:val="19"/>
                <w:color w:val="auto"/>
              </w:rPr>
              <w:t>(432,932)</w:t>
            </w:r>
          </w:p>
        </w:tc>
      </w:tr>
      <w:tr>
        <w:trPr>
          <w:trHeight w:val="230"/>
        </w:trPr>
        <w:tc>
          <w:tcPr>
            <w:tcW w:w="440" w:type="dxa"/>
            <w:vAlign w:val="bottom"/>
          </w:tcPr>
          <w:p>
            <w:pPr>
              <w:spacing w:after="0"/>
              <w:rPr>
                <w:sz w:val="19"/>
                <w:szCs w:val="19"/>
                <w:color w:val="auto"/>
              </w:rPr>
            </w:pPr>
          </w:p>
        </w:tc>
        <w:tc>
          <w:tcPr>
            <w:tcW w:w="7360" w:type="dxa"/>
            <w:vAlign w:val="bottom"/>
          </w:tcPr>
          <w:p>
            <w:pPr>
              <w:ind w:left="500"/>
              <w:spacing w:after="0"/>
              <w:rPr>
                <w:sz w:val="20"/>
                <w:szCs w:val="20"/>
                <w:color w:val="auto"/>
              </w:rPr>
            </w:pPr>
            <w:r>
              <w:rPr>
                <w:rFonts w:ascii="Trebuchet MS" w:cs="Trebuchet MS" w:eastAsia="Trebuchet MS" w:hAnsi="Trebuchet MS"/>
                <w:sz w:val="19"/>
                <w:szCs w:val="19"/>
                <w:color w:val="auto"/>
              </w:rPr>
              <w:t>Settlements</w:t>
            </w:r>
          </w:p>
        </w:tc>
        <w:tc>
          <w:tcPr>
            <w:tcW w:w="6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rebuchet MS" w:cs="Trebuchet MS" w:eastAsia="Trebuchet MS" w:hAnsi="Trebuchet MS"/>
                <w:sz w:val="19"/>
                <w:szCs w:val="19"/>
                <w:color w:val="auto"/>
              </w:rPr>
              <w:t>(664,473)</w:t>
            </w:r>
          </w:p>
        </w:tc>
      </w:tr>
      <w:tr>
        <w:trPr>
          <w:trHeight w:val="222"/>
        </w:trPr>
        <w:tc>
          <w:tcPr>
            <w:tcW w:w="440" w:type="dxa"/>
            <w:vAlign w:val="bottom"/>
          </w:tcPr>
          <w:p>
            <w:pPr>
              <w:spacing w:after="0"/>
              <w:rPr>
                <w:sz w:val="19"/>
                <w:szCs w:val="19"/>
                <w:color w:val="auto"/>
              </w:rPr>
            </w:pPr>
          </w:p>
        </w:tc>
        <w:tc>
          <w:tcPr>
            <w:tcW w:w="7360" w:type="dxa"/>
            <w:vAlign w:val="bottom"/>
            <w:tcBorders>
              <w:bottom w:val="single" w:sz="8" w:color="auto"/>
            </w:tcBorders>
          </w:tcPr>
          <w:p>
            <w:pPr>
              <w:ind w:left="500"/>
              <w:spacing w:after="0"/>
              <w:rPr>
                <w:sz w:val="20"/>
                <w:szCs w:val="20"/>
                <w:color w:val="auto"/>
              </w:rPr>
            </w:pPr>
            <w:r>
              <w:rPr>
                <w:rFonts w:ascii="Trebuchet MS" w:cs="Trebuchet MS" w:eastAsia="Trebuchet MS" w:hAnsi="Trebuchet MS"/>
                <w:sz w:val="19"/>
                <w:szCs w:val="19"/>
                <w:color w:val="auto"/>
              </w:rPr>
              <w:t>Changes in estimates</w:t>
            </w:r>
          </w:p>
        </w:tc>
        <w:tc>
          <w:tcPr>
            <w:tcW w:w="6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642,891</w:t>
            </w:r>
          </w:p>
        </w:tc>
      </w:tr>
      <w:tr>
        <w:trPr>
          <w:trHeight w:val="364"/>
        </w:trPr>
        <w:tc>
          <w:tcPr>
            <w:tcW w:w="44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rebuchet MS" w:cs="Trebuchet MS" w:eastAsia="Trebuchet MS" w:hAnsi="Trebuchet MS"/>
                <w:sz w:val="19"/>
                <w:szCs w:val="19"/>
                <w:b w:val="1"/>
                <w:bCs w:val="1"/>
                <w:color w:val="auto"/>
              </w:rPr>
              <w:t>Liability for Asset Retirement Obligations,</w:t>
            </w: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3"/>
        </w:trPr>
        <w:tc>
          <w:tcPr>
            <w:tcW w:w="440" w:type="dxa"/>
            <w:vAlign w:val="bottom"/>
          </w:tcPr>
          <w:p>
            <w:pPr>
              <w:spacing w:after="0"/>
              <w:rPr>
                <w:sz w:val="20"/>
                <w:szCs w:val="20"/>
                <w:color w:val="auto"/>
              </w:rPr>
            </w:pPr>
          </w:p>
        </w:tc>
        <w:tc>
          <w:tcPr>
            <w:tcW w:w="7360" w:type="dxa"/>
            <w:vAlign w:val="bottom"/>
          </w:tcPr>
          <w:p>
            <w:pPr>
              <w:ind w:left="180"/>
              <w:spacing w:after="0"/>
              <w:rPr>
                <w:sz w:val="20"/>
                <w:szCs w:val="20"/>
                <w:color w:val="auto"/>
              </w:rPr>
            </w:pPr>
            <w:r>
              <w:rPr>
                <w:rFonts w:ascii="Trebuchet MS" w:cs="Trebuchet MS" w:eastAsia="Trebuchet MS" w:hAnsi="Trebuchet MS"/>
                <w:sz w:val="19"/>
                <w:szCs w:val="19"/>
                <w:b w:val="1"/>
                <w:bCs w:val="1"/>
                <w:color w:val="auto"/>
              </w:rPr>
              <w:t>End of Year</w:t>
            </w:r>
          </w:p>
        </w:tc>
        <w:tc>
          <w:tcPr>
            <w:tcW w:w="640" w:type="dxa"/>
            <w:vAlign w:val="bottom"/>
          </w:tcPr>
          <w:p>
            <w:pPr>
              <w:spacing w:after="0"/>
              <w:rPr>
                <w:sz w:val="20"/>
                <w:szCs w:val="20"/>
                <w:color w:val="auto"/>
              </w:rPr>
            </w:pPr>
          </w:p>
        </w:tc>
        <w:tc>
          <w:tcPr>
            <w:tcW w:w="166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5,731,021</w:t>
            </w:r>
          </w:p>
        </w:tc>
      </w:tr>
      <w:tr>
        <w:trPr>
          <w:trHeight w:val="368"/>
        </w:trPr>
        <w:tc>
          <w:tcPr>
            <w:tcW w:w="440" w:type="dxa"/>
            <w:vAlign w:val="bottom"/>
          </w:tcPr>
          <w:p>
            <w:pPr>
              <w:spacing w:after="0"/>
              <w:rPr>
                <w:sz w:val="24"/>
                <w:szCs w:val="24"/>
                <w:color w:val="auto"/>
              </w:rPr>
            </w:pPr>
          </w:p>
        </w:tc>
        <w:tc>
          <w:tcPr>
            <w:tcW w:w="73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Less: Current asset retirement obligations</w:t>
            </w:r>
          </w:p>
        </w:tc>
        <w:tc>
          <w:tcPr>
            <w:tcW w:w="6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903,228</w:t>
            </w:r>
          </w:p>
        </w:tc>
      </w:tr>
      <w:tr>
        <w:trPr>
          <w:trHeight w:val="378"/>
        </w:trPr>
        <w:tc>
          <w:tcPr>
            <w:tcW w:w="440" w:type="dxa"/>
            <w:vAlign w:val="bottom"/>
          </w:tcPr>
          <w:p>
            <w:pPr>
              <w:spacing w:after="0"/>
              <w:rPr>
                <w:sz w:val="24"/>
                <w:szCs w:val="24"/>
                <w:color w:val="auto"/>
              </w:rPr>
            </w:pPr>
          </w:p>
        </w:tc>
        <w:tc>
          <w:tcPr>
            <w:tcW w:w="73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Long-Term Asset Retirement Obligations</w:t>
            </w:r>
          </w:p>
        </w:tc>
        <w:tc>
          <w:tcPr>
            <w:tcW w:w="640" w:type="dxa"/>
            <w:vAlign w:val="bottom"/>
            <w:tcBorders>
              <w:bottom w:val="single" w:sz="8" w:color="auto"/>
            </w:tcBorders>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66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4,827,793</w:t>
            </w:r>
          </w:p>
        </w:tc>
      </w:tr>
    </w:tbl>
    <w:p>
      <w:pPr>
        <w:spacing w:after="0" w:line="21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Revenue Recognition</w:t>
      </w:r>
    </w:p>
    <w:p>
      <w:pPr>
        <w:spacing w:after="0" w:line="1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Oil and natural gas sales are recognized when production is sold to a purchaser at a fixed or determinable price, delivery has occurred, title has transferred, and collectability of the revenue is probable. Delivery occurs and title is transferred when production has been delivered to a pipeline, railcar or truck. The sales method of accounting is used for oil and natural gas sales such that revenues are recognized based on the Company’s share of actual proceeds from the oil and natural gas sold to purchasers. Oil and natural gas imbalances are generated on properties for which two or more owners have the right to take production “in-kind” and, in doing so take more or less than their respective entitled percentage. As of September 30, 2020, there were no significant oil and natural gas imbalances.</w:t>
      </w:r>
    </w:p>
    <w:p>
      <w:pPr>
        <w:spacing w:after="0" w:line="205"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Income Taxes</w:t>
      </w:r>
    </w:p>
    <w:p>
      <w:pPr>
        <w:spacing w:after="0" w:line="107"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RAM, Fayette and Service are disregarded subsidiaries of Holdings. As Holdings has elected to be classified as a corporation, a tax provision has been calculated for the year ended September 30, 2020.</w:t>
      </w:r>
    </w:p>
    <w:p>
      <w:pPr>
        <w:spacing w:after="0" w:line="207"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benefit for income taxes differs from the amount computed by applying the statutory federal income tax rate to loss before provision for income taxes. For the year ended September 30, 2020, the Company had a benefit for income taxes of $12.5 million, which was completely offset by a valuation allowance. The significant differences between pre-tax book income and taxable book income relate to non-deductible expenses, state income taxes, change in valuation allowance, and other adjustments to deferred tax balances.</w:t>
      </w:r>
    </w:p>
    <w:p>
      <w:pPr>
        <w:spacing w:after="0" w:line="201"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3" w:name="page124"/>
    <w:bookmarkEnd w:id="123"/>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400" w:type="dxa"/>
            <w:vAlign w:val="bottom"/>
            <w:gridSpan w:val="2"/>
          </w:tcPr>
          <w:p>
            <w:pPr>
              <w:spacing w:after="0"/>
              <w:rPr>
                <w:sz w:val="20"/>
                <w:szCs w:val="20"/>
                <w:color w:val="auto"/>
              </w:rPr>
            </w:pPr>
            <w:r>
              <w:rPr>
                <w:rFonts w:ascii="Trebuchet MS" w:cs="Trebuchet MS" w:eastAsia="Trebuchet MS" w:hAnsi="Trebuchet MS"/>
                <w:sz w:val="19"/>
                <w:szCs w:val="19"/>
                <w:color w:val="auto"/>
              </w:rPr>
              <w:t>The sources and tax effects of the differences are as follows:</w:t>
            </w:r>
          </w:p>
        </w:tc>
        <w:tc>
          <w:tcPr>
            <w:tcW w:w="15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45"/>
        </w:trPr>
        <w:tc>
          <w:tcPr>
            <w:tcW w:w="440" w:type="dxa"/>
            <w:vAlign w:val="bottom"/>
          </w:tcPr>
          <w:p>
            <w:pPr>
              <w:spacing w:after="0"/>
              <w:rPr>
                <w:sz w:val="24"/>
                <w:szCs w:val="24"/>
                <w:color w:val="auto"/>
              </w:rPr>
            </w:pPr>
          </w:p>
        </w:tc>
        <w:tc>
          <w:tcPr>
            <w:tcW w:w="59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i w:val="1"/>
                <w:iCs w:val="1"/>
                <w:color w:val="auto"/>
              </w:rPr>
              <w:t>Year Ended September 30,</w:t>
            </w:r>
          </w:p>
        </w:tc>
        <w:tc>
          <w:tcPr>
            <w:tcW w:w="1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746"/>
              <w:spacing w:after="0"/>
              <w:rPr>
                <w:sz w:val="20"/>
                <w:szCs w:val="20"/>
                <w:color w:val="auto"/>
              </w:rPr>
            </w:pPr>
            <w:r>
              <w:rPr>
                <w:rFonts w:ascii="Trebuchet MS" w:cs="Trebuchet MS" w:eastAsia="Trebuchet MS" w:hAnsi="Trebuchet MS"/>
                <w:sz w:val="19"/>
                <w:szCs w:val="19"/>
                <w:b w:val="1"/>
                <w:bCs w:val="1"/>
                <w:color w:val="auto"/>
              </w:rPr>
              <w:t>2020</w:t>
            </w:r>
          </w:p>
        </w:tc>
      </w:tr>
      <w:tr>
        <w:trPr>
          <w:trHeight w:val="386"/>
        </w:trPr>
        <w:tc>
          <w:tcPr>
            <w:tcW w:w="440" w:type="dxa"/>
            <w:vAlign w:val="bottom"/>
          </w:tcPr>
          <w:p>
            <w:pPr>
              <w:spacing w:after="0"/>
              <w:rPr>
                <w:sz w:val="24"/>
                <w:szCs w:val="24"/>
                <w:color w:val="auto"/>
              </w:rPr>
            </w:pPr>
          </w:p>
        </w:tc>
        <w:tc>
          <w:tcPr>
            <w:tcW w:w="5960" w:type="dxa"/>
            <w:vAlign w:val="bottom"/>
          </w:tcPr>
          <w:p>
            <w:pPr>
              <w:spacing w:after="0"/>
              <w:rPr>
                <w:sz w:val="20"/>
                <w:szCs w:val="20"/>
                <w:color w:val="auto"/>
              </w:rPr>
            </w:pPr>
            <w:r>
              <w:rPr>
                <w:rFonts w:ascii="Trebuchet MS" w:cs="Trebuchet MS" w:eastAsia="Trebuchet MS" w:hAnsi="Trebuchet MS"/>
                <w:sz w:val="19"/>
                <w:szCs w:val="19"/>
                <w:color w:val="auto"/>
              </w:rPr>
              <w:t>Income tax benefit at the federal statutory rate (21%)</w:t>
            </w:r>
          </w:p>
        </w:tc>
        <w:tc>
          <w:tcPr>
            <w:tcW w:w="1580" w:type="dxa"/>
            <w:vAlign w:val="bottom"/>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580" w:type="dxa"/>
            <w:vAlign w:val="bottom"/>
          </w:tcPr>
          <w:p>
            <w:pPr>
              <w:jc w:val="right"/>
              <w:spacing w:after="0"/>
              <w:rPr>
                <w:sz w:val="20"/>
                <w:szCs w:val="20"/>
                <w:color w:val="auto"/>
              </w:rPr>
            </w:pPr>
            <w:r>
              <w:rPr>
                <w:rFonts w:ascii="Trebuchet MS" w:cs="Trebuchet MS" w:eastAsia="Trebuchet MS" w:hAnsi="Trebuchet MS"/>
                <w:sz w:val="19"/>
                <w:szCs w:val="19"/>
                <w:color w:val="auto"/>
              </w:rPr>
              <w:t>(9,519,026)</w:t>
            </w:r>
          </w:p>
        </w:tc>
      </w:tr>
      <w:tr>
        <w:trPr>
          <w:trHeight w:val="229"/>
        </w:trPr>
        <w:tc>
          <w:tcPr>
            <w:tcW w:w="44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rebuchet MS" w:cs="Trebuchet MS" w:eastAsia="Trebuchet MS" w:hAnsi="Trebuchet MS"/>
                <w:sz w:val="19"/>
                <w:szCs w:val="19"/>
                <w:color w:val="auto"/>
              </w:rPr>
              <w:t>Return to provision adjustments</w:t>
            </w:r>
          </w:p>
        </w:tc>
        <w:tc>
          <w:tcPr>
            <w:tcW w:w="15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rebuchet MS" w:cs="Trebuchet MS" w:eastAsia="Trebuchet MS" w:hAnsi="Trebuchet MS"/>
                <w:sz w:val="19"/>
                <w:szCs w:val="19"/>
                <w:color w:val="auto"/>
              </w:rPr>
              <w:t>(1,213,195)</w:t>
            </w:r>
          </w:p>
        </w:tc>
      </w:tr>
      <w:tr>
        <w:trPr>
          <w:trHeight w:val="230"/>
        </w:trPr>
        <w:tc>
          <w:tcPr>
            <w:tcW w:w="44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rebuchet MS" w:cs="Trebuchet MS" w:eastAsia="Trebuchet MS" w:hAnsi="Trebuchet MS"/>
                <w:sz w:val="19"/>
                <w:szCs w:val="19"/>
                <w:color w:val="auto"/>
              </w:rPr>
              <w:t>State income tax expense, net of federal benefit</w:t>
            </w:r>
          </w:p>
        </w:tc>
        <w:tc>
          <w:tcPr>
            <w:tcW w:w="15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rebuchet MS" w:cs="Trebuchet MS" w:eastAsia="Trebuchet MS" w:hAnsi="Trebuchet MS"/>
                <w:sz w:val="19"/>
                <w:szCs w:val="19"/>
                <w:color w:val="auto"/>
              </w:rPr>
              <w:t>(1,793,866)</w:t>
            </w:r>
          </w:p>
        </w:tc>
      </w:tr>
      <w:tr>
        <w:trPr>
          <w:trHeight w:val="229"/>
        </w:trPr>
        <w:tc>
          <w:tcPr>
            <w:tcW w:w="44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Trebuchet MS" w:cs="Trebuchet MS" w:eastAsia="Trebuchet MS" w:hAnsi="Trebuchet MS"/>
                <w:sz w:val="19"/>
                <w:szCs w:val="19"/>
                <w:color w:val="auto"/>
              </w:rPr>
              <w:t>Other</w:t>
            </w:r>
          </w:p>
        </w:tc>
        <w:tc>
          <w:tcPr>
            <w:tcW w:w="158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12,671</w:t>
            </w:r>
          </w:p>
        </w:tc>
      </w:tr>
      <w:tr>
        <w:trPr>
          <w:trHeight w:val="229"/>
        </w:trPr>
        <w:tc>
          <w:tcPr>
            <w:tcW w:w="440" w:type="dxa"/>
            <w:vAlign w:val="bottom"/>
          </w:tcPr>
          <w:p>
            <w:pPr>
              <w:spacing w:after="0"/>
              <w:rPr>
                <w:sz w:val="19"/>
                <w:szCs w:val="19"/>
                <w:color w:val="auto"/>
              </w:rPr>
            </w:pPr>
          </w:p>
        </w:tc>
        <w:tc>
          <w:tcPr>
            <w:tcW w:w="59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Change in valuation allowance</w:t>
            </w:r>
          </w:p>
        </w:tc>
        <w:tc>
          <w:tcPr>
            <w:tcW w:w="1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12,513,416</w:t>
            </w:r>
          </w:p>
        </w:tc>
      </w:tr>
      <w:tr>
        <w:trPr>
          <w:trHeight w:val="385"/>
        </w:trPr>
        <w:tc>
          <w:tcPr>
            <w:tcW w:w="440" w:type="dxa"/>
            <w:vAlign w:val="bottom"/>
          </w:tcPr>
          <w:p>
            <w:pPr>
              <w:spacing w:after="0"/>
              <w:rPr>
                <w:sz w:val="24"/>
                <w:szCs w:val="24"/>
                <w:color w:val="auto"/>
              </w:rPr>
            </w:pPr>
          </w:p>
        </w:tc>
        <w:tc>
          <w:tcPr>
            <w:tcW w:w="59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Income tax benefit</w:t>
            </w:r>
          </w:p>
        </w:tc>
        <w:tc>
          <w:tcPr>
            <w:tcW w:w="1580" w:type="dxa"/>
            <w:vAlign w:val="bottom"/>
            <w:tcBorders>
              <w:bottom w:val="single" w:sz="8" w:color="auto"/>
            </w:tcBorders>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58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w:t>
            </w:r>
          </w:p>
        </w:tc>
      </w:tr>
    </w:tbl>
    <w:p>
      <w:pPr>
        <w:spacing w:after="0" w:line="214"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Company’s income tax provision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20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Significant components of the Company’s deferred tax assets and liabilities are as follows:</w:t>
      </w:r>
    </w:p>
    <w:p>
      <w:pPr>
        <w:spacing w:after="0" w:line="219" w:lineRule="exact"/>
        <w:rPr>
          <w:sz w:val="20"/>
          <w:szCs w:val="20"/>
          <w:color w:val="auto"/>
        </w:rPr>
      </w:pPr>
    </w:p>
    <w:tbl>
      <w:tblPr>
        <w:tblLayout w:type="fixed"/>
        <w:tblInd w:w="440" w:type="dxa"/>
        <w:tblCellMar>
          <w:top w:w="0" w:type="dxa"/>
          <w:left w:w="0" w:type="dxa"/>
          <w:bottom w:w="0" w:type="dxa"/>
          <w:right w:w="0" w:type="dxa"/>
        </w:tblCellMar>
      </w:tblPr>
      <w:tr>
        <w:trPr>
          <w:trHeight w:val="231"/>
        </w:trPr>
        <w:tc>
          <w:tcPr>
            <w:tcW w:w="59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16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46"/>
              <w:spacing w:after="0"/>
              <w:rPr>
                <w:sz w:val="20"/>
                <w:szCs w:val="20"/>
                <w:color w:val="auto"/>
              </w:rPr>
            </w:pPr>
            <w:r>
              <w:rPr>
                <w:rFonts w:ascii="Trebuchet MS" w:cs="Trebuchet MS" w:eastAsia="Trebuchet MS" w:hAnsi="Trebuchet MS"/>
                <w:sz w:val="19"/>
                <w:szCs w:val="19"/>
                <w:b w:val="1"/>
                <w:bCs w:val="1"/>
                <w:color w:val="auto"/>
              </w:rPr>
              <w:t>2020</w:t>
            </w:r>
          </w:p>
        </w:tc>
      </w:tr>
      <w:tr>
        <w:trPr>
          <w:trHeight w:val="386"/>
        </w:trPr>
        <w:tc>
          <w:tcPr>
            <w:tcW w:w="5900" w:type="dxa"/>
            <w:vAlign w:val="bottom"/>
          </w:tcPr>
          <w:p>
            <w:pPr>
              <w:spacing w:after="0"/>
              <w:rPr>
                <w:sz w:val="20"/>
                <w:szCs w:val="20"/>
                <w:color w:val="auto"/>
              </w:rPr>
            </w:pPr>
            <w:r>
              <w:rPr>
                <w:rFonts w:ascii="Trebuchet MS" w:cs="Trebuchet MS" w:eastAsia="Trebuchet MS" w:hAnsi="Trebuchet MS"/>
                <w:sz w:val="19"/>
                <w:szCs w:val="19"/>
                <w:color w:val="auto"/>
              </w:rPr>
              <w:t>Depreciable/depletable property, plant and equipment</w:t>
            </w:r>
          </w:p>
        </w:tc>
        <w:tc>
          <w:tcPr>
            <w:tcW w:w="1640" w:type="dxa"/>
            <w:vAlign w:val="bottom"/>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5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15,471,467</w:t>
            </w:r>
          </w:p>
        </w:tc>
      </w:tr>
      <w:tr>
        <w:trPr>
          <w:trHeight w:val="230"/>
        </w:trPr>
        <w:tc>
          <w:tcPr>
            <w:tcW w:w="5900" w:type="dxa"/>
            <w:vAlign w:val="bottom"/>
          </w:tcPr>
          <w:p>
            <w:pPr>
              <w:spacing w:after="0"/>
              <w:rPr>
                <w:sz w:val="20"/>
                <w:szCs w:val="20"/>
                <w:color w:val="auto"/>
              </w:rPr>
            </w:pPr>
            <w:r>
              <w:rPr>
                <w:rFonts w:ascii="Trebuchet MS" w:cs="Trebuchet MS" w:eastAsia="Trebuchet MS" w:hAnsi="Trebuchet MS"/>
                <w:sz w:val="19"/>
                <w:szCs w:val="19"/>
                <w:color w:val="auto"/>
              </w:rPr>
              <w:t>Asset retirement obligation</w:t>
            </w:r>
          </w:p>
        </w:tc>
        <w:tc>
          <w:tcPr>
            <w:tcW w:w="164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1,181,556</w:t>
            </w:r>
          </w:p>
        </w:tc>
      </w:tr>
      <w:tr>
        <w:trPr>
          <w:trHeight w:val="229"/>
        </w:trPr>
        <w:tc>
          <w:tcPr>
            <w:tcW w:w="5900" w:type="dxa"/>
            <w:vAlign w:val="bottom"/>
          </w:tcPr>
          <w:p>
            <w:pPr>
              <w:spacing w:after="0"/>
              <w:rPr>
                <w:sz w:val="20"/>
                <w:szCs w:val="20"/>
                <w:color w:val="auto"/>
              </w:rPr>
            </w:pPr>
            <w:r>
              <w:rPr>
                <w:rFonts w:ascii="Trebuchet MS" w:cs="Trebuchet MS" w:eastAsia="Trebuchet MS" w:hAnsi="Trebuchet MS"/>
                <w:sz w:val="19"/>
                <w:szCs w:val="19"/>
                <w:color w:val="auto"/>
              </w:rPr>
              <w:t>Derivative assets</w:t>
            </w:r>
          </w:p>
        </w:tc>
        <w:tc>
          <w:tcPr>
            <w:tcW w:w="164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606,481</w:t>
            </w:r>
          </w:p>
        </w:tc>
      </w:tr>
      <w:tr>
        <w:trPr>
          <w:trHeight w:val="229"/>
        </w:trPr>
        <w:tc>
          <w:tcPr>
            <w:tcW w:w="5900" w:type="dxa"/>
            <w:vAlign w:val="bottom"/>
          </w:tcPr>
          <w:p>
            <w:pPr>
              <w:spacing w:after="0"/>
              <w:rPr>
                <w:sz w:val="20"/>
                <w:szCs w:val="20"/>
                <w:color w:val="auto"/>
              </w:rPr>
            </w:pPr>
            <w:r>
              <w:rPr>
                <w:rFonts w:ascii="Trebuchet MS" w:cs="Trebuchet MS" w:eastAsia="Trebuchet MS" w:hAnsi="Trebuchet MS"/>
                <w:sz w:val="19"/>
                <w:szCs w:val="19"/>
                <w:color w:val="auto"/>
              </w:rPr>
              <w:t>Reserves and other</w:t>
            </w:r>
          </w:p>
        </w:tc>
        <w:tc>
          <w:tcPr>
            <w:tcW w:w="1640" w:type="dxa"/>
            <w:vAlign w:val="bottom"/>
          </w:tcPr>
          <w:p>
            <w:pPr>
              <w:spacing w:after="0"/>
              <w:rPr>
                <w:sz w:val="19"/>
                <w:szCs w:val="19"/>
                <w:color w:val="auto"/>
              </w:rPr>
            </w:pPr>
          </w:p>
        </w:tc>
        <w:tc>
          <w:tcPr>
            <w:tcW w:w="15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22,473</w:t>
            </w:r>
          </w:p>
        </w:tc>
      </w:tr>
      <w:tr>
        <w:trPr>
          <w:trHeight w:val="222"/>
        </w:trPr>
        <w:tc>
          <w:tcPr>
            <w:tcW w:w="59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Net operating loss carryforward</w:t>
            </w:r>
          </w:p>
        </w:tc>
        <w:tc>
          <w:tcPr>
            <w:tcW w:w="16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18,072,194</w:t>
            </w:r>
          </w:p>
        </w:tc>
      </w:tr>
      <w:tr>
        <w:trPr>
          <w:trHeight w:val="231"/>
        </w:trPr>
        <w:tc>
          <w:tcPr>
            <w:tcW w:w="5900" w:type="dxa"/>
            <w:vAlign w:val="bottom"/>
          </w:tcPr>
          <w:p>
            <w:pPr>
              <w:spacing w:after="0"/>
              <w:rPr>
                <w:sz w:val="20"/>
                <w:szCs w:val="20"/>
                <w:color w:val="auto"/>
              </w:rPr>
            </w:pPr>
            <w:r>
              <w:rPr>
                <w:rFonts w:ascii="Trebuchet MS" w:cs="Trebuchet MS" w:eastAsia="Trebuchet MS" w:hAnsi="Trebuchet MS"/>
                <w:sz w:val="19"/>
                <w:szCs w:val="19"/>
                <w:color w:val="auto"/>
              </w:rPr>
              <w:t>Total noncurrent deferred tax assets</w:t>
            </w:r>
          </w:p>
        </w:tc>
        <w:tc>
          <w:tcPr>
            <w:tcW w:w="1640" w:type="dxa"/>
            <w:vAlign w:val="bottom"/>
          </w:tcPr>
          <w:p>
            <w:pPr>
              <w:spacing w:after="0"/>
              <w:rPr>
                <w:sz w:val="20"/>
                <w:szCs w:val="20"/>
                <w:color w:val="auto"/>
              </w:rPr>
            </w:pPr>
          </w:p>
        </w:tc>
        <w:tc>
          <w:tcPr>
            <w:tcW w:w="15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35,354,171</w:t>
            </w:r>
          </w:p>
        </w:tc>
      </w:tr>
      <w:tr>
        <w:trPr>
          <w:trHeight w:val="222"/>
        </w:trPr>
        <w:tc>
          <w:tcPr>
            <w:tcW w:w="59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Valuation allowance</w:t>
            </w:r>
          </w:p>
        </w:tc>
        <w:tc>
          <w:tcPr>
            <w:tcW w:w="16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(35,354,171)</w:t>
            </w:r>
          </w:p>
        </w:tc>
      </w:tr>
      <w:tr>
        <w:trPr>
          <w:trHeight w:val="378"/>
        </w:trPr>
        <w:tc>
          <w:tcPr>
            <w:tcW w:w="590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Net noncurrent deferred tax assets</w:t>
            </w:r>
          </w:p>
        </w:tc>
        <w:tc>
          <w:tcPr>
            <w:tcW w:w="1640" w:type="dxa"/>
            <w:vAlign w:val="bottom"/>
            <w:tcBorders>
              <w:bottom w:val="single" w:sz="8" w:color="auto"/>
            </w:tcBorders>
          </w:tcPr>
          <w:p>
            <w:pPr>
              <w:jc w:val="right"/>
              <w:ind w:right="226"/>
              <w:spacing w:after="0"/>
              <w:rPr>
                <w:sz w:val="20"/>
                <w:szCs w:val="20"/>
                <w:color w:val="auto"/>
              </w:rPr>
            </w:pPr>
            <w:r>
              <w:rPr>
                <w:rFonts w:ascii="Trebuchet MS" w:cs="Trebuchet MS" w:eastAsia="Trebuchet MS" w:hAnsi="Trebuchet MS"/>
                <w:sz w:val="19"/>
                <w:szCs w:val="19"/>
                <w:color w:val="auto"/>
              </w:rPr>
              <w:t>$</w:t>
            </w:r>
          </w:p>
        </w:tc>
        <w:tc>
          <w:tcPr>
            <w:tcW w:w="158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w:t>
            </w:r>
          </w:p>
        </w:tc>
      </w:tr>
    </w:tbl>
    <w:p>
      <w:pPr>
        <w:spacing w:after="0" w:line="214"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As of September 30, 2020, the Company has a net operating loss carryforward of approximately $79 million for federal income tax reporting purposes. Of this amount, $31.4 million will begin to expire in 2034 and $47.6 million has an indefinite carryforward period. The 2018 Tax Cuts and Jobs Act changed the rules related to uses and limitations of net operating loss carryforwards created in tax years beginning after December 31, 2017. Based on the history of losses of the predecessor entity and the continued depression of oil and gas prices, the Company concluded it was not more likely than not that the net operating losses would be utilized; accordingly, a valuation allowance was recorded. In addition, the Company has generated a net operating loss carryforward for state income tax purposes, which the Company believes is not more likely than not to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208"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As of September 30, 2020, the Company recorded a valuation allowance of $35.4 million.</w:t>
      </w:r>
    </w:p>
    <w:p>
      <w:pPr>
        <w:spacing w:after="0" w:line="209"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Each income tax position is assessed using a two-step process. A determination is first made as to whether it is more likely than not that the income tax position will be sustained, based upon technical merits, upon examination by the taxing authorities. If the income tax position is</w:t>
      </w:r>
    </w:p>
    <w:p>
      <w:pPr>
        <w:spacing w:after="0" w:line="202"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4" w:name="page125"/>
    <w:bookmarkEnd w:id="124"/>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6">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0"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expected to meet the more likely than not criteria, the benefit recorded in the consolidated financial statements equals the largest amount that is greater than 50 percent likely to be realized upon its ultimate settlement. The Company had no uncertain tax positions as of September 30, 2020.</w:t>
      </w:r>
    </w:p>
    <w:p>
      <w:pPr>
        <w:spacing w:after="0" w:line="20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Company’s federal and state tax returns from its inception remain subject to examination by the applicable tax authorities.</w:t>
      </w:r>
    </w:p>
    <w:p>
      <w:pPr>
        <w:spacing w:after="0" w:line="205" w:lineRule="exact"/>
        <w:rPr>
          <w:sz w:val="20"/>
          <w:szCs w:val="20"/>
          <w:color w:val="auto"/>
        </w:rPr>
      </w:pPr>
    </w:p>
    <w:p>
      <w:pPr>
        <w:ind w:left="440" w:hanging="432"/>
        <w:spacing w:after="0"/>
        <w:tabs>
          <w:tab w:leader="none" w:pos="440" w:val="left"/>
        </w:tabs>
        <w:numPr>
          <w:ilvl w:val="0"/>
          <w:numId w:val="132"/>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Fair Value Measurements</w:t>
      </w:r>
    </w:p>
    <w:p>
      <w:pPr>
        <w:spacing w:after="0" w:line="115"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94" w:lineRule="exact"/>
        <w:rPr>
          <w:sz w:val="20"/>
          <w:szCs w:val="20"/>
          <w:color w:val="auto"/>
        </w:rPr>
      </w:pPr>
    </w:p>
    <w:p>
      <w:pPr>
        <w:jc w:val="both"/>
        <w:ind w:left="640" w:right="440"/>
        <w:spacing w:after="0" w:line="246" w:lineRule="auto"/>
        <w:rPr>
          <w:sz w:val="20"/>
          <w:szCs w:val="20"/>
          <w:color w:val="auto"/>
        </w:rPr>
      </w:pPr>
      <w:r>
        <w:rPr>
          <w:rFonts w:ascii="Trebuchet MS" w:cs="Trebuchet MS" w:eastAsia="Trebuchet MS" w:hAnsi="Trebuchet MS"/>
          <w:sz w:val="19"/>
          <w:szCs w:val="19"/>
          <w:b w:val="1"/>
          <w:bCs w:val="1"/>
          <w:color w:val="auto"/>
        </w:rPr>
        <w:t xml:space="preserve">Level 1 </w:t>
      </w:r>
      <w:r>
        <w:rPr>
          <w:rFonts w:ascii="Trebuchet MS" w:cs="Trebuchet MS" w:eastAsia="Trebuchet MS" w:hAnsi="Trebuchet MS"/>
          <w:sz w:val="19"/>
          <w:szCs w:val="19"/>
          <w:color w:val="auto"/>
        </w:rPr>
        <w:t>- inputs to the valuation methodology are quoted prices (unadjusted) for identical assets or liabilities in</w:t>
      </w:r>
      <w:r>
        <w:rPr>
          <w:rFonts w:ascii="Trebuchet MS" w:cs="Trebuchet MS" w:eastAsia="Trebuchet MS" w:hAnsi="Trebuchet MS"/>
          <w:sz w:val="19"/>
          <w:szCs w:val="19"/>
          <w:b w:val="1"/>
          <w:bCs w:val="1"/>
          <w:color w:val="auto"/>
        </w:rPr>
        <w:t xml:space="preserve"> </w:t>
      </w:r>
      <w:r>
        <w:rPr>
          <w:rFonts w:ascii="Trebuchet MS" w:cs="Trebuchet MS" w:eastAsia="Trebuchet MS" w:hAnsi="Trebuchet MS"/>
          <w:sz w:val="19"/>
          <w:szCs w:val="19"/>
          <w:color w:val="auto"/>
        </w:rPr>
        <w:t>active markets.</w:t>
      </w:r>
    </w:p>
    <w:p>
      <w:pPr>
        <w:spacing w:after="0" w:line="88" w:lineRule="exact"/>
        <w:rPr>
          <w:sz w:val="20"/>
          <w:szCs w:val="20"/>
          <w:color w:val="auto"/>
        </w:rPr>
      </w:pPr>
    </w:p>
    <w:p>
      <w:pPr>
        <w:jc w:val="both"/>
        <w:ind w:left="640" w:right="440"/>
        <w:spacing w:after="0"/>
        <w:rPr>
          <w:sz w:val="20"/>
          <w:szCs w:val="20"/>
          <w:color w:val="auto"/>
        </w:rPr>
      </w:pPr>
      <w:r>
        <w:rPr>
          <w:rFonts w:ascii="Trebuchet MS" w:cs="Trebuchet MS" w:eastAsia="Trebuchet MS" w:hAnsi="Trebuchet MS"/>
          <w:sz w:val="19"/>
          <w:szCs w:val="19"/>
          <w:b w:val="1"/>
          <w:bCs w:val="1"/>
          <w:color w:val="auto"/>
        </w:rPr>
        <w:t xml:space="preserve">Level 2 </w:t>
      </w:r>
      <w:r>
        <w:rPr>
          <w:rFonts w:ascii="Trebuchet MS" w:cs="Trebuchet MS" w:eastAsia="Trebuchet MS" w:hAnsi="Trebuchet MS"/>
          <w:sz w:val="19"/>
          <w:szCs w:val="19"/>
          <w:color w:val="auto"/>
        </w:rPr>
        <w:t>- inputs to the valuation methodology include quoted prices for similar assets and liabilities in active</w:t>
      </w:r>
      <w:r>
        <w:rPr>
          <w:rFonts w:ascii="Trebuchet MS" w:cs="Trebuchet MS" w:eastAsia="Trebuchet MS" w:hAnsi="Trebuchet MS"/>
          <w:sz w:val="19"/>
          <w:szCs w:val="19"/>
          <w:b w:val="1"/>
          <w:bCs w:val="1"/>
          <w:color w:val="auto"/>
        </w:rPr>
        <w:t xml:space="preserve"> </w:t>
      </w:r>
      <w:r>
        <w:rPr>
          <w:rFonts w:ascii="Trebuchet MS" w:cs="Trebuchet MS" w:eastAsia="Trebuchet MS" w:hAnsi="Trebuchet MS"/>
          <w:sz w:val="19"/>
          <w:szCs w:val="19"/>
          <w:color w:val="auto"/>
        </w:rPr>
        <w:t>markets, and inputs that are observable for the asset or liability, either directly or indirectly, for substantially the full term of the financial instrument.</w:t>
      </w:r>
    </w:p>
    <w:p>
      <w:pPr>
        <w:spacing w:after="0" w:line="94" w:lineRule="exact"/>
        <w:rPr>
          <w:sz w:val="20"/>
          <w:szCs w:val="20"/>
          <w:color w:val="auto"/>
        </w:rPr>
      </w:pPr>
    </w:p>
    <w:p>
      <w:pPr>
        <w:ind w:left="640"/>
        <w:spacing w:after="0"/>
        <w:rPr>
          <w:sz w:val="20"/>
          <w:szCs w:val="20"/>
          <w:color w:val="auto"/>
        </w:rPr>
      </w:pPr>
      <w:r>
        <w:rPr>
          <w:rFonts w:ascii="Trebuchet MS" w:cs="Trebuchet MS" w:eastAsia="Trebuchet MS" w:hAnsi="Trebuchet MS"/>
          <w:sz w:val="19"/>
          <w:szCs w:val="19"/>
          <w:b w:val="1"/>
          <w:bCs w:val="1"/>
          <w:color w:val="auto"/>
        </w:rPr>
        <w:t xml:space="preserve">Level 3 </w:t>
      </w:r>
      <w:r>
        <w:rPr>
          <w:rFonts w:ascii="Trebuchet MS" w:cs="Trebuchet MS" w:eastAsia="Trebuchet MS" w:hAnsi="Trebuchet MS"/>
          <w:sz w:val="19"/>
          <w:szCs w:val="19"/>
          <w:color w:val="auto"/>
        </w:rPr>
        <w:t>- inputs to the valuation methodology are unobservable and significant to the fair  value measurement.</w:t>
      </w:r>
    </w:p>
    <w:p>
      <w:pPr>
        <w:spacing w:after="0" w:line="21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208"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The following table sets forth the assets and liabilities measured at fair value on a recurring basis, by level, as of September 30,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6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2"/>
          </w:tcPr>
          <w:p>
            <w:pPr>
              <w:jc w:val="right"/>
              <w:spacing w:after="0"/>
              <w:rPr>
                <w:sz w:val="20"/>
                <w:szCs w:val="20"/>
                <w:color w:val="auto"/>
              </w:rPr>
            </w:pPr>
            <w:r>
              <w:rPr>
                <w:rFonts w:ascii="Trebuchet MS" w:cs="Trebuchet MS" w:eastAsia="Trebuchet MS" w:hAnsi="Trebuchet MS"/>
                <w:sz w:val="19"/>
                <w:szCs w:val="19"/>
                <w:b w:val="1"/>
                <w:bCs w:val="1"/>
                <w:i w:val="1"/>
                <w:iCs w:val="1"/>
                <w:color w:val="auto"/>
              </w:rPr>
              <w:t>As of September 30, 2020</w:t>
            </w:r>
          </w:p>
        </w:tc>
        <w:tc>
          <w:tcPr>
            <w:tcW w:w="6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r>
      <w:tr>
        <w:trPr>
          <w:trHeight w:val="230"/>
        </w:trPr>
        <w:tc>
          <w:tcPr>
            <w:tcW w:w="5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b w:val="1"/>
                <w:bCs w:val="1"/>
                <w:color w:val="auto"/>
              </w:rPr>
              <w:t>Level 1</w:t>
            </w:r>
          </w:p>
        </w:tc>
        <w:tc>
          <w:tcPr>
            <w:tcW w:w="6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26"/>
              <w:spacing w:after="0"/>
              <w:rPr>
                <w:sz w:val="20"/>
                <w:szCs w:val="20"/>
                <w:color w:val="auto"/>
              </w:rPr>
            </w:pPr>
            <w:r>
              <w:rPr>
                <w:rFonts w:ascii="Trebuchet MS" w:cs="Trebuchet MS" w:eastAsia="Trebuchet MS" w:hAnsi="Trebuchet MS"/>
                <w:sz w:val="19"/>
                <w:szCs w:val="19"/>
                <w:b w:val="1"/>
                <w:bCs w:val="1"/>
                <w:color w:val="auto"/>
              </w:rPr>
              <w:t>Level 2</w:t>
            </w:r>
          </w:p>
        </w:tc>
        <w:tc>
          <w:tcPr>
            <w:tcW w:w="1220" w:type="dxa"/>
            <w:vAlign w:val="bottom"/>
            <w:tcBorders>
              <w:bottom w:val="single" w:sz="8" w:color="auto"/>
            </w:tcBorders>
          </w:tcPr>
          <w:p>
            <w:pPr>
              <w:jc w:val="right"/>
              <w:ind w:right="66"/>
              <w:spacing w:after="0"/>
              <w:rPr>
                <w:sz w:val="20"/>
                <w:szCs w:val="20"/>
                <w:color w:val="auto"/>
              </w:rPr>
            </w:pPr>
            <w:r>
              <w:rPr>
                <w:rFonts w:ascii="Trebuchet MS" w:cs="Trebuchet MS" w:eastAsia="Trebuchet MS" w:hAnsi="Trebuchet MS"/>
                <w:sz w:val="19"/>
                <w:szCs w:val="19"/>
                <w:b w:val="1"/>
                <w:bCs w:val="1"/>
                <w:color w:val="auto"/>
              </w:rPr>
              <w:t>Level 3</w:t>
            </w:r>
          </w:p>
        </w:tc>
        <w:tc>
          <w:tcPr>
            <w:tcW w:w="6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6"/>
              <w:spacing w:after="0"/>
              <w:rPr>
                <w:sz w:val="20"/>
                <w:szCs w:val="20"/>
                <w:color w:val="auto"/>
              </w:rPr>
            </w:pPr>
            <w:r>
              <w:rPr>
                <w:rFonts w:ascii="Trebuchet MS" w:cs="Trebuchet MS" w:eastAsia="Trebuchet MS" w:hAnsi="Trebuchet MS"/>
                <w:sz w:val="19"/>
                <w:szCs w:val="19"/>
                <w:b w:val="1"/>
                <w:bCs w:val="1"/>
                <w:color w:val="auto"/>
              </w:rPr>
              <w:t>Total</w:t>
            </w:r>
          </w:p>
        </w:tc>
      </w:tr>
      <w:tr>
        <w:trPr>
          <w:trHeight w:val="466"/>
        </w:trPr>
        <w:tc>
          <w:tcPr>
            <w:tcW w:w="546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Derivative Liability (Commodity Contracts)</w:t>
            </w:r>
          </w:p>
        </w:tc>
        <w:tc>
          <w:tcPr>
            <w:tcW w:w="1020" w:type="dxa"/>
            <w:vAlign w:val="bottom"/>
            <w:tcBorders>
              <w:bottom w:val="single" w:sz="8" w:color="auto"/>
            </w:tcBorders>
          </w:tcPr>
          <w:p>
            <w:pPr>
              <w:jc w:val="right"/>
              <w:ind w:right="826"/>
              <w:spacing w:after="0"/>
              <w:rPr>
                <w:sz w:val="20"/>
                <w:szCs w:val="20"/>
                <w:color w:val="auto"/>
              </w:rPr>
            </w:pPr>
            <w:r>
              <w:rPr>
                <w:rFonts w:ascii="Trebuchet MS" w:cs="Trebuchet MS" w:eastAsia="Trebuchet MS" w:hAnsi="Trebuchet MS"/>
                <w:sz w:val="19"/>
                <w:szCs w:val="19"/>
                <w:color w:val="auto"/>
                <w:w w:val="79"/>
              </w:rPr>
              <w:t>$</w:t>
            </w:r>
          </w:p>
        </w:tc>
        <w:tc>
          <w:tcPr>
            <w:tcW w:w="6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   $</w:t>
            </w:r>
          </w:p>
        </w:tc>
        <w:tc>
          <w:tcPr>
            <w:tcW w:w="1180" w:type="dxa"/>
            <w:vAlign w:val="bottom"/>
            <w:tcBorders>
              <w:bottom w:val="single" w:sz="8" w:color="auto"/>
            </w:tcBorders>
          </w:tcPr>
          <w:p>
            <w:pPr>
              <w:jc w:val="right"/>
              <w:ind w:right="46"/>
              <w:spacing w:after="0"/>
              <w:rPr>
                <w:sz w:val="20"/>
                <w:szCs w:val="20"/>
                <w:color w:val="auto"/>
              </w:rPr>
            </w:pPr>
            <w:r>
              <w:rPr>
                <w:rFonts w:ascii="Trebuchet MS" w:cs="Trebuchet MS" w:eastAsia="Trebuchet MS" w:hAnsi="Trebuchet MS"/>
                <w:sz w:val="19"/>
                <w:szCs w:val="19"/>
                <w:color w:val="auto"/>
              </w:rPr>
              <w:t>537,157</w:t>
            </w:r>
          </w:p>
        </w:tc>
        <w:tc>
          <w:tcPr>
            <w:tcW w:w="1220" w:type="dxa"/>
            <w:vAlign w:val="bottom"/>
            <w:tcBorders>
              <w:bottom w:val="single" w:sz="8" w:color="auto"/>
            </w:tcBorders>
          </w:tcPr>
          <w:p>
            <w:pPr>
              <w:jc w:val="right"/>
              <w:ind w:right="866"/>
              <w:spacing w:after="0"/>
              <w:rPr>
                <w:sz w:val="20"/>
                <w:szCs w:val="20"/>
                <w:color w:val="auto"/>
              </w:rPr>
            </w:pPr>
            <w:r>
              <w:rPr>
                <w:rFonts w:ascii="Trebuchet MS" w:cs="Trebuchet MS" w:eastAsia="Trebuchet MS" w:hAnsi="Trebuchet MS"/>
                <w:sz w:val="19"/>
                <w:szCs w:val="19"/>
                <w:color w:val="auto"/>
              </w:rPr>
              <w:t>$</w:t>
            </w:r>
          </w:p>
        </w:tc>
        <w:tc>
          <w:tcPr>
            <w:tcW w:w="660" w:type="dxa"/>
            <w:vAlign w:val="bottom"/>
            <w:tcBorders>
              <w:bottom w:val="single" w:sz="8" w:color="auto"/>
            </w:tcBorders>
          </w:tcPr>
          <w:p>
            <w:pPr>
              <w:jc w:val="right"/>
              <w:ind w:right="46"/>
              <w:spacing w:after="0"/>
              <w:rPr>
                <w:sz w:val="20"/>
                <w:szCs w:val="20"/>
                <w:color w:val="auto"/>
              </w:rPr>
            </w:pPr>
            <w:r>
              <w:rPr>
                <w:rFonts w:ascii="Trebuchet MS" w:cs="Trebuchet MS" w:eastAsia="Trebuchet MS" w:hAnsi="Trebuchet MS"/>
                <w:sz w:val="19"/>
                <w:szCs w:val="19"/>
                <w:color w:val="auto"/>
              </w:rPr>
              <w:t>-   $</w:t>
            </w:r>
          </w:p>
        </w:tc>
        <w:tc>
          <w:tcPr>
            <w:tcW w:w="108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537,157</w:t>
            </w:r>
          </w:p>
        </w:tc>
      </w:tr>
    </w:tbl>
    <w:p>
      <w:pPr>
        <w:spacing w:after="0" w:line="214"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Company estimates the fair value of its derivative instruments based on published forward commodity price curves as of the date of the estimate, less discounts to recognize present values. The Company estimated the fair value of its derivatives using a pricing model which also considered market volatility, counterparty credit risk and additional criteria in determining discount rates. The discount rate used in the discounted cash flow projections was based on published LIBOR rates, Eurodollar futures rates and interest swap rates. The counterparty credit risk was determined by calculating the difference between the derivative counterparty’s bond rate and published bond rates. A credit valuation adjustment (“CVA”) for the Company is incorporated into the derivative valuation when the overall derivative position with a counterparty is in a liability position. A CVA is calculated based on the spread between the Company’s credit curve and a risk-free rate.</w:t>
      </w:r>
    </w:p>
    <w:p>
      <w:pPr>
        <w:spacing w:after="0" w:line="209"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At September 30, 2020, the carrying value of cash, restricted cash, receivables and payables reflected in the Company’s consolidated financial statements approximates fair value due to their short-term nature. The fair value of the Main Street Lending Program Loan approximates fair value</w:t>
      </w:r>
    </w:p>
    <w:p>
      <w:pPr>
        <w:spacing w:after="0" w:line="202"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5" w:name="page126"/>
    <w:bookmarkEnd w:id="125"/>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due to the interest rate being reflective of market rates and the Paycheck Protection Program Loan is not material.</w:t>
      </w:r>
    </w:p>
    <w:p>
      <w:pPr>
        <w:spacing w:after="0" w:line="211"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Company’s non-financial assets and liabilities, which are initially measured at fair value, are comprised primarily of asset retirement obligations. These liabilities are recorded at fair value when acquired/incurred, but not re-measured at fair value in subsequent periods. The Company classifies such initial measurements as Level 3, since certain significant unobservable inputs are utilized in their determination. The fair value of additions to the asset retirement obligations and certain changes in the estimated fair value of the liabilities are measured using valuation techniques consistent with the income approach, converting future cash flows to a single discounted amount. Inputs to the valuation include: (1) estimated plug and abandonment cost based on a third-party study; (2) estimated remaining life of each field; (3) the Company’s credit-adjusted risk-free interest rate of 3.24%; and (4) the average inflation factor of 1.80%. These inputs require significant judgments and estimates by the Company’s management at the time of the valuation, and are the most sensitive and subject to change.</w:t>
      </w:r>
    </w:p>
    <w:p>
      <w:pPr>
        <w:spacing w:after="0" w:line="201" w:lineRule="exact"/>
        <w:rPr>
          <w:sz w:val="20"/>
          <w:szCs w:val="20"/>
          <w:color w:val="auto"/>
        </w:rPr>
      </w:pPr>
    </w:p>
    <w:p>
      <w:pPr>
        <w:ind w:left="440" w:hanging="432"/>
        <w:spacing w:after="0"/>
        <w:tabs>
          <w:tab w:leader="none" w:pos="440" w:val="left"/>
        </w:tabs>
        <w:numPr>
          <w:ilvl w:val="0"/>
          <w:numId w:val="133"/>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Derivative Contracts</w:t>
      </w:r>
    </w:p>
    <w:p>
      <w:pPr>
        <w:spacing w:after="0" w:line="115" w:lineRule="exact"/>
        <w:rPr>
          <w:sz w:val="20"/>
          <w:szCs w:val="20"/>
          <w:color w:val="auto"/>
        </w:rPr>
      </w:pPr>
    </w:p>
    <w:p>
      <w:pPr>
        <w:jc w:val="both"/>
        <w:spacing w:after="0" w:line="266" w:lineRule="auto"/>
        <w:rPr>
          <w:sz w:val="20"/>
          <w:szCs w:val="20"/>
          <w:color w:val="auto"/>
        </w:rPr>
      </w:pPr>
      <w:r>
        <w:rPr>
          <w:rFonts w:ascii="Trebuchet MS" w:cs="Trebuchet MS" w:eastAsia="Trebuchet MS" w:hAnsi="Trebuchet MS"/>
          <w:sz w:val="18"/>
          <w:szCs w:val="18"/>
          <w:color w:val="auto"/>
        </w:rPr>
        <w:t>The Company periodically utilizes various hedging strategies to manage the price received for a portion of its future oil and natural gas production to reduce exposure to fluctuations in oil and natural gas prices and to achieve a more predictable cash flow.</w:t>
      </w:r>
    </w:p>
    <w:p>
      <w:pPr>
        <w:spacing w:after="0" w:line="185"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During 2020, the Company entered into certain derivative contracts to manage the impact of oil and natural gas price fluctuations and as required by the terms of its credit facility. The Company did not designate these transactions as hedges. Accordingly, all gains and losses on the derivative instruments during 2020 have been recorded in the consolidated statement of operations.</w:t>
      </w:r>
    </w:p>
    <w:p>
      <w:pPr>
        <w:spacing w:after="0" w:line="20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Company’s derivative position at September 30, 2020, consisting of swaps, is shown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4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ind w:left="340"/>
              <w:spacing w:after="0"/>
              <w:rPr>
                <w:sz w:val="20"/>
                <w:szCs w:val="20"/>
                <w:color w:val="auto"/>
              </w:rPr>
            </w:pPr>
            <w:r>
              <w:rPr>
                <w:rFonts w:ascii="Trebuchet MS" w:cs="Trebuchet MS" w:eastAsia="Trebuchet MS" w:hAnsi="Trebuchet MS"/>
                <w:sz w:val="19"/>
                <w:szCs w:val="19"/>
                <w:b w:val="1"/>
                <w:bCs w:val="1"/>
                <w:color w:val="auto"/>
              </w:rPr>
              <w:t>Notional</w:t>
            </w: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center"/>
              <w:ind w:right="186"/>
              <w:spacing w:after="0"/>
              <w:rPr>
                <w:sz w:val="20"/>
                <w:szCs w:val="20"/>
                <w:color w:val="auto"/>
              </w:rPr>
            </w:pPr>
            <w:r>
              <w:rPr>
                <w:rFonts w:ascii="Trebuchet MS" w:cs="Trebuchet MS" w:eastAsia="Trebuchet MS" w:hAnsi="Trebuchet MS"/>
                <w:sz w:val="19"/>
                <w:szCs w:val="19"/>
                <w:b w:val="1"/>
                <w:bCs w:val="1"/>
                <w:color w:val="auto"/>
                <w:w w:val="97"/>
              </w:rPr>
              <w:t>Average</w:t>
            </w:r>
          </w:p>
        </w:tc>
      </w:tr>
      <w:tr>
        <w:trPr>
          <w:trHeight w:val="231"/>
        </w:trPr>
        <w:tc>
          <w:tcPr>
            <w:tcW w:w="14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466"/>
              <w:spacing w:after="0"/>
              <w:rPr>
                <w:sz w:val="20"/>
                <w:szCs w:val="20"/>
                <w:color w:val="auto"/>
              </w:rPr>
            </w:pPr>
            <w:r>
              <w:rPr>
                <w:rFonts w:ascii="Trebuchet MS" w:cs="Trebuchet MS" w:eastAsia="Trebuchet MS" w:hAnsi="Trebuchet MS"/>
                <w:sz w:val="19"/>
                <w:szCs w:val="19"/>
                <w:b w:val="1"/>
                <w:bCs w:val="1"/>
                <w:color w:val="auto"/>
              </w:rPr>
              <w:t>Start Date</w:t>
            </w:r>
          </w:p>
        </w:tc>
        <w:tc>
          <w:tcPr>
            <w:tcW w:w="1460" w:type="dxa"/>
            <w:vAlign w:val="bottom"/>
            <w:tcBorders>
              <w:bottom w:val="single" w:sz="8" w:color="auto"/>
            </w:tcBorders>
          </w:tcPr>
          <w:p>
            <w:pPr>
              <w:jc w:val="right"/>
              <w:ind w:right="366"/>
              <w:spacing w:after="0"/>
              <w:rPr>
                <w:sz w:val="20"/>
                <w:szCs w:val="20"/>
                <w:color w:val="auto"/>
              </w:rPr>
            </w:pPr>
            <w:r>
              <w:rPr>
                <w:rFonts w:ascii="Trebuchet MS" w:cs="Trebuchet MS" w:eastAsia="Trebuchet MS" w:hAnsi="Trebuchet MS"/>
                <w:sz w:val="19"/>
                <w:szCs w:val="19"/>
                <w:b w:val="1"/>
                <w:bCs w:val="1"/>
                <w:color w:val="auto"/>
              </w:rPr>
              <w:t>End Date</w:t>
            </w:r>
          </w:p>
        </w:tc>
        <w:tc>
          <w:tcPr>
            <w:tcW w:w="1580" w:type="dxa"/>
            <w:vAlign w:val="bottom"/>
            <w:tcBorders>
              <w:bottom w:val="single" w:sz="8" w:color="auto"/>
            </w:tcBorders>
          </w:tcPr>
          <w:p>
            <w:pPr>
              <w:ind w:left="240"/>
              <w:spacing w:after="0"/>
              <w:rPr>
                <w:sz w:val="20"/>
                <w:szCs w:val="20"/>
                <w:color w:val="auto"/>
              </w:rPr>
            </w:pPr>
            <w:r>
              <w:rPr>
                <w:rFonts w:ascii="Trebuchet MS" w:cs="Trebuchet MS" w:eastAsia="Trebuchet MS" w:hAnsi="Trebuchet MS"/>
                <w:sz w:val="19"/>
                <w:szCs w:val="19"/>
                <w:b w:val="1"/>
                <w:bCs w:val="1"/>
                <w:color w:val="auto"/>
              </w:rPr>
              <w:t>Commodity</w:t>
            </w:r>
          </w:p>
        </w:tc>
        <w:tc>
          <w:tcPr>
            <w:tcW w:w="1760" w:type="dxa"/>
            <w:vAlign w:val="bottom"/>
            <w:tcBorders>
              <w:bottom w:val="single" w:sz="8" w:color="auto"/>
            </w:tcBorders>
          </w:tcPr>
          <w:p>
            <w:pPr>
              <w:ind w:left="320"/>
              <w:spacing w:after="0"/>
              <w:rPr>
                <w:sz w:val="20"/>
                <w:szCs w:val="20"/>
                <w:color w:val="auto"/>
              </w:rPr>
            </w:pPr>
            <w:r>
              <w:rPr>
                <w:rFonts w:ascii="Trebuchet MS" w:cs="Trebuchet MS" w:eastAsia="Trebuchet MS" w:hAnsi="Trebuchet MS"/>
                <w:sz w:val="19"/>
                <w:szCs w:val="19"/>
                <w:b w:val="1"/>
                <w:bCs w:val="1"/>
                <w:color w:val="auto"/>
              </w:rPr>
              <w:t>Quantity</w:t>
            </w:r>
          </w:p>
        </w:tc>
        <w:tc>
          <w:tcPr>
            <w:tcW w:w="1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86"/>
              <w:spacing w:after="0"/>
              <w:rPr>
                <w:sz w:val="20"/>
                <w:szCs w:val="20"/>
                <w:color w:val="auto"/>
              </w:rPr>
            </w:pPr>
            <w:r>
              <w:rPr>
                <w:rFonts w:ascii="Trebuchet MS" w:cs="Trebuchet MS" w:eastAsia="Trebuchet MS" w:hAnsi="Trebuchet MS"/>
                <w:sz w:val="19"/>
                <w:szCs w:val="19"/>
                <w:b w:val="1"/>
                <w:bCs w:val="1"/>
                <w:color w:val="auto"/>
                <w:w w:val="98"/>
              </w:rPr>
              <w:t>Strike Price</w:t>
            </w:r>
          </w:p>
        </w:tc>
      </w:tr>
      <w:tr>
        <w:trPr>
          <w:trHeight w:val="385"/>
        </w:trPr>
        <w:tc>
          <w:tcPr>
            <w:tcW w:w="144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b w:val="1"/>
                <w:bCs w:val="1"/>
                <w:color w:val="auto"/>
              </w:rPr>
              <w:t>Contract 1</w:t>
            </w:r>
          </w:p>
        </w:tc>
        <w:tc>
          <w:tcPr>
            <w:tcW w:w="1960" w:type="dxa"/>
            <w:vAlign w:val="bottom"/>
            <w:tcBorders>
              <w:bottom w:val="single" w:sz="8" w:color="auto"/>
            </w:tcBorders>
          </w:tcPr>
          <w:p>
            <w:pPr>
              <w:jc w:val="right"/>
              <w:ind w:right="106"/>
              <w:spacing w:after="0"/>
              <w:rPr>
                <w:sz w:val="20"/>
                <w:szCs w:val="20"/>
                <w:color w:val="auto"/>
              </w:rPr>
            </w:pPr>
            <w:r>
              <w:rPr>
                <w:rFonts w:ascii="Trebuchet MS" w:cs="Trebuchet MS" w:eastAsia="Trebuchet MS" w:hAnsi="Trebuchet MS"/>
                <w:sz w:val="19"/>
                <w:szCs w:val="19"/>
                <w:color w:val="auto"/>
              </w:rPr>
              <w:t>11/1/2020</w:t>
            </w:r>
          </w:p>
        </w:tc>
        <w:tc>
          <w:tcPr>
            <w:tcW w:w="146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3/31/2021</w:t>
            </w:r>
          </w:p>
        </w:tc>
        <w:tc>
          <w:tcPr>
            <w:tcW w:w="1580" w:type="dxa"/>
            <w:vAlign w:val="bottom"/>
            <w:tcBorders>
              <w:bottom w:val="single" w:sz="8" w:color="auto"/>
            </w:tcBorders>
          </w:tcPr>
          <w:p>
            <w:pPr>
              <w:ind w:left="60"/>
              <w:spacing w:after="0"/>
              <w:rPr>
                <w:sz w:val="20"/>
                <w:szCs w:val="20"/>
                <w:color w:val="auto"/>
              </w:rPr>
            </w:pPr>
            <w:r>
              <w:rPr>
                <w:rFonts w:ascii="Trebuchet MS" w:cs="Trebuchet MS" w:eastAsia="Trebuchet MS" w:hAnsi="Trebuchet MS"/>
                <w:sz w:val="19"/>
                <w:szCs w:val="19"/>
                <w:color w:val="auto"/>
              </w:rPr>
              <w:t>Natural Gas</w:t>
            </w:r>
          </w:p>
        </w:tc>
        <w:tc>
          <w:tcPr>
            <w:tcW w:w="1760" w:type="dxa"/>
            <w:vAlign w:val="bottom"/>
            <w:tcBorders>
              <w:bottom w:val="single" w:sz="8" w:color="auto"/>
            </w:tcBorders>
          </w:tcPr>
          <w:p>
            <w:pPr>
              <w:jc w:val="right"/>
              <w:ind w:right="206"/>
              <w:spacing w:after="0"/>
              <w:rPr>
                <w:sz w:val="20"/>
                <w:szCs w:val="20"/>
                <w:color w:val="auto"/>
              </w:rPr>
            </w:pPr>
            <w:r>
              <w:rPr>
                <w:rFonts w:ascii="Trebuchet MS" w:cs="Trebuchet MS" w:eastAsia="Trebuchet MS" w:hAnsi="Trebuchet MS"/>
                <w:sz w:val="19"/>
                <w:szCs w:val="19"/>
                <w:color w:val="auto"/>
              </w:rPr>
              <w:t>1,208,000</w:t>
            </w:r>
          </w:p>
        </w:tc>
        <w:tc>
          <w:tcPr>
            <w:tcW w:w="1160" w:type="dxa"/>
            <w:vAlign w:val="bottom"/>
            <w:tcBorders>
              <w:bottom w:val="single" w:sz="8" w:color="auto"/>
            </w:tcBorders>
          </w:tcPr>
          <w:p>
            <w:pPr>
              <w:ind w:left="300"/>
              <w:spacing w:after="0"/>
              <w:rPr>
                <w:sz w:val="20"/>
                <w:szCs w:val="20"/>
                <w:color w:val="auto"/>
              </w:rPr>
            </w:pPr>
            <w:r>
              <w:rPr>
                <w:rFonts w:ascii="Trebuchet MS" w:cs="Trebuchet MS" w:eastAsia="Trebuchet MS" w:hAnsi="Trebuchet MS"/>
                <w:sz w:val="19"/>
                <w:szCs w:val="19"/>
                <w:color w:val="auto"/>
              </w:rPr>
              <w:t>MMBTU</w:t>
            </w:r>
          </w:p>
        </w:tc>
        <w:tc>
          <w:tcPr>
            <w:tcW w:w="42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9"/>
                <w:szCs w:val="19"/>
                <w:color w:val="auto"/>
              </w:rPr>
              <w:t>$</w:t>
            </w:r>
          </w:p>
        </w:tc>
        <w:tc>
          <w:tcPr>
            <w:tcW w:w="146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2.601</w:t>
            </w:r>
          </w:p>
        </w:tc>
      </w:tr>
    </w:tbl>
    <w:p>
      <w:pPr>
        <w:spacing w:after="0" w:line="214" w:lineRule="exact"/>
        <w:rPr>
          <w:sz w:val="20"/>
          <w:szCs w:val="20"/>
          <w:color w:val="auto"/>
        </w:rPr>
      </w:pPr>
    </w:p>
    <w:p>
      <w:pPr>
        <w:ind w:right="540"/>
        <w:spacing w:after="0"/>
        <w:rPr>
          <w:sz w:val="20"/>
          <w:szCs w:val="20"/>
          <w:color w:val="auto"/>
        </w:rPr>
      </w:pPr>
      <w:r>
        <w:rPr>
          <w:rFonts w:ascii="Trebuchet MS" w:cs="Trebuchet MS" w:eastAsia="Trebuchet MS" w:hAnsi="Trebuchet MS"/>
          <w:sz w:val="19"/>
          <w:szCs w:val="19"/>
          <w:color w:val="auto"/>
        </w:rPr>
        <w:t>Gross fair values of the Company’s derivative instruments, prior to netting of assets and liabilities subject to a master netting arrangement,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60" w:type="dxa"/>
            <w:vAlign w:val="bottom"/>
          </w:tcPr>
          <w:p>
            <w:pPr>
              <w:jc w:val="center"/>
              <w:ind w:right="66"/>
              <w:spacing w:after="0"/>
              <w:rPr>
                <w:sz w:val="20"/>
                <w:szCs w:val="20"/>
                <w:color w:val="auto"/>
              </w:rPr>
            </w:pPr>
            <w:r>
              <w:rPr>
                <w:rFonts w:ascii="Trebuchet MS" w:cs="Trebuchet MS" w:eastAsia="Trebuchet MS" w:hAnsi="Trebuchet MS"/>
                <w:sz w:val="19"/>
                <w:szCs w:val="19"/>
                <w:b w:val="1"/>
                <w:bCs w:val="1"/>
                <w:color w:val="auto"/>
              </w:rPr>
              <w:t>Derivative</w:t>
            </w:r>
          </w:p>
        </w:tc>
        <w:tc>
          <w:tcPr>
            <w:tcW w:w="4780" w:type="dxa"/>
            <w:vAlign w:val="bottom"/>
          </w:tcPr>
          <w:p>
            <w:pPr>
              <w:spacing w:after="0"/>
              <w:rPr>
                <w:sz w:val="19"/>
                <w:szCs w:val="19"/>
                <w:color w:val="auto"/>
              </w:rPr>
            </w:pPr>
          </w:p>
        </w:tc>
        <w:tc>
          <w:tcPr>
            <w:tcW w:w="2420" w:type="dxa"/>
            <w:vAlign w:val="bottom"/>
          </w:tcPr>
          <w:p>
            <w:pPr>
              <w:jc w:val="right"/>
              <w:ind w:right="6"/>
              <w:spacing w:after="0"/>
              <w:rPr>
                <w:sz w:val="20"/>
                <w:szCs w:val="20"/>
                <w:color w:val="auto"/>
              </w:rPr>
            </w:pPr>
            <w:r>
              <w:rPr>
                <w:rFonts w:ascii="Trebuchet MS" w:cs="Trebuchet MS" w:eastAsia="Trebuchet MS" w:hAnsi="Trebuchet MS"/>
                <w:sz w:val="19"/>
                <w:szCs w:val="19"/>
                <w:b w:val="1"/>
                <w:bCs w:val="1"/>
                <w:color w:val="auto"/>
              </w:rPr>
              <w:t>Fair Value as of</w:t>
            </w:r>
          </w:p>
        </w:tc>
        <w:tc>
          <w:tcPr>
            <w:tcW w:w="880" w:type="dxa"/>
            <w:vAlign w:val="bottom"/>
          </w:tcPr>
          <w:p>
            <w:pPr>
              <w:spacing w:after="0"/>
              <w:rPr>
                <w:sz w:val="19"/>
                <w:szCs w:val="19"/>
                <w:color w:val="auto"/>
              </w:rPr>
            </w:pPr>
          </w:p>
        </w:tc>
      </w:tr>
      <w:tr>
        <w:trPr>
          <w:trHeight w:val="231"/>
        </w:trPr>
        <w:tc>
          <w:tcPr>
            <w:tcW w:w="3160" w:type="dxa"/>
            <w:vAlign w:val="bottom"/>
            <w:tcBorders>
              <w:bottom w:val="single" w:sz="8" w:color="auto"/>
            </w:tcBorders>
          </w:tcPr>
          <w:p>
            <w:pPr>
              <w:jc w:val="center"/>
              <w:ind w:right="66"/>
              <w:spacing w:after="0"/>
              <w:rPr>
                <w:sz w:val="20"/>
                <w:szCs w:val="20"/>
                <w:color w:val="auto"/>
              </w:rPr>
            </w:pPr>
            <w:r>
              <w:rPr>
                <w:rFonts w:ascii="Trebuchet MS" w:cs="Trebuchet MS" w:eastAsia="Trebuchet MS" w:hAnsi="Trebuchet MS"/>
                <w:sz w:val="19"/>
                <w:szCs w:val="19"/>
                <w:b w:val="1"/>
                <w:bCs w:val="1"/>
                <w:color w:val="auto"/>
              </w:rPr>
              <w:t>Financial Instruments</w:t>
            </w:r>
          </w:p>
        </w:tc>
        <w:tc>
          <w:tcPr>
            <w:tcW w:w="4780" w:type="dxa"/>
            <w:vAlign w:val="bottom"/>
            <w:tcBorders>
              <w:bottom w:val="single" w:sz="8" w:color="auto"/>
            </w:tcBorders>
          </w:tcPr>
          <w:p>
            <w:pPr>
              <w:jc w:val="center"/>
              <w:spacing w:after="0"/>
              <w:rPr>
                <w:sz w:val="20"/>
                <w:szCs w:val="20"/>
                <w:color w:val="auto"/>
              </w:rPr>
            </w:pPr>
            <w:r>
              <w:rPr>
                <w:rFonts w:ascii="Trebuchet MS" w:cs="Trebuchet MS" w:eastAsia="Trebuchet MS" w:hAnsi="Trebuchet MS"/>
                <w:sz w:val="19"/>
                <w:szCs w:val="19"/>
                <w:b w:val="1"/>
                <w:bCs w:val="1"/>
                <w:color w:val="auto"/>
                <w:w w:val="99"/>
              </w:rPr>
              <w:t>Balance Sheet Location</w:t>
            </w:r>
          </w:p>
        </w:tc>
        <w:tc>
          <w:tcPr>
            <w:tcW w:w="3300" w:type="dxa"/>
            <w:vAlign w:val="bottom"/>
            <w:tcBorders>
              <w:bottom w:val="single" w:sz="8" w:color="auto"/>
            </w:tcBorders>
            <w:gridSpan w:val="2"/>
          </w:tcPr>
          <w:p>
            <w:pPr>
              <w:jc w:val="right"/>
              <w:ind w:right="646"/>
              <w:spacing w:after="0"/>
              <w:rPr>
                <w:sz w:val="20"/>
                <w:szCs w:val="20"/>
                <w:color w:val="auto"/>
              </w:rPr>
            </w:pPr>
            <w:r>
              <w:rPr>
                <w:rFonts w:ascii="Trebuchet MS" w:cs="Trebuchet MS" w:eastAsia="Trebuchet MS" w:hAnsi="Trebuchet MS"/>
                <w:sz w:val="19"/>
                <w:szCs w:val="19"/>
                <w:b w:val="1"/>
                <w:bCs w:val="1"/>
                <w:color w:val="auto"/>
              </w:rPr>
              <w:t>September 30, 2020</w:t>
            </w:r>
          </w:p>
        </w:tc>
      </w:tr>
      <w:tr>
        <w:trPr>
          <w:trHeight w:val="399"/>
        </w:trPr>
        <w:tc>
          <w:tcPr>
            <w:tcW w:w="3160" w:type="dxa"/>
            <w:vAlign w:val="bottom"/>
          </w:tcPr>
          <w:p>
            <w:pPr>
              <w:spacing w:after="0"/>
              <w:rPr>
                <w:sz w:val="20"/>
                <w:szCs w:val="20"/>
                <w:color w:val="auto"/>
              </w:rPr>
            </w:pPr>
            <w:r>
              <w:rPr>
                <w:rFonts w:ascii="Trebuchet MS" w:cs="Trebuchet MS" w:eastAsia="Trebuchet MS" w:hAnsi="Trebuchet MS"/>
                <w:sz w:val="19"/>
                <w:szCs w:val="19"/>
                <w:color w:val="auto"/>
              </w:rPr>
              <w:t>Commodity Contracts</w:t>
            </w:r>
          </w:p>
        </w:tc>
        <w:tc>
          <w:tcPr>
            <w:tcW w:w="4780" w:type="dxa"/>
            <w:vAlign w:val="bottom"/>
          </w:tcPr>
          <w:p>
            <w:pPr>
              <w:jc w:val="center"/>
              <w:spacing w:after="0"/>
              <w:rPr>
                <w:sz w:val="20"/>
                <w:szCs w:val="20"/>
                <w:color w:val="auto"/>
              </w:rPr>
            </w:pPr>
            <w:r>
              <w:rPr>
                <w:rFonts w:ascii="Trebuchet MS" w:cs="Trebuchet MS" w:eastAsia="Trebuchet MS" w:hAnsi="Trebuchet MS"/>
                <w:sz w:val="19"/>
                <w:szCs w:val="19"/>
                <w:color w:val="auto"/>
                <w:w w:val="99"/>
              </w:rPr>
              <w:t>Current Liabilities-Derivative Liabilities</w:t>
            </w:r>
          </w:p>
        </w:tc>
        <w:tc>
          <w:tcPr>
            <w:tcW w:w="2420" w:type="dxa"/>
            <w:vAlign w:val="bottom"/>
          </w:tcPr>
          <w:p>
            <w:pPr>
              <w:jc w:val="right"/>
              <w:ind w:right="526"/>
              <w:spacing w:after="0"/>
              <w:rPr>
                <w:sz w:val="20"/>
                <w:szCs w:val="20"/>
                <w:color w:val="auto"/>
              </w:rPr>
            </w:pPr>
            <w:r>
              <w:rPr>
                <w:rFonts w:ascii="Trebuchet MS" w:cs="Trebuchet MS" w:eastAsia="Trebuchet MS" w:hAnsi="Trebuchet MS"/>
                <w:sz w:val="19"/>
                <w:szCs w:val="19"/>
                <w:color w:val="auto"/>
              </w:rPr>
              <w:t>$</w:t>
            </w:r>
          </w:p>
        </w:tc>
        <w:tc>
          <w:tcPr>
            <w:tcW w:w="880" w:type="dxa"/>
            <w:vAlign w:val="bottom"/>
          </w:tcPr>
          <w:p>
            <w:pPr>
              <w:jc w:val="right"/>
              <w:ind w:right="26"/>
              <w:spacing w:after="0"/>
              <w:rPr>
                <w:sz w:val="20"/>
                <w:szCs w:val="20"/>
                <w:color w:val="auto"/>
              </w:rPr>
            </w:pPr>
            <w:r>
              <w:rPr>
                <w:rFonts w:ascii="Trebuchet MS" w:cs="Trebuchet MS" w:eastAsia="Trebuchet MS" w:hAnsi="Trebuchet MS"/>
                <w:sz w:val="19"/>
                <w:szCs w:val="19"/>
                <w:color w:val="auto"/>
              </w:rPr>
              <w:t>537,157</w:t>
            </w:r>
          </w:p>
        </w:tc>
      </w:tr>
      <w:tr>
        <w:trPr>
          <w:trHeight w:val="141"/>
        </w:trPr>
        <w:tc>
          <w:tcPr>
            <w:tcW w:w="3160" w:type="dxa"/>
            <w:vAlign w:val="bottom"/>
            <w:tcBorders>
              <w:bottom w:val="single" w:sz="8" w:color="auto"/>
            </w:tcBorders>
          </w:tcPr>
          <w:p>
            <w:pPr>
              <w:spacing w:after="0"/>
              <w:rPr>
                <w:sz w:val="12"/>
                <w:szCs w:val="12"/>
                <w:color w:val="auto"/>
              </w:rPr>
            </w:pPr>
          </w:p>
        </w:tc>
        <w:tc>
          <w:tcPr>
            <w:tcW w:w="4780" w:type="dxa"/>
            <w:vAlign w:val="bottom"/>
            <w:tcBorders>
              <w:bottom w:val="single" w:sz="8" w:color="auto"/>
            </w:tcBorders>
          </w:tcPr>
          <w:p>
            <w:pPr>
              <w:spacing w:after="0"/>
              <w:rPr>
                <w:sz w:val="12"/>
                <w:szCs w:val="12"/>
                <w:color w:val="auto"/>
              </w:rPr>
            </w:pPr>
          </w:p>
        </w:tc>
        <w:tc>
          <w:tcPr>
            <w:tcW w:w="24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r>
      <w:tr>
        <w:trPr>
          <w:trHeight w:val="230"/>
        </w:trPr>
        <w:tc>
          <w:tcPr>
            <w:tcW w:w="316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ind w:right="526"/>
              <w:spacing w:after="0"/>
              <w:rPr>
                <w:sz w:val="20"/>
                <w:szCs w:val="20"/>
                <w:color w:val="auto"/>
              </w:rPr>
            </w:pPr>
            <w:r>
              <w:rPr>
                <w:rFonts w:ascii="Trebuchet MS" w:cs="Trebuchet MS" w:eastAsia="Trebuchet MS" w:hAnsi="Trebuchet MS"/>
                <w:sz w:val="19"/>
                <w:szCs w:val="19"/>
                <w:color w:val="auto"/>
              </w:rPr>
              <w:t>$</w:t>
            </w:r>
          </w:p>
        </w:tc>
        <w:tc>
          <w:tcPr>
            <w:tcW w:w="880" w:type="dxa"/>
            <w:vAlign w:val="bottom"/>
            <w:tcBorders>
              <w:bottom w:val="single" w:sz="8" w:color="auto"/>
            </w:tcBorders>
          </w:tcPr>
          <w:p>
            <w:pPr>
              <w:jc w:val="right"/>
              <w:ind w:right="26"/>
              <w:spacing w:after="0"/>
              <w:rPr>
                <w:sz w:val="20"/>
                <w:szCs w:val="20"/>
                <w:color w:val="auto"/>
              </w:rPr>
            </w:pPr>
            <w:r>
              <w:rPr>
                <w:rFonts w:ascii="Trebuchet MS" w:cs="Trebuchet MS" w:eastAsia="Trebuchet MS" w:hAnsi="Trebuchet MS"/>
                <w:sz w:val="19"/>
                <w:szCs w:val="19"/>
                <w:color w:val="auto"/>
              </w:rPr>
              <w:t>537,157</w:t>
            </w:r>
          </w:p>
        </w:tc>
      </w:tr>
    </w:tbl>
    <w:p>
      <w:pPr>
        <w:spacing w:after="0" w:line="214"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During 2020, the Company entered into certain derivative contracts with Macquarie Investments US Inc. (“Macquarie”). The Company unwound and terminated the derivative contracts in connection with the extinguishment of the debt with Macquarie, after obtaining financing from the Main Street Lending Program. See Note 7.</w:t>
      </w:r>
    </w:p>
    <w:p>
      <w:pPr>
        <w:spacing w:after="0" w:line="208"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All of the gains and losses related to derivative contracts are recorded through the “Gain on derivative instruments” account in the consolidated statement of operations.</w:t>
      </w:r>
    </w:p>
    <w:p>
      <w:pPr>
        <w:spacing w:after="0" w:line="201"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6" w:name="page127"/>
    <w:bookmarkEnd w:id="126"/>
    <w:p>
      <w:pPr>
        <w:jc w:val="center"/>
        <w:ind w:right="2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0">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3" w:lineRule="exact"/>
        <w:rPr>
          <w:sz w:val="20"/>
          <w:szCs w:val="20"/>
          <w:color w:val="auto"/>
        </w:rPr>
      </w:pPr>
    </w:p>
    <w:p>
      <w:pPr>
        <w:ind w:left="440" w:hanging="432"/>
        <w:spacing w:after="0"/>
        <w:tabs>
          <w:tab w:leader="none" w:pos="440" w:val="left"/>
        </w:tabs>
        <w:numPr>
          <w:ilvl w:val="0"/>
          <w:numId w:val="134"/>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Acquisitions and Divestitures</w:t>
      </w:r>
    </w:p>
    <w:p>
      <w:pPr>
        <w:spacing w:after="0" w:line="111"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Leon County Disposition</w:t>
      </w:r>
    </w:p>
    <w:p>
      <w:pPr>
        <w:spacing w:after="0" w:line="107" w:lineRule="exact"/>
        <w:rPr>
          <w:sz w:val="20"/>
          <w:szCs w:val="20"/>
          <w:color w:val="auto"/>
        </w:rPr>
      </w:pPr>
    </w:p>
    <w:p>
      <w:pPr>
        <w:ind w:right="20"/>
        <w:spacing w:after="0"/>
        <w:rPr>
          <w:sz w:val="20"/>
          <w:szCs w:val="20"/>
          <w:color w:val="auto"/>
        </w:rPr>
      </w:pPr>
      <w:r>
        <w:rPr>
          <w:rFonts w:ascii="Trebuchet MS" w:cs="Trebuchet MS" w:eastAsia="Trebuchet MS" w:hAnsi="Trebuchet MS"/>
          <w:sz w:val="19"/>
          <w:szCs w:val="19"/>
          <w:color w:val="auto"/>
        </w:rPr>
        <w:t>In February 2020, the Company closed on the sale of certain oil and natural gas properties located in Leon County, Texas for $75 thousand in proceeds, and was relieved of $288 thousand of plugging liability. The full cost pool was reduced by the net proceeds.</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Brazos County Disposition</w:t>
      </w:r>
    </w:p>
    <w:p>
      <w:pPr>
        <w:spacing w:after="0" w:line="107" w:lineRule="exact"/>
        <w:rPr>
          <w:sz w:val="20"/>
          <w:szCs w:val="20"/>
          <w:color w:val="auto"/>
        </w:rPr>
      </w:pPr>
    </w:p>
    <w:p>
      <w:pPr>
        <w:ind w:right="20"/>
        <w:spacing w:after="0"/>
        <w:rPr>
          <w:sz w:val="20"/>
          <w:szCs w:val="20"/>
          <w:color w:val="auto"/>
        </w:rPr>
      </w:pPr>
      <w:r>
        <w:rPr>
          <w:rFonts w:ascii="Trebuchet MS" w:cs="Trebuchet MS" w:eastAsia="Trebuchet MS" w:hAnsi="Trebuchet MS"/>
          <w:sz w:val="19"/>
          <w:szCs w:val="19"/>
          <w:color w:val="auto"/>
        </w:rPr>
        <w:t>In April 2020, the Company closed on the sale of certain oil and natural gas properties located in Brazos County, Texas. The Company received no proceeds but was relieved of $102 thousand of plugging liability.</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Dewitt County Disposition</w:t>
      </w:r>
    </w:p>
    <w:p>
      <w:pPr>
        <w:spacing w:after="0" w:line="107" w:lineRule="exact"/>
        <w:rPr>
          <w:sz w:val="20"/>
          <w:szCs w:val="20"/>
          <w:color w:val="auto"/>
        </w:rPr>
      </w:pPr>
    </w:p>
    <w:p>
      <w:pPr>
        <w:ind w:right="20"/>
        <w:spacing w:after="0"/>
        <w:rPr>
          <w:sz w:val="20"/>
          <w:szCs w:val="20"/>
          <w:color w:val="auto"/>
        </w:rPr>
      </w:pPr>
      <w:r>
        <w:rPr>
          <w:rFonts w:ascii="Trebuchet MS" w:cs="Trebuchet MS" w:eastAsia="Trebuchet MS" w:hAnsi="Trebuchet MS"/>
          <w:sz w:val="19"/>
          <w:szCs w:val="19"/>
          <w:color w:val="auto"/>
        </w:rPr>
        <w:t>In July 2020, the Company closed on the sale of certain oil and natural gas properties located in Dewitt County, Texas. The Company received no proceeds but was relieved of $42 thousand of plugging liability.</w:t>
      </w:r>
    </w:p>
    <w:p>
      <w:pPr>
        <w:spacing w:after="0" w:line="200" w:lineRule="exact"/>
        <w:rPr>
          <w:sz w:val="20"/>
          <w:szCs w:val="20"/>
          <w:color w:val="auto"/>
        </w:rPr>
      </w:pPr>
    </w:p>
    <w:p>
      <w:pPr>
        <w:ind w:left="440" w:hanging="432"/>
        <w:spacing w:after="0"/>
        <w:tabs>
          <w:tab w:leader="none" w:pos="440" w:val="left"/>
        </w:tabs>
        <w:numPr>
          <w:ilvl w:val="0"/>
          <w:numId w:val="135"/>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Long-Term Debt</w:t>
      </w:r>
    </w:p>
    <w:p>
      <w:pPr>
        <w:spacing w:after="0" w:line="115"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Long-term debt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40" w:type="dxa"/>
            <w:vAlign w:val="bottom"/>
          </w:tcPr>
          <w:p>
            <w:pPr>
              <w:spacing w:after="0"/>
              <w:rPr>
                <w:sz w:val="20"/>
                <w:szCs w:val="20"/>
                <w:color w:val="auto"/>
              </w:rPr>
            </w:pPr>
          </w:p>
        </w:tc>
        <w:tc>
          <w:tcPr>
            <w:tcW w:w="4220" w:type="dxa"/>
            <w:vAlign w:val="bottom"/>
            <w:tcBorders>
              <w:bottom w:val="single" w:sz="8" w:color="auto"/>
            </w:tcBorders>
            <w:gridSpan w:val="2"/>
          </w:tcPr>
          <w:p>
            <w:pPr>
              <w:spacing w:after="0"/>
              <w:rPr>
                <w:sz w:val="20"/>
                <w:szCs w:val="20"/>
                <w:color w:val="auto"/>
              </w:rPr>
            </w:pPr>
            <w:r>
              <w:rPr>
                <w:rFonts w:ascii="Trebuchet MS" w:cs="Trebuchet MS" w:eastAsia="Trebuchet MS" w:hAnsi="Trebuchet MS"/>
                <w:sz w:val="19"/>
                <w:szCs w:val="19"/>
                <w:b w:val="1"/>
                <w:bCs w:val="1"/>
                <w:i w:val="1"/>
                <w:iCs w:val="1"/>
                <w:color w:val="auto"/>
              </w:rPr>
              <w:t>September 30,</w:t>
            </w:r>
          </w:p>
        </w:tc>
        <w:tc>
          <w:tcPr>
            <w:tcW w:w="3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26"/>
              <w:spacing w:after="0"/>
              <w:rPr>
                <w:sz w:val="20"/>
                <w:szCs w:val="20"/>
                <w:color w:val="auto"/>
              </w:rPr>
            </w:pPr>
            <w:r>
              <w:rPr>
                <w:rFonts w:ascii="Trebuchet MS" w:cs="Trebuchet MS" w:eastAsia="Trebuchet MS" w:hAnsi="Trebuchet MS"/>
                <w:sz w:val="19"/>
                <w:szCs w:val="19"/>
                <w:b w:val="1"/>
                <w:bCs w:val="1"/>
                <w:color w:val="auto"/>
              </w:rPr>
              <w:t>2020</w:t>
            </w:r>
          </w:p>
        </w:tc>
        <w:tc>
          <w:tcPr>
            <w:tcW w:w="1700" w:type="dxa"/>
            <w:vAlign w:val="bottom"/>
          </w:tcPr>
          <w:p>
            <w:pPr>
              <w:spacing w:after="0"/>
              <w:rPr>
                <w:sz w:val="20"/>
                <w:szCs w:val="20"/>
                <w:color w:val="auto"/>
              </w:rPr>
            </w:pPr>
          </w:p>
        </w:tc>
      </w:tr>
      <w:tr>
        <w:trPr>
          <w:trHeight w:val="386"/>
        </w:trPr>
        <w:tc>
          <w:tcPr>
            <w:tcW w:w="440" w:type="dxa"/>
            <w:vAlign w:val="bottom"/>
          </w:tcPr>
          <w:p>
            <w:pPr>
              <w:spacing w:after="0"/>
              <w:rPr>
                <w:sz w:val="24"/>
                <w:szCs w:val="24"/>
                <w:color w:val="auto"/>
              </w:rPr>
            </w:pPr>
          </w:p>
        </w:tc>
        <w:tc>
          <w:tcPr>
            <w:tcW w:w="420" w:type="dxa"/>
            <w:vAlign w:val="bottom"/>
          </w:tcPr>
          <w:p>
            <w:pPr>
              <w:spacing w:after="0"/>
              <w:rPr>
                <w:sz w:val="20"/>
                <w:szCs w:val="20"/>
                <w:color w:val="auto"/>
              </w:rPr>
            </w:pPr>
            <w:r>
              <w:rPr>
                <w:rFonts w:ascii="Trebuchet MS" w:cs="Trebuchet MS" w:eastAsia="Trebuchet MS" w:hAnsi="Trebuchet MS"/>
                <w:sz w:val="19"/>
                <w:szCs w:val="19"/>
                <w:color w:val="auto"/>
              </w:rPr>
              <w:t>2020</w:t>
            </w:r>
          </w:p>
        </w:tc>
        <w:tc>
          <w:tcPr>
            <w:tcW w:w="3800" w:type="dxa"/>
            <w:vAlign w:val="bottom"/>
          </w:tcPr>
          <w:p>
            <w:pPr>
              <w:ind w:left="40"/>
              <w:spacing w:after="0"/>
              <w:rPr>
                <w:sz w:val="20"/>
                <w:szCs w:val="20"/>
                <w:color w:val="auto"/>
              </w:rPr>
            </w:pPr>
            <w:r>
              <w:rPr>
                <w:rFonts w:ascii="Trebuchet MS" w:cs="Trebuchet MS" w:eastAsia="Trebuchet MS" w:hAnsi="Trebuchet MS"/>
                <w:sz w:val="19"/>
                <w:szCs w:val="19"/>
                <w:color w:val="auto"/>
              </w:rPr>
              <w:t>Main Street Lending Program Loan</w:t>
            </w:r>
          </w:p>
        </w:tc>
        <w:tc>
          <w:tcPr>
            <w:tcW w:w="3320" w:type="dxa"/>
            <w:vAlign w:val="bottom"/>
          </w:tcPr>
          <w:p>
            <w:pPr>
              <w:jc w:val="right"/>
              <w:ind w:right="206"/>
              <w:spacing w:after="0"/>
              <w:rPr>
                <w:sz w:val="20"/>
                <w:szCs w:val="20"/>
                <w:color w:val="auto"/>
              </w:rPr>
            </w:pPr>
            <w:r>
              <w:rPr>
                <w:rFonts w:ascii="Trebuchet MS" w:cs="Trebuchet MS" w:eastAsia="Trebuchet MS" w:hAnsi="Trebuchet MS"/>
                <w:sz w:val="19"/>
                <w:szCs w:val="19"/>
                <w:color w:val="auto"/>
              </w:rPr>
              <w:t>$</w:t>
            </w:r>
          </w:p>
        </w:tc>
        <w:tc>
          <w:tcPr>
            <w:tcW w:w="158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40,800,000</w:t>
            </w:r>
          </w:p>
        </w:tc>
        <w:tc>
          <w:tcPr>
            <w:tcW w:w="170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Trebuchet MS" w:cs="Trebuchet MS" w:eastAsia="Trebuchet MS" w:hAnsi="Trebuchet MS"/>
                <w:sz w:val="19"/>
                <w:szCs w:val="19"/>
                <w:color w:val="auto"/>
              </w:rPr>
              <w:t>2020</w:t>
            </w:r>
          </w:p>
        </w:tc>
        <w:tc>
          <w:tcPr>
            <w:tcW w:w="3800" w:type="dxa"/>
            <w:vAlign w:val="bottom"/>
            <w:tcBorders>
              <w:bottom w:val="single" w:sz="8" w:color="auto"/>
            </w:tcBorders>
          </w:tcPr>
          <w:p>
            <w:pPr>
              <w:ind w:left="40"/>
              <w:spacing w:after="0"/>
              <w:rPr>
                <w:sz w:val="20"/>
                <w:szCs w:val="20"/>
                <w:color w:val="auto"/>
              </w:rPr>
            </w:pPr>
            <w:r>
              <w:rPr>
                <w:rFonts w:ascii="Trebuchet MS" w:cs="Trebuchet MS" w:eastAsia="Trebuchet MS" w:hAnsi="Trebuchet MS"/>
                <w:sz w:val="19"/>
                <w:szCs w:val="19"/>
                <w:color w:val="auto"/>
              </w:rPr>
              <w:t>Paycheck Protection Program Loan</w:t>
            </w:r>
          </w:p>
        </w:tc>
        <w:tc>
          <w:tcPr>
            <w:tcW w:w="3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501,000</w:t>
            </w:r>
          </w:p>
        </w:tc>
        <w:tc>
          <w:tcPr>
            <w:tcW w:w="1700" w:type="dxa"/>
            <w:vAlign w:val="bottom"/>
          </w:tcPr>
          <w:p>
            <w:pPr>
              <w:spacing w:after="0"/>
              <w:rPr>
                <w:sz w:val="19"/>
                <w:szCs w:val="19"/>
                <w:color w:val="auto"/>
              </w:rPr>
            </w:pPr>
          </w:p>
        </w:tc>
      </w:tr>
      <w:tr>
        <w:trPr>
          <w:trHeight w:val="379"/>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20" w:type="dxa"/>
            <w:vAlign w:val="bottom"/>
          </w:tcPr>
          <w:p>
            <w:pPr>
              <w:jc w:val="right"/>
              <w:ind w:right="206"/>
              <w:spacing w:after="0"/>
              <w:rPr>
                <w:sz w:val="20"/>
                <w:szCs w:val="20"/>
                <w:color w:val="auto"/>
              </w:rPr>
            </w:pPr>
            <w:r>
              <w:rPr>
                <w:rFonts w:ascii="Trebuchet MS" w:cs="Trebuchet MS" w:eastAsia="Trebuchet MS" w:hAnsi="Trebuchet MS"/>
                <w:sz w:val="19"/>
                <w:szCs w:val="19"/>
                <w:color w:val="auto"/>
              </w:rPr>
              <w:t>$</w:t>
            </w:r>
          </w:p>
        </w:tc>
        <w:tc>
          <w:tcPr>
            <w:tcW w:w="158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41,301,000</w:t>
            </w:r>
          </w:p>
        </w:tc>
        <w:tc>
          <w:tcPr>
            <w:tcW w:w="1700" w:type="dxa"/>
            <w:vAlign w:val="bottom"/>
          </w:tcPr>
          <w:p>
            <w:pPr>
              <w:spacing w:after="0"/>
              <w:rPr>
                <w:sz w:val="24"/>
                <w:szCs w:val="24"/>
                <w:color w:val="auto"/>
              </w:rPr>
            </w:pPr>
          </w:p>
        </w:tc>
      </w:tr>
      <w:tr>
        <w:trPr>
          <w:trHeight w:val="222"/>
        </w:trPr>
        <w:tc>
          <w:tcPr>
            <w:tcW w:w="440" w:type="dxa"/>
            <w:vAlign w:val="bottom"/>
          </w:tcPr>
          <w:p>
            <w:pPr>
              <w:spacing w:after="0"/>
              <w:rPr>
                <w:sz w:val="19"/>
                <w:szCs w:val="19"/>
                <w:color w:val="auto"/>
              </w:rPr>
            </w:pPr>
          </w:p>
        </w:tc>
        <w:tc>
          <w:tcPr>
            <w:tcW w:w="4220" w:type="dxa"/>
            <w:vAlign w:val="bottom"/>
            <w:tcBorders>
              <w:bottom w:val="single" w:sz="8" w:color="auto"/>
            </w:tcBorders>
            <w:gridSpan w:val="2"/>
          </w:tcPr>
          <w:p>
            <w:pPr>
              <w:spacing w:after="0"/>
              <w:rPr>
                <w:sz w:val="20"/>
                <w:szCs w:val="20"/>
                <w:color w:val="auto"/>
              </w:rPr>
            </w:pPr>
            <w:r>
              <w:rPr>
                <w:rFonts w:ascii="Trebuchet MS" w:cs="Trebuchet MS" w:eastAsia="Trebuchet MS" w:hAnsi="Trebuchet MS"/>
                <w:sz w:val="19"/>
                <w:szCs w:val="19"/>
                <w:color w:val="auto"/>
              </w:rPr>
              <w:t>Less: Deferred Financing Costs</w:t>
            </w:r>
          </w:p>
        </w:tc>
        <w:tc>
          <w:tcPr>
            <w:tcW w:w="3320" w:type="dxa"/>
            <w:vAlign w:val="bottom"/>
            <w:tcBorders>
              <w:bottom w:val="single" w:sz="8" w:color="auto"/>
            </w:tcBorders>
          </w:tcPr>
          <w:p>
            <w:pPr>
              <w:jc w:val="right"/>
              <w:ind w:right="206"/>
              <w:spacing w:after="0"/>
              <w:rPr>
                <w:sz w:val="20"/>
                <w:szCs w:val="20"/>
                <w:color w:val="auto"/>
              </w:rPr>
            </w:pPr>
            <w:r>
              <w:rPr>
                <w:rFonts w:ascii="Trebuchet MS" w:cs="Trebuchet MS" w:eastAsia="Trebuchet MS" w:hAnsi="Trebuchet MS"/>
                <w:sz w:val="19"/>
                <w:szCs w:val="19"/>
                <w:color w:val="auto"/>
              </w:rPr>
              <w:t>$</w:t>
            </w:r>
          </w:p>
        </w:tc>
        <w:tc>
          <w:tcPr>
            <w:tcW w:w="158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1,007,454</w:t>
            </w:r>
          </w:p>
        </w:tc>
        <w:tc>
          <w:tcPr>
            <w:tcW w:w="1700" w:type="dxa"/>
            <w:vAlign w:val="bottom"/>
          </w:tcPr>
          <w:p>
            <w:pPr>
              <w:spacing w:after="0"/>
              <w:rPr>
                <w:sz w:val="19"/>
                <w:szCs w:val="19"/>
                <w:color w:val="auto"/>
              </w:rPr>
            </w:pPr>
          </w:p>
        </w:tc>
      </w:tr>
      <w:tr>
        <w:trPr>
          <w:trHeight w:val="379"/>
        </w:trPr>
        <w:tc>
          <w:tcPr>
            <w:tcW w:w="440" w:type="dxa"/>
            <w:vAlign w:val="bottom"/>
          </w:tcPr>
          <w:p>
            <w:pPr>
              <w:spacing w:after="0"/>
              <w:rPr>
                <w:sz w:val="24"/>
                <w:szCs w:val="24"/>
                <w:color w:val="auto"/>
              </w:rPr>
            </w:pPr>
          </w:p>
        </w:tc>
        <w:tc>
          <w:tcPr>
            <w:tcW w:w="4220" w:type="dxa"/>
            <w:vAlign w:val="bottom"/>
            <w:tcBorders>
              <w:bottom w:val="single" w:sz="8" w:color="auto"/>
            </w:tcBorders>
            <w:gridSpan w:val="2"/>
          </w:tcPr>
          <w:p>
            <w:pPr>
              <w:spacing w:after="0"/>
              <w:rPr>
                <w:sz w:val="20"/>
                <w:szCs w:val="20"/>
                <w:color w:val="auto"/>
              </w:rPr>
            </w:pPr>
            <w:r>
              <w:rPr>
                <w:rFonts w:ascii="Trebuchet MS" w:cs="Trebuchet MS" w:eastAsia="Trebuchet MS" w:hAnsi="Trebuchet MS"/>
                <w:sz w:val="19"/>
                <w:szCs w:val="19"/>
                <w:color w:val="auto"/>
              </w:rPr>
              <w:t>Long-Term Debt, net</w:t>
            </w:r>
          </w:p>
        </w:tc>
        <w:tc>
          <w:tcPr>
            <w:tcW w:w="3320" w:type="dxa"/>
            <w:vAlign w:val="bottom"/>
            <w:tcBorders>
              <w:bottom w:val="single" w:sz="8" w:color="auto"/>
            </w:tcBorders>
          </w:tcPr>
          <w:p>
            <w:pPr>
              <w:jc w:val="right"/>
              <w:ind w:right="206"/>
              <w:spacing w:after="0"/>
              <w:rPr>
                <w:sz w:val="20"/>
                <w:szCs w:val="20"/>
                <w:color w:val="auto"/>
              </w:rPr>
            </w:pPr>
            <w:r>
              <w:rPr>
                <w:rFonts w:ascii="Trebuchet MS" w:cs="Trebuchet MS" w:eastAsia="Trebuchet MS" w:hAnsi="Trebuchet MS"/>
                <w:sz w:val="19"/>
                <w:szCs w:val="19"/>
                <w:color w:val="auto"/>
              </w:rPr>
              <w:t>$</w:t>
            </w:r>
          </w:p>
        </w:tc>
        <w:tc>
          <w:tcPr>
            <w:tcW w:w="158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40,293,546</w:t>
            </w:r>
          </w:p>
        </w:tc>
        <w:tc>
          <w:tcPr>
            <w:tcW w:w="1700" w:type="dxa"/>
            <w:vAlign w:val="bottom"/>
          </w:tcPr>
          <w:p>
            <w:pPr>
              <w:spacing w:after="0"/>
              <w:rPr>
                <w:sz w:val="24"/>
                <w:szCs w:val="24"/>
                <w:color w:val="auto"/>
              </w:rPr>
            </w:pPr>
          </w:p>
        </w:tc>
      </w:tr>
      <w:tr>
        <w:trPr>
          <w:trHeight w:val="658"/>
        </w:trPr>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320" w:type="dxa"/>
            <w:vAlign w:val="bottom"/>
          </w:tcPr>
          <w:p>
            <w:pPr>
              <w:jc w:val="right"/>
              <w:ind w:right="2146"/>
              <w:spacing w:after="0"/>
              <w:rPr>
                <w:sz w:val="20"/>
                <w:szCs w:val="20"/>
                <w:color w:val="auto"/>
              </w:rPr>
            </w:pPr>
            <w:r>
              <w:rPr>
                <w:rFonts w:ascii="Trebuchet MS" w:cs="Trebuchet MS" w:eastAsia="Trebuchet MS" w:hAnsi="Trebuchet MS"/>
                <w:sz w:val="19"/>
                <w:szCs w:val="19"/>
                <w:b w:val="1"/>
                <w:bCs w:val="1"/>
                <w:color w:val="auto"/>
              </w:rPr>
              <w:t>17</w:t>
            </w:r>
          </w:p>
        </w:tc>
        <w:tc>
          <w:tcPr>
            <w:tcW w:w="15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9"/>
        </w:trPr>
        <w:tc>
          <w:tcPr>
            <w:tcW w:w="4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6" w:right="319" w:bottom="1440" w:gutter="0" w:footer="0" w:header="0"/>
        </w:sectPr>
      </w:pPr>
    </w:p>
    <w:bookmarkStart w:id="127" w:name="page128"/>
    <w:bookmarkEnd w:id="127"/>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3">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PennantPark Credit Facility</w:t>
      </w:r>
    </w:p>
    <w:p>
      <w:pPr>
        <w:spacing w:after="0" w:line="107" w:lineRule="exact"/>
        <w:rPr>
          <w:sz w:val="20"/>
          <w:szCs w:val="20"/>
          <w:color w:val="auto"/>
        </w:rPr>
      </w:pPr>
    </w:p>
    <w:p>
      <w:pPr>
        <w:jc w:val="both"/>
        <w:spacing w:after="0" w:line="239" w:lineRule="auto"/>
        <w:rPr>
          <w:sz w:val="20"/>
          <w:szCs w:val="20"/>
          <w:color w:val="auto"/>
        </w:rPr>
      </w:pPr>
      <w:r>
        <w:rPr>
          <w:rFonts w:ascii="Trebuchet MS" w:cs="Trebuchet MS" w:eastAsia="Trebuchet MS" w:hAnsi="Trebuchet MS"/>
          <w:sz w:val="19"/>
          <w:szCs w:val="19"/>
          <w:color w:val="auto"/>
        </w:rPr>
        <w:t>On September 30, 2019, the Company had a 2017 term loan of $35 million and a 2018 revolving loan of $40 million under a loan agreement with PennantPark. The loan agreement was to mature on July 2, 2022. In October 2019, the loan agreement was amended to increase the revolving loan commitment to $50 million. Both the term loan and revolving loan carried an interest rate of 8% with a 50% paid-in-kind interest option. In December 2019 and January 2020, the loans with PennantPark were restructured and converted to equity, and Holdings issued PennantPark 96,058 common units in satisfaction of the $86 million in debt that Holdings owed to PennantPark.</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Macquarie Credit Facility</w:t>
      </w:r>
    </w:p>
    <w:p>
      <w:pPr>
        <w:spacing w:after="0" w:line="1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On October 16, 2019, RAM, Fayette and Service, as co-borrowers, entered into a $70 million credit facility with Macquarie Investments US Inc. (“Macquarie”) as Administrative Agent for itself. The amount funded at closing was $30.5 million, net of deferred loan costs. The facility included a $30.5 million Tranche A term loan, a $16 million Tranche B term loan and a $23.5 million Tranche C term loan. Wells that were currently drilling were identified as Tranche A wells. Tranche B and Tranche C wells are identified in RAM’s future development plan. Tranche A was funded at closing, and was used to pay a working capital deficit and other development and operating costs of Tranche A wells. Tranches B and C were to be available when certain wells satisfied production targets and other conditions were met.</w:t>
      </w:r>
    </w:p>
    <w:p>
      <w:pPr>
        <w:spacing w:after="0" w:line="209"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Tranche A term loan provided for monthly payments of interest and principal during its term. Interest was charged at LIBOR plus the Applicable Margin of 8.0%. The Tranche A monthly amortization payments varied based on production of the new Fayette wells. The first principal repayment was due November 30, 2019.</w:t>
      </w:r>
    </w:p>
    <w:p>
      <w:pPr>
        <w:spacing w:after="0" w:line="208"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facility was secured by liens on substantially all properties and assets of the borrowers. The loan agreement contained representations, warranties and covenants customary in transactions of this nature, including financial covenants relating to a current ratio, a maximum leverage ratio and a PDP coverage ratio. The facility further provided for certain hedging requirements, and the Company entered into certain hedging agreements during October 2019.</w:t>
      </w:r>
    </w:p>
    <w:p>
      <w:pPr>
        <w:spacing w:after="0" w:line="209"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The Company repaid the credit facility on September 15, 2020 with proceeds from the Main Street Loan as further discussed below. The agreement was terminated at that time.</w:t>
      </w:r>
    </w:p>
    <w:p>
      <w:pPr>
        <w:spacing w:after="0" w:line="203"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Paycheck Protection Program Loan</w:t>
      </w:r>
    </w:p>
    <w:p>
      <w:pPr>
        <w:spacing w:after="0" w:line="107"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On April 29, 2020, the Company entered into a $501 thousand loan with the Paycheck Protection Program through the United States Small Business Administration. The loan has a term of two years and carries an interest rate of 1%. The loan amount is based on approximately 2.5 months’ of payroll, rent and utilities expense and is forgivable upon showing support for applicable expenditures and proof of eligibility requirements. The Company submitted a forgiveness application in September 2020. The Company has elected to use ASC 470 to account for this loan and will record a gain on forgiveness of debt in the period in which the debt is legally forgiven. The application for these funds requires the Company to, in good faith, certify that the current economic uncertainty made the loan request necessary to support the ongoing operations of the Company. The receipt of these funds, and the forgiveness of the loan attendant to these funds, is dependent on the Company having initially qualified for the loan and qualifying for the forgiveness of such loan based on its future adherence to the forgiveness criteria.</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b w:val="1"/>
          <w:bCs w:val="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8" w:name="page129"/>
    <w:bookmarkEnd w:id="128"/>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Main Street Lending Program Loan Facility</w:t>
      </w:r>
    </w:p>
    <w:p>
      <w:pPr>
        <w:spacing w:after="0" w:line="107"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On September 4, 2020, RAM, with Holdings, Fayette and Service, as guarantors, entered into a $40.8 million loan facility with the Main Street Lending Program and Vast Bank (the “Main Street Loan”). The Company used $26.5 million of the proceeds to repay the debt with Macquarie and deferred loan costs.</w:t>
      </w:r>
    </w:p>
    <w:p>
      <w:pPr>
        <w:spacing w:after="0" w:line="208"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Main Street Loan matures in 2025 and carries an interest rate of LIBOR plus 3%. The first interest payment is due October 4, 2021 and each month thereafter. Principal is due as follows: 15% on September 4, 2023, 15% on September 4, 2024, and the remaining 70% on September 4, 2025.</w:t>
      </w:r>
    </w:p>
    <w:p>
      <w:pPr>
        <w:spacing w:after="0" w:line="208"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Main Street Loan is secured by liens on substantially all properties and assets of the borrowers. The loan agreement contains representations, warranties and covenants customary in transactions of this nature, including a financial covenant relating to a minimum debt service coverage ratio, calculated semi-annually. As of September 30, 2020, the Company was in compliance with its financial covenants.</w:t>
      </w:r>
    </w:p>
    <w:p>
      <w:pPr>
        <w:spacing w:after="0" w:line="202" w:lineRule="exact"/>
        <w:rPr>
          <w:sz w:val="20"/>
          <w:szCs w:val="20"/>
          <w:color w:val="auto"/>
        </w:rPr>
      </w:pPr>
    </w:p>
    <w:p>
      <w:pPr>
        <w:ind w:left="440" w:hanging="432"/>
        <w:spacing w:after="0"/>
        <w:tabs>
          <w:tab w:leader="none" w:pos="440" w:val="left"/>
        </w:tabs>
        <w:numPr>
          <w:ilvl w:val="0"/>
          <w:numId w:val="136"/>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Member’s Equity</w:t>
      </w:r>
    </w:p>
    <w:p>
      <w:pPr>
        <w:spacing w:after="0" w:line="115"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PennantPark holds all units in Holdings. Debt restructuring in December 2019 and January 2020 included PennantPark contributing the then outstanding 2017 $35 million term loan plus the 2018 $50 million revolving loan to Holdings, effectively extinguishing the debt. In exchange, Holdings issued PennantPark 96,058 common units. As PennantPark is the sole owner of Holdings, the debt restructuring was deemed a capital transaction at cost basis with no gain or loss recorded. The cost basis of the debt plus interest paid-in-kind immediately prior to the extinguishment and the resulting equity contribution was $86 million on conversion of the debt.</w:t>
      </w:r>
    </w:p>
    <w:p>
      <w:pPr>
        <w:spacing w:after="0" w:line="204" w:lineRule="exact"/>
        <w:rPr>
          <w:sz w:val="20"/>
          <w:szCs w:val="20"/>
          <w:color w:val="auto"/>
        </w:rPr>
      </w:pPr>
    </w:p>
    <w:p>
      <w:pPr>
        <w:ind w:left="440" w:hanging="432"/>
        <w:spacing w:after="0"/>
        <w:tabs>
          <w:tab w:leader="none" w:pos="440" w:val="left"/>
        </w:tabs>
        <w:numPr>
          <w:ilvl w:val="0"/>
          <w:numId w:val="137"/>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Commitments and Contingencies</w:t>
      </w:r>
    </w:p>
    <w:p>
      <w:pPr>
        <w:spacing w:after="0" w:line="115"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20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Leases</w:t>
      </w:r>
    </w:p>
    <w:p>
      <w:pPr>
        <w:spacing w:after="0" w:line="107"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RAM leases office space and certain equipment under non-cancelable operating lease agreements that expire on various dates through 2024. Approximate future minimum lease payments as of September 30, 2020 are as follows:</w:t>
      </w:r>
    </w:p>
    <w:p>
      <w:pPr>
        <w:spacing w:after="0" w:line="216" w:lineRule="exact"/>
        <w:rPr>
          <w:sz w:val="20"/>
          <w:szCs w:val="20"/>
          <w:color w:val="auto"/>
        </w:rPr>
      </w:pPr>
    </w:p>
    <w:p>
      <w:pPr>
        <w:ind w:left="440"/>
        <w:spacing w:after="0"/>
        <w:rPr>
          <w:sz w:val="20"/>
          <w:szCs w:val="20"/>
          <w:color w:val="auto"/>
        </w:rPr>
      </w:pPr>
      <w:r>
        <w:rPr>
          <w:rFonts w:ascii="Trebuchet MS" w:cs="Trebuchet MS" w:eastAsia="Trebuchet MS" w:hAnsi="Trebuchet MS"/>
          <w:sz w:val="19"/>
          <w:szCs w:val="19"/>
          <w:b w:val="1"/>
          <w:bCs w:val="1"/>
          <w:i w:val="1"/>
          <w:iCs w:val="1"/>
          <w:color w:val="auto"/>
        </w:rPr>
        <w:t>Year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635</wp:posOffset>
            </wp:positionV>
            <wp:extent cx="57861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6">
                      <a:extLst>
                        <a:ext uri="{28A0092B-C50C-407E-A947-70E740481C1C}"/>
                      </a:extLst>
                    </a:blip>
                    <a:srcRect/>
                    <a:stretch>
                      <a:fillRect/>
                    </a:stretch>
                  </pic:blipFill>
                  <pic:spPr bwMode="auto">
                    <a:xfrm>
                      <a:off x="0" y="0"/>
                      <a:ext cx="5786120" cy="17145"/>
                    </a:xfrm>
                    <a:prstGeom prst="rect">
                      <a:avLst/>
                    </a:prstGeom>
                    <a:noFill/>
                  </pic:spPr>
                </pic:pic>
              </a:graphicData>
            </a:graphic>
          </wp:anchor>
        </w:drawing>
      </w:r>
    </w:p>
    <w:p>
      <w:pPr>
        <w:spacing w:after="0" w:line="168" w:lineRule="exact"/>
        <w:rPr>
          <w:sz w:val="20"/>
          <w:szCs w:val="20"/>
          <w:color w:val="auto"/>
        </w:rPr>
      </w:pPr>
    </w:p>
    <w:tbl>
      <w:tblPr>
        <w:tblLayout w:type="fixed"/>
        <w:tblInd w:w="440" w:type="dxa"/>
        <w:tblCellMar>
          <w:top w:w="0" w:type="dxa"/>
          <w:left w:w="0" w:type="dxa"/>
          <w:bottom w:w="0" w:type="dxa"/>
          <w:right w:w="0" w:type="dxa"/>
        </w:tblCellMar>
      </w:tblPr>
      <w:tr>
        <w:trPr>
          <w:trHeight w:val="225"/>
        </w:trPr>
        <w:tc>
          <w:tcPr>
            <w:tcW w:w="4340" w:type="dxa"/>
            <w:vAlign w:val="bottom"/>
          </w:tcPr>
          <w:p>
            <w:pPr>
              <w:jc w:val="right"/>
              <w:ind w:right="2766"/>
              <w:spacing w:after="0"/>
              <w:rPr>
                <w:sz w:val="20"/>
                <w:szCs w:val="20"/>
                <w:color w:val="auto"/>
              </w:rPr>
            </w:pPr>
            <w:r>
              <w:rPr>
                <w:rFonts w:ascii="Trebuchet MS" w:cs="Trebuchet MS" w:eastAsia="Trebuchet MS" w:hAnsi="Trebuchet MS"/>
                <w:sz w:val="19"/>
                <w:szCs w:val="19"/>
                <w:color w:val="auto"/>
              </w:rPr>
              <w:t>2021</w:t>
            </w:r>
          </w:p>
        </w:tc>
        <w:tc>
          <w:tcPr>
            <w:tcW w:w="3660" w:type="dxa"/>
            <w:vAlign w:val="bottom"/>
          </w:tcPr>
          <w:p>
            <w:pPr>
              <w:jc w:val="right"/>
              <w:ind w:right="606"/>
              <w:spacing w:after="0"/>
              <w:rPr>
                <w:sz w:val="20"/>
                <w:szCs w:val="20"/>
                <w:color w:val="auto"/>
              </w:rPr>
            </w:pPr>
            <w:r>
              <w:rPr>
                <w:rFonts w:ascii="Trebuchet MS" w:cs="Trebuchet MS" w:eastAsia="Trebuchet MS" w:hAnsi="Trebuchet MS"/>
                <w:sz w:val="19"/>
                <w:szCs w:val="19"/>
                <w:color w:val="auto"/>
              </w:rPr>
              <w:t>$</w:t>
            </w:r>
          </w:p>
        </w:tc>
        <w:tc>
          <w:tcPr>
            <w:tcW w:w="112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458</w:t>
            </w:r>
          </w:p>
        </w:tc>
      </w:tr>
      <w:tr>
        <w:trPr>
          <w:trHeight w:val="229"/>
        </w:trPr>
        <w:tc>
          <w:tcPr>
            <w:tcW w:w="4340" w:type="dxa"/>
            <w:vAlign w:val="bottom"/>
          </w:tcPr>
          <w:p>
            <w:pPr>
              <w:jc w:val="right"/>
              <w:ind w:right="2766"/>
              <w:spacing w:after="0"/>
              <w:rPr>
                <w:sz w:val="20"/>
                <w:szCs w:val="20"/>
                <w:color w:val="auto"/>
              </w:rPr>
            </w:pPr>
            <w:r>
              <w:rPr>
                <w:rFonts w:ascii="Trebuchet MS" w:cs="Trebuchet MS" w:eastAsia="Trebuchet MS" w:hAnsi="Trebuchet MS"/>
                <w:sz w:val="19"/>
                <w:szCs w:val="19"/>
                <w:color w:val="auto"/>
              </w:rPr>
              <w:t>2022</w:t>
            </w:r>
          </w:p>
        </w:tc>
        <w:tc>
          <w:tcPr>
            <w:tcW w:w="3660" w:type="dxa"/>
            <w:vAlign w:val="bottom"/>
          </w:tcPr>
          <w:p>
            <w:pPr>
              <w:spacing w:after="0"/>
              <w:rPr>
                <w:sz w:val="19"/>
                <w:szCs w:val="19"/>
                <w:color w:val="auto"/>
              </w:rPr>
            </w:pPr>
          </w:p>
        </w:tc>
        <w:tc>
          <w:tcPr>
            <w:tcW w:w="112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389</w:t>
            </w:r>
          </w:p>
        </w:tc>
      </w:tr>
      <w:tr>
        <w:trPr>
          <w:trHeight w:val="230"/>
        </w:trPr>
        <w:tc>
          <w:tcPr>
            <w:tcW w:w="4340" w:type="dxa"/>
            <w:vAlign w:val="bottom"/>
          </w:tcPr>
          <w:p>
            <w:pPr>
              <w:jc w:val="right"/>
              <w:ind w:right="2766"/>
              <w:spacing w:after="0"/>
              <w:rPr>
                <w:sz w:val="20"/>
                <w:szCs w:val="20"/>
                <w:color w:val="auto"/>
              </w:rPr>
            </w:pPr>
            <w:r>
              <w:rPr>
                <w:rFonts w:ascii="Trebuchet MS" w:cs="Trebuchet MS" w:eastAsia="Trebuchet MS" w:hAnsi="Trebuchet MS"/>
                <w:sz w:val="19"/>
                <w:szCs w:val="19"/>
                <w:color w:val="auto"/>
              </w:rPr>
              <w:t>2023</w:t>
            </w:r>
          </w:p>
        </w:tc>
        <w:tc>
          <w:tcPr>
            <w:tcW w:w="3660" w:type="dxa"/>
            <w:vAlign w:val="bottom"/>
          </w:tcPr>
          <w:p>
            <w:pPr>
              <w:spacing w:after="0"/>
              <w:rPr>
                <w:sz w:val="19"/>
                <w:szCs w:val="19"/>
                <w:color w:val="auto"/>
              </w:rPr>
            </w:pPr>
          </w:p>
        </w:tc>
        <w:tc>
          <w:tcPr>
            <w:tcW w:w="112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108</w:t>
            </w:r>
          </w:p>
        </w:tc>
      </w:tr>
      <w:tr>
        <w:trPr>
          <w:trHeight w:val="230"/>
        </w:trPr>
        <w:tc>
          <w:tcPr>
            <w:tcW w:w="4340" w:type="dxa"/>
            <w:vAlign w:val="bottom"/>
          </w:tcPr>
          <w:p>
            <w:pPr>
              <w:jc w:val="right"/>
              <w:ind w:right="2766"/>
              <w:spacing w:after="0"/>
              <w:rPr>
                <w:sz w:val="20"/>
                <w:szCs w:val="20"/>
                <w:color w:val="auto"/>
              </w:rPr>
            </w:pPr>
            <w:r>
              <w:rPr>
                <w:rFonts w:ascii="Trebuchet MS" w:cs="Trebuchet MS" w:eastAsia="Trebuchet MS" w:hAnsi="Trebuchet MS"/>
                <w:sz w:val="19"/>
                <w:szCs w:val="19"/>
                <w:color w:val="auto"/>
              </w:rPr>
              <w:t>2024</w:t>
            </w:r>
          </w:p>
        </w:tc>
        <w:tc>
          <w:tcPr>
            <w:tcW w:w="3660" w:type="dxa"/>
            <w:vAlign w:val="bottom"/>
          </w:tcPr>
          <w:p>
            <w:pPr>
              <w:spacing w:after="0"/>
              <w:rPr>
                <w:sz w:val="19"/>
                <w:szCs w:val="19"/>
                <w:color w:val="auto"/>
              </w:rPr>
            </w:pPr>
          </w:p>
        </w:tc>
        <w:tc>
          <w:tcPr>
            <w:tcW w:w="1120" w:type="dxa"/>
            <w:vAlign w:val="bottom"/>
          </w:tcPr>
          <w:p>
            <w:pPr>
              <w:jc w:val="right"/>
              <w:ind w:right="6"/>
              <w:spacing w:after="0"/>
              <w:rPr>
                <w:sz w:val="20"/>
                <w:szCs w:val="20"/>
                <w:color w:val="auto"/>
              </w:rPr>
            </w:pPr>
            <w:r>
              <w:rPr>
                <w:rFonts w:ascii="Trebuchet MS" w:cs="Trebuchet MS" w:eastAsia="Trebuchet MS" w:hAnsi="Trebuchet MS"/>
                <w:sz w:val="19"/>
                <w:szCs w:val="19"/>
                <w:color w:val="auto"/>
              </w:rPr>
              <w:t>9</w:t>
            </w:r>
          </w:p>
        </w:tc>
      </w:tr>
      <w:tr>
        <w:trPr>
          <w:trHeight w:val="229"/>
        </w:trPr>
        <w:tc>
          <w:tcPr>
            <w:tcW w:w="4340" w:type="dxa"/>
            <w:vAlign w:val="bottom"/>
            <w:tcBorders>
              <w:bottom w:val="single" w:sz="8" w:color="auto"/>
            </w:tcBorders>
          </w:tcPr>
          <w:p>
            <w:pPr>
              <w:jc w:val="right"/>
              <w:ind w:right="2766"/>
              <w:spacing w:after="0"/>
              <w:rPr>
                <w:sz w:val="20"/>
                <w:szCs w:val="20"/>
                <w:color w:val="auto"/>
              </w:rPr>
            </w:pPr>
            <w:r>
              <w:rPr>
                <w:rFonts w:ascii="Trebuchet MS" w:cs="Trebuchet MS" w:eastAsia="Trebuchet MS" w:hAnsi="Trebuchet MS"/>
                <w:sz w:val="19"/>
                <w:szCs w:val="19"/>
                <w:color w:val="auto"/>
              </w:rPr>
              <w:t>2025</w:t>
            </w:r>
          </w:p>
        </w:tc>
        <w:tc>
          <w:tcPr>
            <w:tcW w:w="3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w:t>
            </w:r>
          </w:p>
        </w:tc>
      </w:tr>
      <w:tr>
        <w:trPr>
          <w:trHeight w:val="385"/>
        </w:trPr>
        <w:tc>
          <w:tcPr>
            <w:tcW w:w="43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jc w:val="right"/>
              <w:ind w:right="606"/>
              <w:spacing w:after="0"/>
              <w:rPr>
                <w:sz w:val="20"/>
                <w:szCs w:val="20"/>
                <w:color w:val="auto"/>
              </w:rPr>
            </w:pPr>
            <w:r>
              <w:rPr>
                <w:rFonts w:ascii="Trebuchet MS" w:cs="Trebuchet MS" w:eastAsia="Trebuchet MS" w:hAnsi="Trebuchet MS"/>
                <w:sz w:val="19"/>
                <w:szCs w:val="19"/>
                <w:color w:val="auto"/>
              </w:rPr>
              <w:t>$</w:t>
            </w:r>
          </w:p>
        </w:tc>
        <w:tc>
          <w:tcPr>
            <w:tcW w:w="1120" w:type="dxa"/>
            <w:vAlign w:val="bottom"/>
            <w:tcBorders>
              <w:bottom w:val="single" w:sz="8" w:color="auto"/>
            </w:tcBorders>
          </w:tcPr>
          <w:p>
            <w:pPr>
              <w:jc w:val="right"/>
              <w:ind w:right="6"/>
              <w:spacing w:after="0"/>
              <w:rPr>
                <w:sz w:val="20"/>
                <w:szCs w:val="20"/>
                <w:color w:val="auto"/>
              </w:rPr>
            </w:pPr>
            <w:r>
              <w:rPr>
                <w:rFonts w:ascii="Trebuchet MS" w:cs="Trebuchet MS" w:eastAsia="Trebuchet MS" w:hAnsi="Trebuchet MS"/>
                <w:sz w:val="19"/>
                <w:szCs w:val="19"/>
                <w:color w:val="auto"/>
              </w:rPr>
              <w:t>964</w:t>
            </w:r>
          </w:p>
        </w:tc>
      </w:tr>
    </w:tbl>
    <w:p>
      <w:pPr>
        <w:spacing w:after="0" w:line="214"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Rent expense of approximately $0.5 million was incurred under operating leases for the year ended September 30, 2020.</w:t>
      </w:r>
    </w:p>
    <w:p>
      <w:pPr>
        <w:spacing w:after="0" w:line="205" w:lineRule="exact"/>
        <w:rPr>
          <w:sz w:val="20"/>
          <w:szCs w:val="20"/>
          <w:color w:val="auto"/>
        </w:rPr>
      </w:pPr>
    </w:p>
    <w:p>
      <w:pPr>
        <w:ind w:left="5520"/>
        <w:spacing w:after="0"/>
        <w:rPr>
          <w:sz w:val="20"/>
          <w:szCs w:val="20"/>
          <w:color w:val="auto"/>
        </w:rPr>
      </w:pPr>
      <w:r>
        <w:rPr>
          <w:rFonts w:ascii="Trebuchet MS" w:cs="Trebuchet MS" w:eastAsia="Trebuchet MS" w:hAnsi="Trebuchet MS"/>
          <w:sz w:val="19"/>
          <w:szCs w:val="19"/>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29" w:name="page130"/>
    <w:bookmarkEnd w:id="129"/>
    <w:p>
      <w:pPr>
        <w:jc w:val="center"/>
        <w:ind w:right="-19"/>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10. Related Party Transactions</w:t>
      </w:r>
    </w:p>
    <w:p>
      <w:pPr>
        <w:spacing w:after="0" w:line="115"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RAM made certain payments on behalf of an officer totaling $59 thousand in 2020, which are due to the Company as of September 30, 2020.</w:t>
      </w:r>
    </w:p>
    <w:p>
      <w:pPr>
        <w:spacing w:after="0" w:line="200" w:lineRule="exact"/>
        <w:rPr>
          <w:sz w:val="20"/>
          <w:szCs w:val="20"/>
          <w:color w:val="auto"/>
        </w:rPr>
      </w:pPr>
    </w:p>
    <w:p>
      <w:pPr>
        <w:spacing w:after="0"/>
        <w:rPr>
          <w:sz w:val="20"/>
          <w:szCs w:val="20"/>
          <w:color w:val="auto"/>
        </w:rPr>
      </w:pPr>
      <w:r>
        <w:rPr>
          <w:rFonts w:ascii="Trebuchet MS" w:cs="Trebuchet MS" w:eastAsia="Trebuchet MS" w:hAnsi="Trebuchet MS"/>
          <w:sz w:val="22"/>
          <w:szCs w:val="22"/>
          <w:b w:val="1"/>
          <w:bCs w:val="1"/>
          <w:color w:val="auto"/>
        </w:rPr>
        <w:t>11. Subsequent Events</w:t>
      </w:r>
    </w:p>
    <w:p>
      <w:pPr>
        <w:spacing w:after="0" w:line="115"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evaluates events and transactions occurring after the balance sheet date and before the consolidated financial statements are available for issuance. Such events and transactions have been evaluated through November 16, 2020, the date the consolidated financial statements were available to be issued.</w:t>
      </w:r>
    </w:p>
    <w:p>
      <w:pPr>
        <w:spacing w:after="0" w:line="20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 entered derivative positions in October and November 2020, as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5349240" cy="10629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9">
                      <a:extLst>
                        <a:ext uri="{28A0092B-C50C-407E-A947-70E740481C1C}"/>
                      </a:extLst>
                    </a:blip>
                    <a:srcRect/>
                    <a:stretch>
                      <a:fillRect/>
                    </a:stretch>
                  </pic:blipFill>
                  <pic:spPr bwMode="auto">
                    <a:xfrm>
                      <a:off x="0" y="0"/>
                      <a:ext cx="534924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rebuchet MS" w:cs="Trebuchet MS" w:eastAsia="Trebuchet MS" w:hAnsi="Trebuchet MS"/>
          <w:sz w:val="19"/>
          <w:szCs w:val="19"/>
          <w:b w:val="1"/>
          <w:bCs w:val="1"/>
          <w:color w:val="auto"/>
        </w:rPr>
        <w:t>20</w:t>
      </w:r>
    </w:p>
    <w:p>
      <w:pPr>
        <w:sectPr>
          <w:pgSz w:w="11900" w:h="16838" w:orient="portrait"/>
          <w:cols w:equalWidth="0" w:num="1">
            <w:col w:w="11240"/>
          </w:cols>
          <w:pgMar w:left="320" w:top="136" w:right="339" w:bottom="1440" w:gutter="0" w:footer="0" w:header="0"/>
        </w:sectPr>
      </w:pPr>
    </w:p>
    <w:bookmarkStart w:id="130" w:name="page131"/>
    <w:bookmarkEnd w:id="130"/>
    <w:p>
      <w:pPr>
        <w:ind w:left="8940"/>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49465" cy="72955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0">
                      <a:extLst>
                        <a:ext uri="{28A0092B-C50C-407E-A947-70E740481C1C}"/>
                      </a:extLst>
                    </a:blip>
                    <a:srcRect/>
                    <a:stretch>
                      <a:fillRect/>
                    </a:stretch>
                  </pic:blipFill>
                  <pic:spPr bwMode="auto">
                    <a:xfrm>
                      <a:off x="0" y="0"/>
                      <a:ext cx="7149465" cy="7295515"/>
                    </a:xfrm>
                    <a:prstGeom prst="rect">
                      <a:avLst/>
                    </a:prstGeom>
                    <a:noFill/>
                  </pic:spPr>
                </pic:pic>
              </a:graphicData>
            </a:graphic>
          </wp:anchor>
        </w:drawing>
      </w:r>
    </w:p>
    <w:p>
      <w:pPr>
        <w:sectPr>
          <w:pgSz w:w="11900" w:h="16838" w:orient="portrait"/>
          <w:cols w:equalWidth="0" w:num="1">
            <w:col w:w="10120"/>
          </w:cols>
          <w:pgMar w:left="1440" w:top="110" w:right="339" w:bottom="1440" w:gutter="0" w:footer="0" w:header="0"/>
        </w:sectPr>
      </w:pPr>
    </w:p>
    <w:bookmarkStart w:id="131" w:name="page132"/>
    <w:bookmarkEnd w:id="131"/>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RAM ENERGY HOLDINGS LLC</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39370</wp:posOffset>
            </wp:positionV>
            <wp:extent cx="7132320" cy="342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Consolidated Financial Statements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of and for the Year Ended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4052570</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342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7800" w:type="dxa"/>
            <w:vAlign w:val="bottom"/>
          </w:tcPr>
          <w:p>
            <w:pPr>
              <w:spacing w:after="0"/>
              <w:rPr>
                <w:sz w:val="23"/>
                <w:szCs w:val="23"/>
                <w:color w:val="auto"/>
              </w:rPr>
            </w:pPr>
          </w:p>
        </w:tc>
        <w:tc>
          <w:tcPr>
            <w:tcW w:w="3440" w:type="dxa"/>
            <w:vAlign w:val="bottom"/>
          </w:tcPr>
          <w:p>
            <w:pPr>
              <w:jc w:val="right"/>
              <w:spacing w:after="0"/>
              <w:rPr>
                <w:sz w:val="20"/>
                <w:szCs w:val="20"/>
                <w:color w:val="auto"/>
              </w:rPr>
            </w:pPr>
            <w:r>
              <w:rPr>
                <w:rFonts w:ascii="Arial" w:cs="Arial" w:eastAsia="Arial" w:hAnsi="Arial"/>
                <w:sz w:val="19"/>
                <w:szCs w:val="19"/>
                <w:b w:val="1"/>
                <w:bCs w:val="1"/>
                <w:color w:val="auto"/>
              </w:rPr>
              <w:t>Page</w:t>
            </w:r>
          </w:p>
        </w:tc>
      </w:tr>
      <w:tr>
        <w:trPr>
          <w:trHeight w:val="459"/>
        </w:trPr>
        <w:tc>
          <w:tcPr>
            <w:tcW w:w="7800" w:type="dxa"/>
            <w:vAlign w:val="bottom"/>
          </w:tcPr>
          <w:p>
            <w:pPr>
              <w:spacing w:after="0"/>
              <w:rPr>
                <w:sz w:val="20"/>
                <w:szCs w:val="20"/>
                <w:color w:val="auto"/>
              </w:rPr>
            </w:pPr>
            <w:r>
              <w:rPr>
                <w:rFonts w:ascii="Arial" w:cs="Arial" w:eastAsia="Arial" w:hAnsi="Arial"/>
                <w:sz w:val="19"/>
                <w:szCs w:val="19"/>
                <w:b w:val="1"/>
                <w:bCs w:val="1"/>
                <w:color w:val="auto"/>
              </w:rPr>
              <w:t>Independent Auditor’s Report</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59"/>
        </w:trPr>
        <w:tc>
          <w:tcPr>
            <w:tcW w:w="7800" w:type="dxa"/>
            <w:vAlign w:val="bottom"/>
          </w:tcPr>
          <w:p>
            <w:pPr>
              <w:spacing w:after="0"/>
              <w:rPr>
                <w:sz w:val="20"/>
                <w:szCs w:val="20"/>
                <w:color w:val="auto"/>
              </w:rPr>
            </w:pPr>
            <w:r>
              <w:rPr>
                <w:rFonts w:ascii="Arial" w:cs="Arial" w:eastAsia="Arial" w:hAnsi="Arial"/>
                <w:sz w:val="19"/>
                <w:szCs w:val="19"/>
                <w:b w:val="1"/>
                <w:bCs w:val="1"/>
                <w:color w:val="auto"/>
              </w:rPr>
              <w:t>Consolidated Financial Statements</w:t>
            </w:r>
          </w:p>
        </w:tc>
        <w:tc>
          <w:tcPr>
            <w:tcW w:w="3440" w:type="dxa"/>
            <w:vAlign w:val="bottom"/>
          </w:tcPr>
          <w:p>
            <w:pPr>
              <w:spacing w:after="0"/>
              <w:rPr>
                <w:sz w:val="24"/>
                <w:szCs w:val="24"/>
                <w:color w:val="auto"/>
              </w:rPr>
            </w:pPr>
          </w:p>
        </w:tc>
      </w:tr>
      <w:tr>
        <w:trPr>
          <w:trHeight w:val="455"/>
        </w:trPr>
        <w:tc>
          <w:tcPr>
            <w:tcW w:w="7800" w:type="dxa"/>
            <w:vAlign w:val="bottom"/>
          </w:tcPr>
          <w:p>
            <w:pPr>
              <w:ind w:left="220"/>
              <w:spacing w:after="0"/>
              <w:rPr>
                <w:sz w:val="20"/>
                <w:szCs w:val="20"/>
                <w:color w:val="auto"/>
              </w:rPr>
            </w:pPr>
            <w:r>
              <w:rPr>
                <w:rFonts w:ascii="Arial" w:cs="Arial" w:eastAsia="Arial" w:hAnsi="Arial"/>
                <w:sz w:val="19"/>
                <w:szCs w:val="19"/>
                <w:color w:val="auto"/>
              </w:rPr>
              <w:t>Consolidated Balance Sheet as of September 30, 2019</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414"/>
        </w:trPr>
        <w:tc>
          <w:tcPr>
            <w:tcW w:w="7800" w:type="dxa"/>
            <w:vAlign w:val="bottom"/>
          </w:tcPr>
          <w:p>
            <w:pPr>
              <w:ind w:left="220"/>
              <w:spacing w:after="0"/>
              <w:rPr>
                <w:sz w:val="20"/>
                <w:szCs w:val="20"/>
                <w:color w:val="auto"/>
              </w:rPr>
            </w:pPr>
            <w:r>
              <w:rPr>
                <w:rFonts w:ascii="Arial" w:cs="Arial" w:eastAsia="Arial" w:hAnsi="Arial"/>
                <w:sz w:val="19"/>
                <w:szCs w:val="19"/>
                <w:color w:val="auto"/>
              </w:rPr>
              <w:t>Consolidated Statement of Operations</w:t>
            </w:r>
          </w:p>
        </w:tc>
        <w:tc>
          <w:tcPr>
            <w:tcW w:w="3440" w:type="dxa"/>
            <w:vAlign w:val="bottom"/>
          </w:tcPr>
          <w:p>
            <w:pPr>
              <w:spacing w:after="0"/>
              <w:rPr>
                <w:sz w:val="24"/>
                <w:szCs w:val="24"/>
                <w:color w:val="auto"/>
              </w:rPr>
            </w:pPr>
          </w:p>
        </w:tc>
      </w:tr>
      <w:tr>
        <w:trPr>
          <w:trHeight w:val="261"/>
        </w:trPr>
        <w:tc>
          <w:tcPr>
            <w:tcW w:w="7800" w:type="dxa"/>
            <w:vAlign w:val="bottom"/>
          </w:tcPr>
          <w:p>
            <w:pPr>
              <w:ind w:left="380"/>
              <w:spacing w:after="0"/>
              <w:rPr>
                <w:sz w:val="20"/>
                <w:szCs w:val="20"/>
                <w:color w:val="auto"/>
              </w:rPr>
            </w:pPr>
            <w:r>
              <w:rPr>
                <w:rFonts w:ascii="Arial" w:cs="Arial" w:eastAsia="Arial" w:hAnsi="Arial"/>
                <w:sz w:val="19"/>
                <w:szCs w:val="19"/>
                <w:color w:val="auto"/>
              </w:rPr>
              <w:t>for the Year Ended September 30, 2019</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14"/>
        </w:trPr>
        <w:tc>
          <w:tcPr>
            <w:tcW w:w="7800" w:type="dxa"/>
            <w:vAlign w:val="bottom"/>
          </w:tcPr>
          <w:p>
            <w:pPr>
              <w:ind w:left="220"/>
              <w:spacing w:after="0"/>
              <w:rPr>
                <w:sz w:val="20"/>
                <w:szCs w:val="20"/>
                <w:color w:val="auto"/>
              </w:rPr>
            </w:pPr>
            <w:r>
              <w:rPr>
                <w:rFonts w:ascii="Arial" w:cs="Arial" w:eastAsia="Arial" w:hAnsi="Arial"/>
                <w:sz w:val="19"/>
                <w:szCs w:val="19"/>
                <w:color w:val="auto"/>
              </w:rPr>
              <w:t>Consolidated Statement of Member’s Deficit</w:t>
            </w:r>
          </w:p>
        </w:tc>
        <w:tc>
          <w:tcPr>
            <w:tcW w:w="3440" w:type="dxa"/>
            <w:vAlign w:val="bottom"/>
          </w:tcPr>
          <w:p>
            <w:pPr>
              <w:spacing w:after="0"/>
              <w:rPr>
                <w:sz w:val="24"/>
                <w:szCs w:val="24"/>
                <w:color w:val="auto"/>
              </w:rPr>
            </w:pPr>
          </w:p>
        </w:tc>
      </w:tr>
      <w:tr>
        <w:trPr>
          <w:trHeight w:val="261"/>
        </w:trPr>
        <w:tc>
          <w:tcPr>
            <w:tcW w:w="7800" w:type="dxa"/>
            <w:vAlign w:val="bottom"/>
          </w:tcPr>
          <w:p>
            <w:pPr>
              <w:ind w:left="380"/>
              <w:spacing w:after="0"/>
              <w:rPr>
                <w:sz w:val="20"/>
                <w:szCs w:val="20"/>
                <w:color w:val="auto"/>
              </w:rPr>
            </w:pPr>
            <w:r>
              <w:rPr>
                <w:rFonts w:ascii="Arial" w:cs="Arial" w:eastAsia="Arial" w:hAnsi="Arial"/>
                <w:sz w:val="19"/>
                <w:szCs w:val="19"/>
                <w:color w:val="auto"/>
              </w:rPr>
              <w:t>for the Year Ended September 30, 2019</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14"/>
        </w:trPr>
        <w:tc>
          <w:tcPr>
            <w:tcW w:w="7800" w:type="dxa"/>
            <w:vAlign w:val="bottom"/>
          </w:tcPr>
          <w:p>
            <w:pPr>
              <w:ind w:left="220"/>
              <w:spacing w:after="0"/>
              <w:rPr>
                <w:sz w:val="20"/>
                <w:szCs w:val="20"/>
                <w:color w:val="auto"/>
              </w:rPr>
            </w:pPr>
            <w:r>
              <w:rPr>
                <w:rFonts w:ascii="Arial" w:cs="Arial" w:eastAsia="Arial" w:hAnsi="Arial"/>
                <w:sz w:val="19"/>
                <w:szCs w:val="19"/>
                <w:color w:val="auto"/>
              </w:rPr>
              <w:t>Consolidated Statement of Cash Flows</w:t>
            </w:r>
          </w:p>
        </w:tc>
        <w:tc>
          <w:tcPr>
            <w:tcW w:w="3440" w:type="dxa"/>
            <w:vAlign w:val="bottom"/>
          </w:tcPr>
          <w:p>
            <w:pPr>
              <w:spacing w:after="0"/>
              <w:rPr>
                <w:sz w:val="24"/>
                <w:szCs w:val="24"/>
                <w:color w:val="auto"/>
              </w:rPr>
            </w:pPr>
          </w:p>
        </w:tc>
      </w:tr>
      <w:tr>
        <w:trPr>
          <w:trHeight w:val="261"/>
        </w:trPr>
        <w:tc>
          <w:tcPr>
            <w:tcW w:w="7800" w:type="dxa"/>
            <w:vAlign w:val="bottom"/>
          </w:tcPr>
          <w:p>
            <w:pPr>
              <w:ind w:left="380"/>
              <w:spacing w:after="0"/>
              <w:rPr>
                <w:sz w:val="20"/>
                <w:szCs w:val="20"/>
                <w:color w:val="auto"/>
              </w:rPr>
            </w:pPr>
            <w:r>
              <w:rPr>
                <w:rFonts w:ascii="Arial" w:cs="Arial" w:eastAsia="Arial" w:hAnsi="Arial"/>
                <w:sz w:val="19"/>
                <w:szCs w:val="19"/>
                <w:color w:val="auto"/>
              </w:rPr>
              <w:t>for the Year Ended September 30, 2019</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459"/>
        </w:trPr>
        <w:tc>
          <w:tcPr>
            <w:tcW w:w="7800" w:type="dxa"/>
            <w:vAlign w:val="bottom"/>
          </w:tcPr>
          <w:p>
            <w:pPr>
              <w:ind w:left="220"/>
              <w:spacing w:after="0"/>
              <w:rPr>
                <w:sz w:val="20"/>
                <w:szCs w:val="20"/>
                <w:color w:val="auto"/>
              </w:rPr>
            </w:pPr>
            <w:r>
              <w:rPr>
                <w:rFonts w:ascii="Arial" w:cs="Arial" w:eastAsia="Arial" w:hAnsi="Arial"/>
                <w:sz w:val="19"/>
                <w:szCs w:val="19"/>
                <w:color w:val="auto"/>
              </w:rPr>
              <w:t>Notes to Consolidated Financial Statements</w:t>
            </w: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10-19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33" w:name="page134"/>
    <w:bookmarkEnd w:id="133"/>
    <w:p>
      <w:pPr>
        <w:ind w:left="4060"/>
        <w:spacing w:after="0"/>
        <w:tabs>
          <w:tab w:leader="none" w:pos="4380" w:val="left"/>
        </w:tabs>
        <w:rPr>
          <w:sz w:val="20"/>
          <w:szCs w:val="20"/>
          <w:color w:val="auto"/>
        </w:rPr>
      </w:pPr>
      <w:r>
        <w:rPr>
          <w:rFonts w:ascii="Arial" w:cs="Arial" w:eastAsia="Arial" w:hAnsi="Arial"/>
          <w:sz w:val="14"/>
          <w:szCs w:val="14"/>
          <w:color w:val="685040"/>
        </w:rPr>
        <w:t>Tel:</w:t>
      </w:r>
      <w:r>
        <w:rPr>
          <w:sz w:val="20"/>
          <w:szCs w:val="20"/>
          <w:color w:val="auto"/>
        </w:rPr>
        <w:tab/>
      </w:r>
      <w:r>
        <w:rPr>
          <w:rFonts w:ascii="Arial" w:cs="Arial" w:eastAsia="Arial" w:hAnsi="Arial"/>
          <w:sz w:val="13"/>
          <w:szCs w:val="13"/>
          <w:color w:val="685040"/>
        </w:rPr>
        <w:t>713-960-1706</w:t>
      </w:r>
    </w:p>
    <w:p>
      <w:pPr>
        <w:spacing w:after="0" w:line="19" w:lineRule="exact"/>
        <w:rPr>
          <w:sz w:val="20"/>
          <w:szCs w:val="20"/>
          <w:color w:val="auto"/>
        </w:rPr>
      </w:pPr>
    </w:p>
    <w:p>
      <w:pPr>
        <w:ind w:left="4060"/>
        <w:spacing w:after="0"/>
        <w:tabs>
          <w:tab w:leader="none" w:pos="4440" w:val="left"/>
        </w:tabs>
        <w:rPr>
          <w:sz w:val="20"/>
          <w:szCs w:val="20"/>
          <w:color w:val="auto"/>
        </w:rPr>
      </w:pPr>
      <w:r>
        <w:rPr>
          <w:rFonts w:ascii="Arial" w:cs="Arial" w:eastAsia="Arial" w:hAnsi="Arial"/>
          <w:sz w:val="14"/>
          <w:szCs w:val="14"/>
          <w:color w:val="685040"/>
        </w:rPr>
        <w:t>Fax:</w:t>
      </w:r>
      <w:r>
        <w:rPr>
          <w:sz w:val="20"/>
          <w:szCs w:val="20"/>
          <w:color w:val="auto"/>
        </w:rPr>
        <w:tab/>
      </w:r>
      <w:r>
        <w:rPr>
          <w:rFonts w:ascii="Arial" w:cs="Arial" w:eastAsia="Arial" w:hAnsi="Arial"/>
          <w:sz w:val="13"/>
          <w:szCs w:val="13"/>
          <w:color w:val="685040"/>
        </w:rPr>
        <w:t>713-960-9549</w:t>
      </w:r>
    </w:p>
    <w:p>
      <w:pPr>
        <w:spacing w:after="0" w:line="1"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685040"/>
        </w:rPr>
        <w:t>www.bdo.com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85040"/>
        </w:rPr>
        <w:t>2929 Allen Parkway, 20th Floor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685040"/>
        </w:rPr>
        <w:t>Houston, TX 77019</w:t>
      </w:r>
    </w:p>
    <w:p>
      <w:pPr>
        <w:spacing w:after="0" w:line="362" w:lineRule="exact"/>
        <w:rPr>
          <w:sz w:val="20"/>
          <w:szCs w:val="20"/>
          <w:color w:val="auto"/>
        </w:rPr>
      </w:pPr>
    </w:p>
    <w:p>
      <w:pPr>
        <w:sectPr>
          <w:pgSz w:w="11900" w:h="16838" w:orient="portrait"/>
          <w:cols w:equalWidth="0" w:num="2">
            <w:col w:w="6480" w:space="720"/>
            <w:col w:w="4040"/>
          </w:cols>
          <w:pgMar w:left="320" w:top="599" w:right="339" w:bottom="1440" w:gutter="0" w:footer="0" w:header="0"/>
        </w:sectPr>
      </w:pP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Independent Auditor’s Report</w:t>
      </w:r>
    </w:p>
    <w:p>
      <w:pPr>
        <w:spacing w:after="0" w:line="22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To the Board of Directors</w:t>
      </w:r>
    </w:p>
    <w:p>
      <w:pPr>
        <w:spacing w:after="0" w:line="234" w:lineRule="auto"/>
        <w:rPr>
          <w:sz w:val="20"/>
          <w:szCs w:val="20"/>
          <w:color w:val="auto"/>
        </w:rPr>
      </w:pPr>
      <w:r>
        <w:rPr>
          <w:rFonts w:ascii="Trebuchet MS" w:cs="Trebuchet MS" w:eastAsia="Trebuchet MS" w:hAnsi="Trebuchet MS"/>
          <w:sz w:val="19"/>
          <w:szCs w:val="19"/>
          <w:color w:val="auto"/>
        </w:rPr>
        <w:t>RAM Energy Holdings LLC</w:t>
      </w:r>
    </w:p>
    <w:p>
      <w:pPr>
        <w:spacing w:after="0" w:line="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Tulsa, Oklahoma</w:t>
      </w:r>
    </w:p>
    <w:p>
      <w:pPr>
        <w:spacing w:after="0" w:line="15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We have audited the accompanying consolidated financial statements of RAM Energy Holdings LLC and its subsidiaries (the “Company”), which comprise the consolidated balance sheet as of September 30, 2019, and the related consolidated statements of operations, member’s deficit, and cash flows for the year then ended, and the related notes to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Management’s Responsibility for the Consolidated Financial Statements</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Management is responsible for the preparation and fair presentation of these consolidated financial statements in accordance with accounting principles generally accepted in the United States of America; this includes the design, implementation, and maintenance of internal control relevant to the preparation and fair presentation of consolidated financial statements that are free from material misstatement, whether due to fraud or error.</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Auditor’s Responsibility</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2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34" w:lineRule="exact"/>
        <w:rPr>
          <w:sz w:val="20"/>
          <w:szCs w:val="20"/>
          <w:color w:val="auto"/>
        </w:rPr>
      </w:pPr>
    </w:p>
    <w:p>
      <w:pPr>
        <w:ind w:right="1340"/>
        <w:spacing w:after="0" w:line="437" w:lineRule="auto"/>
        <w:rPr>
          <w:sz w:val="20"/>
          <w:szCs w:val="20"/>
          <w:color w:val="auto"/>
        </w:rPr>
      </w:pPr>
      <w:r>
        <w:rPr>
          <w:rFonts w:ascii="Arial" w:cs="Arial" w:eastAsia="Arial" w:hAnsi="Arial"/>
          <w:sz w:val="19"/>
          <w:szCs w:val="19"/>
          <w:color w:val="auto"/>
        </w:rPr>
        <w:t xml:space="preserve">We believe that the audit evidence we have obtained is sufficient and appropriate to provide a basis for our audit opinion. </w:t>
      </w:r>
      <w:r>
        <w:rPr>
          <w:rFonts w:ascii="Arial" w:cs="Arial" w:eastAsia="Arial" w:hAnsi="Arial"/>
          <w:sz w:val="19"/>
          <w:szCs w:val="19"/>
          <w:b w:val="1"/>
          <w:bCs w:val="1"/>
          <w:i w:val="1"/>
          <w:iCs w:val="1"/>
          <w:color w:val="auto"/>
        </w:rPr>
        <w:t>Opinion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 our opinion, the consolidated financial statements referred to above present fairly, in all material respects, the financial position of RAM Energy Holdings LLC and its subsidiaries as of September 30, 2019, and the results of their operations and their cash flows for the year then ended, in accordance with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431290"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143129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November 15, 2019</w:t>
      </w:r>
    </w:p>
    <w:p>
      <w:pPr>
        <w:spacing w:after="0" w:line="121" w:lineRule="exact"/>
        <w:rPr>
          <w:sz w:val="20"/>
          <w:szCs w:val="20"/>
          <w:color w:val="auto"/>
        </w:rPr>
      </w:pPr>
    </w:p>
    <w:p>
      <w:pPr>
        <w:ind w:right="1440"/>
        <w:spacing w:after="0" w:line="267" w:lineRule="auto"/>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83"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type w:val="continuous"/>
        </w:sectPr>
      </w:pPr>
    </w:p>
    <w:bookmarkStart w:id="134" w:name="page135"/>
    <w:bookmarkEnd w:id="1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72390</wp:posOffset>
            </wp:positionV>
            <wp:extent cx="7132320" cy="342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79375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358"/>
        </w:trPr>
        <w:tc>
          <w:tcPr>
            <w:tcW w:w="8800" w:type="dxa"/>
            <w:vAlign w:val="bottom"/>
          </w:tcPr>
          <w:p>
            <w:pPr>
              <w:ind w:left="3000"/>
              <w:spacing w:after="0"/>
              <w:rPr>
                <w:sz w:val="20"/>
                <w:szCs w:val="20"/>
                <w:color w:val="auto"/>
              </w:rPr>
            </w:pPr>
            <w:r>
              <w:rPr>
                <w:rFonts w:ascii="Arial" w:cs="Arial" w:eastAsia="Arial" w:hAnsi="Arial"/>
                <w:sz w:val="25"/>
                <w:szCs w:val="25"/>
                <w:b w:val="1"/>
                <w:bCs w:val="1"/>
                <w:color w:val="auto"/>
              </w:rPr>
              <w:t>RAM Energy Holdings LLC and Subsidiaries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8800" w:type="dxa"/>
            <w:vAlign w:val="bottom"/>
          </w:tcPr>
          <w:p>
            <w:pPr>
              <w:ind w:left="4180"/>
              <w:spacing w:after="0"/>
              <w:rPr>
                <w:sz w:val="20"/>
                <w:szCs w:val="20"/>
                <w:color w:val="auto"/>
              </w:rPr>
            </w:pPr>
            <w:r>
              <w:rPr>
                <w:rFonts w:ascii="Arial" w:cs="Arial" w:eastAsia="Arial" w:hAnsi="Arial"/>
                <w:sz w:val="22"/>
                <w:szCs w:val="22"/>
                <w:b w:val="1"/>
                <w:bCs w:val="1"/>
                <w:color w:val="auto"/>
              </w:rPr>
              <w:t>Consolidated Balance Sheet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88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82"/>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06"/>
              <w:spacing w:after="0"/>
              <w:rPr>
                <w:sz w:val="20"/>
                <w:szCs w:val="20"/>
                <w:color w:val="auto"/>
              </w:rPr>
            </w:pPr>
            <w:r>
              <w:rPr>
                <w:rFonts w:ascii="Arial" w:cs="Arial" w:eastAsia="Arial" w:hAnsi="Arial"/>
                <w:sz w:val="19"/>
                <w:szCs w:val="19"/>
                <w:b w:val="1"/>
                <w:bCs w:val="1"/>
                <w:color w:val="auto"/>
              </w:rPr>
              <w:t>2019</w:t>
            </w:r>
          </w:p>
        </w:tc>
        <w:tc>
          <w:tcPr>
            <w:tcW w:w="0" w:type="dxa"/>
            <w:vAlign w:val="bottom"/>
          </w:tcPr>
          <w:p>
            <w:pPr>
              <w:spacing w:after="0"/>
              <w:rPr>
                <w:sz w:val="1"/>
                <w:szCs w:val="1"/>
                <w:color w:val="auto"/>
              </w:rPr>
            </w:pPr>
          </w:p>
        </w:tc>
      </w:tr>
      <w:tr>
        <w:trPr>
          <w:trHeight w:val="718"/>
        </w:trPr>
        <w:tc>
          <w:tcPr>
            <w:tcW w:w="8800" w:type="dxa"/>
            <w:vAlign w:val="bottom"/>
          </w:tcPr>
          <w:p>
            <w:pPr>
              <w:spacing w:after="0"/>
              <w:rPr>
                <w:sz w:val="20"/>
                <w:szCs w:val="20"/>
                <w:color w:val="auto"/>
              </w:rPr>
            </w:pPr>
            <w:r>
              <w:rPr>
                <w:rFonts w:ascii="Arial" w:cs="Arial" w:eastAsia="Arial" w:hAnsi="Arial"/>
                <w:sz w:val="19"/>
                <w:szCs w:val="19"/>
                <w:b w:val="1"/>
                <w:bCs w:val="1"/>
                <w:color w:val="auto"/>
              </w:rPr>
              <w:t>Assets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3"/>
        </w:trPr>
        <w:tc>
          <w:tcPr>
            <w:tcW w:w="8800" w:type="dxa"/>
            <w:vAlign w:val="bottom"/>
          </w:tcPr>
          <w:p>
            <w:pPr>
              <w:spacing w:after="0"/>
              <w:rPr>
                <w:sz w:val="20"/>
                <w:szCs w:val="20"/>
                <w:color w:val="auto"/>
              </w:rPr>
            </w:pPr>
            <w:r>
              <w:rPr>
                <w:rFonts w:ascii="Arial" w:cs="Arial" w:eastAsia="Arial" w:hAnsi="Arial"/>
                <w:sz w:val="19"/>
                <w:szCs w:val="19"/>
                <w:b w:val="1"/>
                <w:bCs w:val="1"/>
                <w:color w:val="auto"/>
              </w:rPr>
              <w:t>Current Assets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Cash and cash equivalents</w:t>
            </w:r>
          </w:p>
        </w:tc>
        <w:tc>
          <w:tcPr>
            <w:tcW w:w="92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3,192,507</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Accounts receivable, net</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7,826,569</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Prepaid expenses</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225,395</w:t>
            </w:r>
          </w:p>
        </w:tc>
        <w:tc>
          <w:tcPr>
            <w:tcW w:w="0" w:type="dxa"/>
            <w:vAlign w:val="bottom"/>
          </w:tcPr>
          <w:p>
            <w:pPr>
              <w:spacing w:after="0"/>
              <w:rPr>
                <w:sz w:val="1"/>
                <w:szCs w:val="1"/>
                <w:color w:val="auto"/>
              </w:rPr>
            </w:pPr>
          </w:p>
        </w:tc>
      </w:tr>
      <w:tr>
        <w:trPr>
          <w:trHeight w:val="489"/>
        </w:trPr>
        <w:tc>
          <w:tcPr>
            <w:tcW w:w="8800" w:type="dxa"/>
            <w:vAlign w:val="bottom"/>
          </w:tcPr>
          <w:p>
            <w:pPr>
              <w:spacing w:after="0"/>
              <w:rPr>
                <w:sz w:val="20"/>
                <w:szCs w:val="20"/>
                <w:color w:val="auto"/>
              </w:rPr>
            </w:pPr>
            <w:r>
              <w:rPr>
                <w:rFonts w:ascii="Arial" w:cs="Arial" w:eastAsia="Arial" w:hAnsi="Arial"/>
                <w:sz w:val="19"/>
                <w:szCs w:val="19"/>
                <w:b w:val="1"/>
                <w:bCs w:val="1"/>
                <w:color w:val="auto"/>
              </w:rPr>
              <w:t>Total Current Assets</w:t>
            </w:r>
          </w:p>
        </w:tc>
        <w:tc>
          <w:tcPr>
            <w:tcW w:w="920" w:type="dxa"/>
            <w:vAlign w:val="bottom"/>
          </w:tcPr>
          <w:p>
            <w:pPr>
              <w:spacing w:after="0"/>
              <w:rPr>
                <w:sz w:val="24"/>
                <w:szCs w:val="24"/>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11,244,471</w:t>
            </w:r>
          </w:p>
        </w:tc>
        <w:tc>
          <w:tcPr>
            <w:tcW w:w="0" w:type="dxa"/>
            <w:vAlign w:val="bottom"/>
          </w:tcPr>
          <w:p>
            <w:pPr>
              <w:spacing w:after="0"/>
              <w:rPr>
                <w:sz w:val="1"/>
                <w:szCs w:val="1"/>
                <w:color w:val="auto"/>
              </w:rPr>
            </w:pPr>
          </w:p>
        </w:tc>
      </w:tr>
      <w:tr>
        <w:trPr>
          <w:trHeight w:val="423"/>
        </w:trPr>
        <w:tc>
          <w:tcPr>
            <w:tcW w:w="8800" w:type="dxa"/>
            <w:vAlign w:val="bottom"/>
          </w:tcPr>
          <w:p>
            <w:pPr>
              <w:spacing w:after="0"/>
              <w:rPr>
                <w:sz w:val="20"/>
                <w:szCs w:val="20"/>
                <w:color w:val="auto"/>
              </w:rPr>
            </w:pPr>
            <w:r>
              <w:rPr>
                <w:rFonts w:ascii="Arial" w:cs="Arial" w:eastAsia="Arial" w:hAnsi="Arial"/>
                <w:sz w:val="19"/>
                <w:szCs w:val="19"/>
                <w:b w:val="1"/>
                <w:bCs w:val="1"/>
                <w:color w:val="auto"/>
              </w:rPr>
              <w:t>Property and Equipment, at Cost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260"/>
              <w:spacing w:after="0" w:line="216" w:lineRule="exact"/>
              <w:rPr>
                <w:sz w:val="20"/>
                <w:szCs w:val="20"/>
                <w:color w:val="auto"/>
              </w:rPr>
            </w:pPr>
            <w:r>
              <w:rPr>
                <w:rFonts w:ascii="Arial" w:cs="Arial" w:eastAsia="Arial" w:hAnsi="Arial"/>
                <w:sz w:val="19"/>
                <w:szCs w:val="19"/>
                <w:color w:val="auto"/>
              </w:rPr>
              <w:t>Proved oil and natural gas properties and equipment,</w:t>
            </w: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800" w:type="dxa"/>
            <w:vAlign w:val="bottom"/>
          </w:tcPr>
          <w:p>
            <w:pPr>
              <w:ind w:left="420"/>
              <w:spacing w:after="0"/>
              <w:rPr>
                <w:sz w:val="20"/>
                <w:szCs w:val="20"/>
                <w:color w:val="auto"/>
              </w:rPr>
            </w:pPr>
            <w:r>
              <w:rPr>
                <w:rFonts w:ascii="Arial" w:cs="Arial" w:eastAsia="Arial" w:hAnsi="Arial"/>
                <w:sz w:val="19"/>
                <w:szCs w:val="19"/>
                <w:color w:val="auto"/>
              </w:rPr>
              <w:t>using full cost accounting</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91,207,852</w:t>
            </w: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Unproved oil and natural gas properties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7,351,669</w:t>
            </w:r>
          </w:p>
        </w:tc>
        <w:tc>
          <w:tcPr>
            <w:tcW w:w="0" w:type="dxa"/>
            <w:vAlign w:val="bottom"/>
          </w:tcPr>
          <w:p>
            <w:pPr>
              <w:spacing w:after="0"/>
              <w:rPr>
                <w:sz w:val="1"/>
                <w:szCs w:val="1"/>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Gas gathering and processing equipment</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10,253,833</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 property and equipment</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527,606</w:t>
            </w:r>
          </w:p>
        </w:tc>
        <w:tc>
          <w:tcPr>
            <w:tcW w:w="0" w:type="dxa"/>
            <w:vAlign w:val="bottom"/>
          </w:tcPr>
          <w:p>
            <w:pPr>
              <w:spacing w:after="0"/>
              <w:rPr>
                <w:sz w:val="1"/>
                <w:szCs w:val="1"/>
                <w:color w:val="auto"/>
              </w:rPr>
            </w:pPr>
          </w:p>
        </w:tc>
      </w:tr>
      <w:tr>
        <w:trPr>
          <w:trHeight w:val="255"/>
        </w:trPr>
        <w:tc>
          <w:tcPr>
            <w:tcW w:w="8800" w:type="dxa"/>
            <w:vAlign w:val="bottom"/>
            <w:vMerge w:val="restart"/>
          </w:tcPr>
          <w:p>
            <w:pPr>
              <w:ind w:left="260"/>
              <w:spacing w:after="0"/>
              <w:rPr>
                <w:sz w:val="20"/>
                <w:szCs w:val="20"/>
                <w:color w:val="auto"/>
              </w:rPr>
            </w:pPr>
            <w:r>
              <w:rPr>
                <w:rFonts w:ascii="Arial" w:cs="Arial" w:eastAsia="Arial" w:hAnsi="Arial"/>
                <w:sz w:val="19"/>
                <w:szCs w:val="19"/>
                <w:color w:val="auto"/>
              </w:rPr>
              <w:t>Less: accumulated depreciation, depletion,</w:t>
            </w:r>
          </w:p>
        </w:tc>
        <w:tc>
          <w:tcPr>
            <w:tcW w:w="920" w:type="dxa"/>
            <w:vAlign w:val="bottom"/>
          </w:tcPr>
          <w:p>
            <w:pPr>
              <w:spacing w:after="0"/>
              <w:rPr>
                <w:sz w:val="22"/>
                <w:szCs w:val="22"/>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109,340,960</w:t>
            </w:r>
          </w:p>
        </w:tc>
        <w:tc>
          <w:tcPr>
            <w:tcW w:w="0" w:type="dxa"/>
            <w:vAlign w:val="bottom"/>
          </w:tcPr>
          <w:p>
            <w:pPr>
              <w:spacing w:after="0"/>
              <w:rPr>
                <w:sz w:val="1"/>
                <w:szCs w:val="1"/>
                <w:color w:val="auto"/>
              </w:rPr>
            </w:pPr>
          </w:p>
        </w:tc>
      </w:tr>
      <w:tr>
        <w:trPr>
          <w:trHeight w:val="184"/>
        </w:trPr>
        <w:tc>
          <w:tcPr>
            <w:tcW w:w="88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800" w:type="dxa"/>
            <w:vAlign w:val="bottom"/>
            <w:tcBorders>
              <w:bottom w:val="single" w:sz="8" w:color="auto"/>
            </w:tcBorders>
          </w:tcPr>
          <w:p>
            <w:pPr>
              <w:ind w:left="420"/>
              <w:spacing w:after="0"/>
              <w:rPr>
                <w:sz w:val="20"/>
                <w:szCs w:val="20"/>
                <w:color w:val="auto"/>
              </w:rPr>
            </w:pPr>
            <w:r>
              <w:rPr>
                <w:rFonts w:ascii="Arial" w:cs="Arial" w:eastAsia="Arial" w:hAnsi="Arial"/>
                <w:sz w:val="19"/>
                <w:szCs w:val="19"/>
                <w:color w:val="auto"/>
              </w:rPr>
              <w:t>amortization and impairment</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(43,455,219)</w:t>
            </w:r>
          </w:p>
        </w:tc>
        <w:tc>
          <w:tcPr>
            <w:tcW w:w="0" w:type="dxa"/>
            <w:vAlign w:val="bottom"/>
          </w:tcPr>
          <w:p>
            <w:pPr>
              <w:spacing w:after="0"/>
              <w:rPr>
                <w:sz w:val="1"/>
                <w:szCs w:val="1"/>
                <w:color w:val="auto"/>
              </w:rPr>
            </w:pPr>
          </w:p>
        </w:tc>
      </w:tr>
      <w:tr>
        <w:trPr>
          <w:trHeight w:val="488"/>
        </w:trPr>
        <w:tc>
          <w:tcPr>
            <w:tcW w:w="8800" w:type="dxa"/>
            <w:vAlign w:val="bottom"/>
          </w:tcPr>
          <w:p>
            <w:pPr>
              <w:spacing w:after="0"/>
              <w:rPr>
                <w:sz w:val="20"/>
                <w:szCs w:val="20"/>
                <w:color w:val="auto"/>
              </w:rPr>
            </w:pPr>
            <w:r>
              <w:rPr>
                <w:rFonts w:ascii="Arial" w:cs="Arial" w:eastAsia="Arial" w:hAnsi="Arial"/>
                <w:sz w:val="19"/>
                <w:szCs w:val="19"/>
                <w:b w:val="1"/>
                <w:bCs w:val="1"/>
                <w:color w:val="auto"/>
              </w:rPr>
              <w:t>Net Property and Equipment</w:t>
            </w:r>
          </w:p>
        </w:tc>
        <w:tc>
          <w:tcPr>
            <w:tcW w:w="920" w:type="dxa"/>
            <w:vAlign w:val="bottom"/>
          </w:tcPr>
          <w:p>
            <w:pPr>
              <w:spacing w:after="0"/>
              <w:rPr>
                <w:sz w:val="24"/>
                <w:szCs w:val="24"/>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65,885,741</w:t>
            </w:r>
          </w:p>
        </w:tc>
        <w:tc>
          <w:tcPr>
            <w:tcW w:w="0" w:type="dxa"/>
            <w:vAlign w:val="bottom"/>
          </w:tcPr>
          <w:p>
            <w:pPr>
              <w:spacing w:after="0"/>
              <w:rPr>
                <w:sz w:val="1"/>
                <w:szCs w:val="1"/>
                <w:color w:val="auto"/>
              </w:rPr>
            </w:pPr>
          </w:p>
        </w:tc>
      </w:tr>
      <w:tr>
        <w:trPr>
          <w:trHeight w:val="423"/>
        </w:trPr>
        <w:tc>
          <w:tcPr>
            <w:tcW w:w="8800" w:type="dxa"/>
            <w:vAlign w:val="bottom"/>
          </w:tcPr>
          <w:p>
            <w:pPr>
              <w:spacing w:after="0"/>
              <w:rPr>
                <w:sz w:val="20"/>
                <w:szCs w:val="20"/>
                <w:color w:val="auto"/>
              </w:rPr>
            </w:pPr>
            <w:r>
              <w:rPr>
                <w:rFonts w:ascii="Arial" w:cs="Arial" w:eastAsia="Arial" w:hAnsi="Arial"/>
                <w:sz w:val="19"/>
                <w:szCs w:val="19"/>
                <w:b w:val="1"/>
                <w:bCs w:val="1"/>
                <w:color w:val="auto"/>
              </w:rPr>
              <w:t>Other Assets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Restricted cash</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732,682</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65,334</w:t>
            </w:r>
          </w:p>
        </w:tc>
        <w:tc>
          <w:tcPr>
            <w:tcW w:w="0" w:type="dxa"/>
            <w:vAlign w:val="bottom"/>
          </w:tcPr>
          <w:p>
            <w:pPr>
              <w:spacing w:after="0"/>
              <w:rPr>
                <w:sz w:val="1"/>
                <w:szCs w:val="1"/>
                <w:color w:val="auto"/>
              </w:rPr>
            </w:pPr>
          </w:p>
        </w:tc>
      </w:tr>
      <w:tr>
        <w:trPr>
          <w:trHeight w:val="695"/>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Assets</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798,016</w:t>
            </w:r>
          </w:p>
        </w:tc>
        <w:tc>
          <w:tcPr>
            <w:tcW w:w="0" w:type="dxa"/>
            <w:vAlign w:val="bottom"/>
          </w:tcPr>
          <w:p>
            <w:pPr>
              <w:spacing w:after="0"/>
              <w:rPr>
                <w:sz w:val="1"/>
                <w:szCs w:val="1"/>
                <w:color w:val="auto"/>
              </w:rPr>
            </w:pP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Assets</w:t>
            </w: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77,928,228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358"/>
        </w:trPr>
        <w:tc>
          <w:tcPr>
            <w:tcW w:w="8800" w:type="dxa"/>
            <w:vAlign w:val="bottom"/>
          </w:tcPr>
          <w:p>
            <w:pPr>
              <w:ind w:left="3000"/>
              <w:spacing w:after="0"/>
              <w:rPr>
                <w:sz w:val="20"/>
                <w:szCs w:val="20"/>
                <w:color w:val="auto"/>
              </w:rPr>
            </w:pPr>
            <w:r>
              <w:rPr>
                <w:rFonts w:ascii="Arial" w:cs="Arial" w:eastAsia="Arial" w:hAnsi="Arial"/>
                <w:sz w:val="25"/>
                <w:szCs w:val="25"/>
                <w:b w:val="1"/>
                <w:bCs w:val="1"/>
                <w:color w:val="auto"/>
              </w:rPr>
              <w:t>RAM Energy Holdings LLC and Subsidiaries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8"/>
        </w:trPr>
        <w:tc>
          <w:tcPr>
            <w:tcW w:w="8800" w:type="dxa"/>
            <w:vAlign w:val="bottom"/>
          </w:tcPr>
          <w:p>
            <w:pPr>
              <w:ind w:left="4180"/>
              <w:spacing w:after="0"/>
              <w:rPr>
                <w:sz w:val="20"/>
                <w:szCs w:val="20"/>
                <w:color w:val="auto"/>
              </w:rPr>
            </w:pPr>
            <w:r>
              <w:rPr>
                <w:rFonts w:ascii="Arial" w:cs="Arial" w:eastAsia="Arial" w:hAnsi="Arial"/>
                <w:sz w:val="22"/>
                <w:szCs w:val="22"/>
                <w:b w:val="1"/>
                <w:bCs w:val="1"/>
                <w:color w:val="auto"/>
              </w:rPr>
              <w:t>Consolidated Balance Sheet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2"/>
        </w:trPr>
        <w:tc>
          <w:tcPr>
            <w:tcW w:w="88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06"/>
              <w:spacing w:after="0"/>
              <w:rPr>
                <w:sz w:val="20"/>
                <w:szCs w:val="20"/>
                <w:color w:val="auto"/>
              </w:rPr>
            </w:pPr>
            <w:r>
              <w:rPr>
                <w:rFonts w:ascii="Arial" w:cs="Arial" w:eastAsia="Arial" w:hAnsi="Arial"/>
                <w:sz w:val="19"/>
                <w:szCs w:val="19"/>
                <w:b w:val="1"/>
                <w:bCs w:val="1"/>
                <w:color w:val="auto"/>
              </w:rPr>
              <w:t>2019</w:t>
            </w:r>
          </w:p>
        </w:tc>
      </w:tr>
      <w:tr>
        <w:trPr>
          <w:trHeight w:val="488"/>
        </w:trPr>
        <w:tc>
          <w:tcPr>
            <w:tcW w:w="8800" w:type="dxa"/>
            <w:vAlign w:val="bottom"/>
          </w:tcPr>
          <w:p>
            <w:pPr>
              <w:spacing w:after="0"/>
              <w:rPr>
                <w:sz w:val="20"/>
                <w:szCs w:val="20"/>
                <w:color w:val="auto"/>
              </w:rPr>
            </w:pPr>
            <w:r>
              <w:rPr>
                <w:rFonts w:ascii="Arial" w:cs="Arial" w:eastAsia="Arial" w:hAnsi="Arial"/>
                <w:sz w:val="19"/>
                <w:szCs w:val="19"/>
                <w:b w:val="1"/>
                <w:bCs w:val="1"/>
                <w:color w:val="auto"/>
              </w:rPr>
              <w:t>Liabilities and Member's Deficit</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23"/>
        </w:trPr>
        <w:tc>
          <w:tcPr>
            <w:tcW w:w="8800" w:type="dxa"/>
            <w:vAlign w:val="bottom"/>
          </w:tcPr>
          <w:p>
            <w:pPr>
              <w:spacing w:after="0"/>
              <w:rPr>
                <w:sz w:val="20"/>
                <w:szCs w:val="20"/>
                <w:color w:val="auto"/>
              </w:rPr>
            </w:pPr>
            <w:r>
              <w:rPr>
                <w:rFonts w:ascii="Arial" w:cs="Arial" w:eastAsia="Arial" w:hAnsi="Arial"/>
                <w:sz w:val="19"/>
                <w:szCs w:val="19"/>
                <w:b w:val="1"/>
                <w:bCs w:val="1"/>
                <w:color w:val="auto"/>
              </w:rPr>
              <w:t>Current Liabilities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Trade accounts payable</w:t>
            </w:r>
          </w:p>
        </w:tc>
        <w:tc>
          <w:tcPr>
            <w:tcW w:w="92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26,150,721</w:t>
            </w: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Revenue payable</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4,722,982</w:t>
            </w: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Accrued liabilities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1,521,400</w:t>
            </w: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Drilling advances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2,226,283</w:t>
            </w:r>
          </w:p>
        </w:tc>
      </w:tr>
      <w:tr>
        <w:trPr>
          <w:trHeight w:val="243"/>
        </w:trPr>
        <w:tc>
          <w:tcPr>
            <w:tcW w:w="8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Current portion of asset retirement obligations</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492,957</w:t>
            </w:r>
          </w:p>
        </w:tc>
      </w:tr>
      <w:tr>
        <w:trPr>
          <w:trHeight w:val="488"/>
        </w:trPr>
        <w:tc>
          <w:tcPr>
            <w:tcW w:w="8800" w:type="dxa"/>
            <w:vAlign w:val="bottom"/>
          </w:tcPr>
          <w:p>
            <w:pPr>
              <w:spacing w:after="0"/>
              <w:rPr>
                <w:sz w:val="20"/>
                <w:szCs w:val="20"/>
                <w:color w:val="auto"/>
              </w:rPr>
            </w:pPr>
            <w:r>
              <w:rPr>
                <w:rFonts w:ascii="Arial" w:cs="Arial" w:eastAsia="Arial" w:hAnsi="Arial"/>
                <w:sz w:val="19"/>
                <w:szCs w:val="19"/>
                <w:b w:val="1"/>
                <w:bCs w:val="1"/>
                <w:color w:val="auto"/>
              </w:rPr>
              <w:t>Total Current Liabilities</w:t>
            </w:r>
          </w:p>
        </w:tc>
        <w:tc>
          <w:tcPr>
            <w:tcW w:w="920" w:type="dxa"/>
            <w:vAlign w:val="bottom"/>
          </w:tcPr>
          <w:p>
            <w:pPr>
              <w:spacing w:after="0"/>
              <w:rPr>
                <w:sz w:val="24"/>
                <w:szCs w:val="24"/>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35,114,343</w:t>
            </w:r>
          </w:p>
        </w:tc>
      </w:tr>
      <w:tr>
        <w:trPr>
          <w:trHeight w:val="459"/>
        </w:trPr>
        <w:tc>
          <w:tcPr>
            <w:tcW w:w="8800" w:type="dxa"/>
            <w:vAlign w:val="bottom"/>
          </w:tcPr>
          <w:p>
            <w:pPr>
              <w:spacing w:after="0"/>
              <w:rPr>
                <w:sz w:val="20"/>
                <w:szCs w:val="20"/>
                <w:color w:val="auto"/>
              </w:rPr>
            </w:pPr>
            <w:r>
              <w:rPr>
                <w:rFonts w:ascii="Arial" w:cs="Arial" w:eastAsia="Arial" w:hAnsi="Arial"/>
                <w:sz w:val="19"/>
                <w:szCs w:val="19"/>
                <w:b w:val="1"/>
                <w:bCs w:val="1"/>
                <w:color w:val="auto"/>
              </w:rPr>
              <w:t>Asset Retirement Obligations, net of current portion</w:t>
            </w:r>
          </w:p>
        </w:tc>
        <w:tc>
          <w:tcPr>
            <w:tcW w:w="920" w:type="dxa"/>
            <w:vAlign w:val="bottom"/>
          </w:tcPr>
          <w:p>
            <w:pPr>
              <w:spacing w:after="0"/>
              <w:rPr>
                <w:sz w:val="24"/>
                <w:szCs w:val="24"/>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4,990,953</w:t>
            </w:r>
          </w:p>
        </w:tc>
      </w:tr>
      <w:tr>
        <w:trPr>
          <w:trHeight w:val="437"/>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Long-Term Debt - Affiliate</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75,000,000</w:t>
            </w: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Liabilities</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115,105,296</w:t>
            </w:r>
          </w:p>
        </w:tc>
      </w:tr>
      <w:tr>
        <w:trPr>
          <w:trHeight w:val="488"/>
        </w:trPr>
        <w:tc>
          <w:tcPr>
            <w:tcW w:w="8800" w:type="dxa"/>
            <w:vAlign w:val="bottom"/>
          </w:tcPr>
          <w:p>
            <w:pPr>
              <w:spacing w:after="0"/>
              <w:rPr>
                <w:sz w:val="20"/>
                <w:szCs w:val="20"/>
                <w:color w:val="auto"/>
              </w:rPr>
            </w:pPr>
            <w:r>
              <w:rPr>
                <w:rFonts w:ascii="Arial" w:cs="Arial" w:eastAsia="Arial" w:hAnsi="Arial"/>
                <w:sz w:val="19"/>
                <w:szCs w:val="19"/>
                <w:b w:val="1"/>
                <w:bCs w:val="1"/>
                <w:color w:val="auto"/>
              </w:rPr>
              <w:t>Commitments and Contingencies (Note 7)</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7"/>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Member's Deficit</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(37,177,068)</w:t>
            </w: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Liabilities and Member's Deficit</w:t>
            </w: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77,928,228</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358"/>
        </w:trPr>
        <w:tc>
          <w:tcPr>
            <w:tcW w:w="8800" w:type="dxa"/>
            <w:vAlign w:val="bottom"/>
          </w:tcPr>
          <w:p>
            <w:pPr>
              <w:ind w:left="3000"/>
              <w:spacing w:after="0"/>
              <w:rPr>
                <w:sz w:val="20"/>
                <w:szCs w:val="20"/>
                <w:color w:val="auto"/>
              </w:rPr>
            </w:pPr>
            <w:r>
              <w:rPr>
                <w:rFonts w:ascii="Arial" w:cs="Arial" w:eastAsia="Arial" w:hAnsi="Arial"/>
                <w:sz w:val="25"/>
                <w:szCs w:val="25"/>
                <w:b w:val="1"/>
                <w:bCs w:val="1"/>
                <w:color w:val="auto"/>
              </w:rPr>
              <w:t>RAM Energy Holdings LLC and Subsidiaries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8"/>
        </w:trPr>
        <w:tc>
          <w:tcPr>
            <w:tcW w:w="8800" w:type="dxa"/>
            <w:vAlign w:val="bottom"/>
          </w:tcPr>
          <w:p>
            <w:pPr>
              <w:ind w:left="3660"/>
              <w:spacing w:after="0"/>
              <w:rPr>
                <w:sz w:val="20"/>
                <w:szCs w:val="20"/>
                <w:color w:val="auto"/>
              </w:rPr>
            </w:pPr>
            <w:r>
              <w:rPr>
                <w:rFonts w:ascii="Arial" w:cs="Arial" w:eastAsia="Arial" w:hAnsi="Arial"/>
                <w:sz w:val="22"/>
                <w:szCs w:val="22"/>
                <w:b w:val="1"/>
                <w:bCs w:val="1"/>
                <w:color w:val="auto"/>
              </w:rPr>
              <w:t>Consolidated Statement of Operations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62"/>
        </w:trPr>
        <w:tc>
          <w:tcPr>
            <w:tcW w:w="88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06"/>
              <w:spacing w:after="0"/>
              <w:rPr>
                <w:sz w:val="20"/>
                <w:szCs w:val="20"/>
                <w:color w:val="auto"/>
              </w:rPr>
            </w:pPr>
            <w:r>
              <w:rPr>
                <w:rFonts w:ascii="Arial" w:cs="Arial" w:eastAsia="Arial" w:hAnsi="Arial"/>
                <w:sz w:val="19"/>
                <w:szCs w:val="19"/>
                <w:b w:val="1"/>
                <w:bCs w:val="1"/>
                <w:color w:val="auto"/>
              </w:rPr>
              <w:t>2019</w:t>
            </w:r>
          </w:p>
        </w:tc>
      </w:tr>
      <w:tr>
        <w:trPr>
          <w:trHeight w:val="453"/>
        </w:trPr>
        <w:tc>
          <w:tcPr>
            <w:tcW w:w="8800" w:type="dxa"/>
            <w:vAlign w:val="bottom"/>
          </w:tcPr>
          <w:p>
            <w:pPr>
              <w:spacing w:after="0"/>
              <w:rPr>
                <w:sz w:val="20"/>
                <w:szCs w:val="20"/>
                <w:color w:val="auto"/>
              </w:rPr>
            </w:pPr>
            <w:r>
              <w:rPr>
                <w:rFonts w:ascii="Arial" w:cs="Arial" w:eastAsia="Arial" w:hAnsi="Arial"/>
                <w:sz w:val="19"/>
                <w:szCs w:val="19"/>
                <w:b w:val="1"/>
                <w:bCs w:val="1"/>
                <w:color w:val="auto"/>
              </w:rPr>
              <w:t>Operating Revenues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Crude oil sales</w:t>
            </w:r>
          </w:p>
        </w:tc>
        <w:tc>
          <w:tcPr>
            <w:tcW w:w="92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13,614,137</w:t>
            </w: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Natural gas sales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6,357,124</w:t>
            </w: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Natural gas liquids sales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4,358,603</w:t>
            </w: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Water supply services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800,322</w:t>
            </w:r>
          </w:p>
        </w:tc>
      </w:tr>
      <w:tr>
        <w:trPr>
          <w:trHeight w:val="243"/>
        </w:trPr>
        <w:tc>
          <w:tcPr>
            <w:tcW w:w="8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Gathering fees</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2,811,356</w:t>
            </w:r>
          </w:p>
        </w:tc>
      </w:tr>
      <w:tr>
        <w:trPr>
          <w:trHeight w:val="488"/>
        </w:trPr>
        <w:tc>
          <w:tcPr>
            <w:tcW w:w="8800" w:type="dxa"/>
            <w:vAlign w:val="bottom"/>
          </w:tcPr>
          <w:p>
            <w:pPr>
              <w:spacing w:after="0"/>
              <w:rPr>
                <w:sz w:val="20"/>
                <w:szCs w:val="20"/>
                <w:color w:val="auto"/>
              </w:rPr>
            </w:pPr>
            <w:r>
              <w:rPr>
                <w:rFonts w:ascii="Arial" w:cs="Arial" w:eastAsia="Arial" w:hAnsi="Arial"/>
                <w:sz w:val="19"/>
                <w:szCs w:val="19"/>
                <w:b w:val="1"/>
                <w:bCs w:val="1"/>
                <w:color w:val="auto"/>
              </w:rPr>
              <w:t>Total Revenues</w:t>
            </w:r>
          </w:p>
        </w:tc>
        <w:tc>
          <w:tcPr>
            <w:tcW w:w="920" w:type="dxa"/>
            <w:vAlign w:val="bottom"/>
          </w:tcPr>
          <w:p>
            <w:pPr>
              <w:spacing w:after="0"/>
              <w:rPr>
                <w:sz w:val="24"/>
                <w:szCs w:val="24"/>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27,941,542</w:t>
            </w:r>
          </w:p>
        </w:tc>
      </w:tr>
      <w:tr>
        <w:trPr>
          <w:trHeight w:val="423"/>
        </w:trPr>
        <w:tc>
          <w:tcPr>
            <w:tcW w:w="8800" w:type="dxa"/>
            <w:vAlign w:val="bottom"/>
          </w:tcPr>
          <w:p>
            <w:pPr>
              <w:spacing w:after="0"/>
              <w:rPr>
                <w:sz w:val="20"/>
                <w:szCs w:val="20"/>
                <w:color w:val="auto"/>
              </w:rPr>
            </w:pPr>
            <w:r>
              <w:rPr>
                <w:rFonts w:ascii="Arial" w:cs="Arial" w:eastAsia="Arial" w:hAnsi="Arial"/>
                <w:sz w:val="19"/>
                <w:szCs w:val="19"/>
                <w:b w:val="1"/>
                <w:bCs w:val="1"/>
                <w:color w:val="auto"/>
              </w:rPr>
              <w:t>Operating Expenses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Oil and natural gas operating expenses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13,974,739</w:t>
            </w: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Oil and natural gas production taxes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683,131</w:t>
            </w: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Water usage</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115,908</w:t>
            </w: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Depreciation, depletion and amortization</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9,581,200</w:t>
            </w: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Accretion of asset retirement obligations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642,791</w:t>
            </w: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Bad debt expense</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29,840</w:t>
            </w:r>
          </w:p>
        </w:tc>
      </w:tr>
      <w:tr>
        <w:trPr>
          <w:trHeight w:val="216"/>
        </w:trPr>
        <w:tc>
          <w:tcPr>
            <w:tcW w:w="8800" w:type="dxa"/>
            <w:vAlign w:val="bottom"/>
          </w:tcPr>
          <w:p>
            <w:pPr>
              <w:ind w:left="260"/>
              <w:spacing w:after="0" w:line="216" w:lineRule="exact"/>
              <w:rPr>
                <w:sz w:val="20"/>
                <w:szCs w:val="20"/>
                <w:color w:val="auto"/>
              </w:rPr>
            </w:pPr>
            <w:r>
              <w:rPr>
                <w:rFonts w:ascii="Arial" w:cs="Arial" w:eastAsia="Arial" w:hAnsi="Arial"/>
                <w:sz w:val="19"/>
                <w:szCs w:val="19"/>
                <w:color w:val="auto"/>
              </w:rPr>
              <w:t>General and administrative, overhead and other</w:t>
            </w: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8800" w:type="dxa"/>
            <w:vAlign w:val="bottom"/>
            <w:tcBorders>
              <w:bottom w:val="single" w:sz="8" w:color="auto"/>
            </w:tcBorders>
          </w:tcPr>
          <w:p>
            <w:pPr>
              <w:ind w:left="420"/>
              <w:spacing w:after="0"/>
              <w:rPr>
                <w:sz w:val="20"/>
                <w:szCs w:val="20"/>
                <w:color w:val="auto"/>
              </w:rPr>
            </w:pPr>
            <w:r>
              <w:rPr>
                <w:rFonts w:ascii="Arial" w:cs="Arial" w:eastAsia="Arial" w:hAnsi="Arial"/>
                <w:sz w:val="19"/>
                <w:szCs w:val="19"/>
                <w:color w:val="auto"/>
              </w:rPr>
              <w:t>expenses, net of operator's overhead fees</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4,828,700</w:t>
            </w: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Operating Expenses</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29,856,309</w:t>
            </w:r>
          </w:p>
        </w:tc>
      </w:tr>
      <w:tr>
        <w:trPr>
          <w:trHeight w:val="488"/>
        </w:trPr>
        <w:tc>
          <w:tcPr>
            <w:tcW w:w="8800" w:type="dxa"/>
            <w:vAlign w:val="bottom"/>
          </w:tcPr>
          <w:p>
            <w:pPr>
              <w:spacing w:after="0"/>
              <w:rPr>
                <w:sz w:val="20"/>
                <w:szCs w:val="20"/>
                <w:color w:val="auto"/>
              </w:rPr>
            </w:pPr>
            <w:r>
              <w:rPr>
                <w:rFonts w:ascii="Arial" w:cs="Arial" w:eastAsia="Arial" w:hAnsi="Arial"/>
                <w:sz w:val="19"/>
                <w:szCs w:val="19"/>
                <w:b w:val="1"/>
                <w:bCs w:val="1"/>
                <w:color w:val="auto"/>
              </w:rPr>
              <w:t>Loss from Operations</w:t>
            </w:r>
          </w:p>
        </w:tc>
        <w:tc>
          <w:tcPr>
            <w:tcW w:w="9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(1,914,767)</w:t>
            </w:r>
          </w:p>
        </w:tc>
      </w:tr>
      <w:tr>
        <w:trPr>
          <w:trHeight w:val="423"/>
        </w:trPr>
        <w:tc>
          <w:tcPr>
            <w:tcW w:w="8800" w:type="dxa"/>
            <w:vAlign w:val="bottom"/>
          </w:tcPr>
          <w:p>
            <w:pPr>
              <w:spacing w:after="0"/>
              <w:rPr>
                <w:sz w:val="20"/>
                <w:szCs w:val="20"/>
                <w:color w:val="auto"/>
              </w:rPr>
            </w:pPr>
            <w:r>
              <w:rPr>
                <w:rFonts w:ascii="Arial" w:cs="Arial" w:eastAsia="Arial" w:hAnsi="Arial"/>
                <w:sz w:val="19"/>
                <w:szCs w:val="19"/>
                <w:b w:val="1"/>
                <w:bCs w:val="1"/>
                <w:color w:val="auto"/>
              </w:rPr>
              <w:t>Other Income (Expense)</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Interest expense</w:t>
            </w:r>
          </w:p>
        </w:tc>
        <w:tc>
          <w:tcPr>
            <w:tcW w:w="9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(5,212,222)</w:t>
            </w: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Interest income</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133,544</w:t>
            </w: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Gains on sales of assets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14,796</w:t>
            </w:r>
          </w:p>
        </w:tc>
      </w:tr>
      <w:tr>
        <w:trPr>
          <w:trHeight w:val="243"/>
        </w:trPr>
        <w:tc>
          <w:tcPr>
            <w:tcW w:w="8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Other income, net</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637,562</w:t>
            </w: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Total Other Expense</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(4,426,320)</w:t>
            </w:r>
          </w:p>
        </w:tc>
      </w:tr>
      <w:tr>
        <w:trPr>
          <w:trHeight w:val="480"/>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Loss</w:t>
            </w: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(6,341,087)</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Consolidated Statement of Member’s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342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475"/>
              <w:spacing w:after="0"/>
              <w:rPr>
                <w:sz w:val="20"/>
                <w:szCs w:val="20"/>
                <w:color w:val="auto"/>
              </w:rPr>
            </w:pPr>
            <w:r>
              <w:rPr>
                <w:rFonts w:ascii="Arial" w:cs="Arial" w:eastAsia="Arial" w:hAnsi="Arial"/>
                <w:sz w:val="14"/>
                <w:szCs w:val="14"/>
                <w:b w:val="1"/>
                <w:bCs w:val="1"/>
                <w:color w:val="auto"/>
              </w:rPr>
              <w:t>Member's</w:t>
            </w:r>
          </w:p>
        </w:tc>
        <w:tc>
          <w:tcPr>
            <w:tcW w:w="20" w:type="dxa"/>
            <w:vAlign w:val="bottom"/>
          </w:tcPr>
          <w:p>
            <w:pPr>
              <w:spacing w:after="0"/>
              <w:rPr>
                <w:sz w:val="14"/>
                <w:szCs w:val="14"/>
                <w:color w:val="auto"/>
              </w:rPr>
            </w:pPr>
          </w:p>
        </w:tc>
      </w:tr>
      <w:tr>
        <w:trPr>
          <w:trHeight w:val="198"/>
        </w:trPr>
        <w:tc>
          <w:tcPr>
            <w:tcW w:w="4080" w:type="dxa"/>
            <w:vAlign w:val="bottom"/>
            <w:tcBorders>
              <w:bottom w:val="single" w:sz="8" w:color="auto"/>
            </w:tcBorders>
          </w:tcPr>
          <w:p>
            <w:pPr>
              <w:spacing w:after="0"/>
              <w:rPr>
                <w:sz w:val="17"/>
                <w:szCs w:val="17"/>
                <w:color w:val="auto"/>
              </w:rPr>
            </w:pPr>
          </w:p>
        </w:tc>
        <w:tc>
          <w:tcPr>
            <w:tcW w:w="536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Units</w:t>
            </w:r>
          </w:p>
        </w:tc>
        <w:tc>
          <w:tcPr>
            <w:tcW w:w="4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7"/>
                <w:szCs w:val="17"/>
                <w:color w:val="auto"/>
              </w:rPr>
            </w:pPr>
          </w:p>
        </w:tc>
      </w:tr>
      <w:tr>
        <w:trPr>
          <w:trHeight w:val="435"/>
        </w:trPr>
        <w:tc>
          <w:tcPr>
            <w:tcW w:w="4080" w:type="dxa"/>
            <w:vAlign w:val="bottom"/>
          </w:tcPr>
          <w:p>
            <w:pPr>
              <w:spacing w:after="0"/>
              <w:rPr>
                <w:sz w:val="20"/>
                <w:szCs w:val="20"/>
                <w:color w:val="auto"/>
              </w:rPr>
            </w:pPr>
            <w:r>
              <w:rPr>
                <w:rFonts w:ascii="Arial" w:cs="Arial" w:eastAsia="Arial" w:hAnsi="Arial"/>
                <w:sz w:val="19"/>
                <w:szCs w:val="19"/>
                <w:b w:val="1"/>
                <w:bCs w:val="1"/>
                <w:color w:val="auto"/>
              </w:rPr>
              <w:t>Balance, October 1, 2018</w:t>
            </w:r>
          </w:p>
        </w:tc>
        <w:tc>
          <w:tcPr>
            <w:tcW w:w="5360" w:type="dxa"/>
            <w:vAlign w:val="bottom"/>
          </w:tcPr>
          <w:p>
            <w:pPr>
              <w:jc w:val="right"/>
              <w:ind w:right="70"/>
              <w:spacing w:after="0"/>
              <w:rPr>
                <w:sz w:val="20"/>
                <w:szCs w:val="20"/>
                <w:color w:val="auto"/>
              </w:rPr>
            </w:pPr>
            <w:r>
              <w:rPr>
                <w:rFonts w:ascii="Arial" w:cs="Arial" w:eastAsia="Arial" w:hAnsi="Arial"/>
                <w:sz w:val="19"/>
                <w:szCs w:val="19"/>
                <w:color w:val="auto"/>
              </w:rPr>
              <w:t>84,747</w:t>
            </w:r>
          </w:p>
        </w:tc>
        <w:tc>
          <w:tcPr>
            <w:tcW w:w="420" w:type="dxa"/>
            <w:vAlign w:val="bottom"/>
          </w:tcPr>
          <w:p>
            <w:pPr>
              <w:jc w:val="right"/>
              <w:ind w:right="86"/>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(30,835,981)</w:t>
            </w:r>
          </w:p>
        </w:tc>
        <w:tc>
          <w:tcPr>
            <w:tcW w:w="20" w:type="dxa"/>
            <w:vAlign w:val="bottom"/>
          </w:tcPr>
          <w:p>
            <w:pPr>
              <w:spacing w:after="0"/>
              <w:rPr>
                <w:sz w:val="24"/>
                <w:szCs w:val="24"/>
                <w:color w:val="auto"/>
              </w:rPr>
            </w:pPr>
          </w:p>
        </w:tc>
      </w:tr>
      <w:tr>
        <w:trPr>
          <w:trHeight w:val="436"/>
        </w:trPr>
        <w:tc>
          <w:tcPr>
            <w:tcW w:w="40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Net loss</w:t>
            </w:r>
          </w:p>
        </w:tc>
        <w:tc>
          <w:tcPr>
            <w:tcW w:w="5360" w:type="dxa"/>
            <w:vAlign w:val="bottom"/>
            <w:tcBorders>
              <w:bottom w:val="single" w:sz="8" w:color="auto"/>
            </w:tcBorders>
          </w:tcPr>
          <w:p>
            <w:pPr>
              <w:jc w:val="right"/>
              <w:ind w:right="70"/>
              <w:spacing w:after="0"/>
              <w:rPr>
                <w:sz w:val="20"/>
                <w:szCs w:val="20"/>
                <w:color w:val="auto"/>
              </w:rPr>
            </w:pPr>
            <w:r>
              <w:rPr>
                <w:rFonts w:ascii="Arial" w:cs="Arial" w:eastAsia="Arial" w:hAnsi="Arial"/>
                <w:sz w:val="19"/>
                <w:szCs w:val="19"/>
                <w:color w:val="auto"/>
              </w:rPr>
              <w:t>-</w:t>
            </w: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(6,341,087)</w:t>
            </w:r>
          </w:p>
        </w:tc>
        <w:tc>
          <w:tcPr>
            <w:tcW w:w="20" w:type="dxa"/>
            <w:vAlign w:val="bottom"/>
          </w:tcPr>
          <w:p>
            <w:pPr>
              <w:spacing w:after="0"/>
              <w:rPr>
                <w:sz w:val="24"/>
                <w:szCs w:val="24"/>
                <w:color w:val="auto"/>
              </w:rPr>
            </w:pPr>
          </w:p>
        </w:tc>
      </w:tr>
      <w:tr>
        <w:trPr>
          <w:trHeight w:val="480"/>
        </w:trPr>
        <w:tc>
          <w:tcPr>
            <w:tcW w:w="40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Balance, September 30, 2019</w:t>
            </w:r>
          </w:p>
        </w:tc>
        <w:tc>
          <w:tcPr>
            <w:tcW w:w="5360" w:type="dxa"/>
            <w:vAlign w:val="bottom"/>
            <w:tcBorders>
              <w:bottom w:val="single" w:sz="8" w:color="auto"/>
            </w:tcBorders>
          </w:tcPr>
          <w:p>
            <w:pPr>
              <w:jc w:val="right"/>
              <w:ind w:right="70"/>
              <w:spacing w:after="0"/>
              <w:rPr>
                <w:sz w:val="20"/>
                <w:szCs w:val="20"/>
                <w:color w:val="auto"/>
              </w:rPr>
            </w:pPr>
            <w:r>
              <w:rPr>
                <w:rFonts w:ascii="Arial" w:cs="Arial" w:eastAsia="Arial" w:hAnsi="Arial"/>
                <w:sz w:val="19"/>
                <w:szCs w:val="19"/>
                <w:color w:val="auto"/>
              </w:rPr>
              <w:t>84,747</w:t>
            </w: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9"/>
                <w:szCs w:val="19"/>
                <w:color w:val="auto"/>
              </w:rPr>
              <w:t>(37,177,068)</w:t>
            </w:r>
          </w:p>
        </w:tc>
        <w:tc>
          <w:tcPr>
            <w:tcW w:w="20" w:type="dxa"/>
            <w:vAlign w:val="bottom"/>
          </w:tcPr>
          <w:p>
            <w:pPr>
              <w:spacing w:after="0"/>
              <w:rPr>
                <w:sz w:val="24"/>
                <w:szCs w:val="24"/>
                <w:color w:val="auto"/>
              </w:rPr>
            </w:pPr>
          </w:p>
        </w:tc>
      </w:tr>
      <w:tr>
        <w:trPr>
          <w:trHeight w:val="451"/>
        </w:trPr>
        <w:tc>
          <w:tcPr>
            <w:tcW w:w="9440" w:type="dxa"/>
            <w:vAlign w:val="bottom"/>
            <w:gridSpan w:val="2"/>
          </w:tcPr>
          <w:p>
            <w:pPr>
              <w:jc w:val="right"/>
              <w:ind w:right="50"/>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8"/>
        </w:trPr>
        <w:tc>
          <w:tcPr>
            <w:tcW w:w="4080" w:type="dxa"/>
            <w:vAlign w:val="bottom"/>
          </w:tcPr>
          <w:p>
            <w:pPr>
              <w:spacing w:after="0"/>
              <w:rPr>
                <w:sz w:val="24"/>
                <w:szCs w:val="24"/>
                <w:color w:val="auto"/>
              </w:rPr>
            </w:pPr>
          </w:p>
        </w:tc>
        <w:tc>
          <w:tcPr>
            <w:tcW w:w="5360" w:type="dxa"/>
            <w:vAlign w:val="bottom"/>
          </w:tcPr>
          <w:p>
            <w:pPr>
              <w:jc w:val="right"/>
              <w:ind w:right="3670"/>
              <w:spacing w:after="0"/>
              <w:rPr>
                <w:sz w:val="20"/>
                <w:szCs w:val="20"/>
                <w:color w:val="auto"/>
              </w:rPr>
            </w:pPr>
            <w:r>
              <w:rPr>
                <w:rFonts w:ascii="Arial" w:cs="Arial" w:eastAsia="Arial" w:hAnsi="Arial"/>
                <w:sz w:val="19"/>
                <w:szCs w:val="19"/>
                <w:color w:val="auto"/>
              </w:rPr>
              <w:t>8</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6"/>
        </w:trPr>
        <w:tc>
          <w:tcPr>
            <w:tcW w:w="4080" w:type="dxa"/>
            <w:vAlign w:val="bottom"/>
            <w:tcBorders>
              <w:bottom w:val="single" w:sz="8" w:color="9A9A9A"/>
            </w:tcBorders>
          </w:tcPr>
          <w:p>
            <w:pPr>
              <w:spacing w:after="0"/>
              <w:rPr>
                <w:sz w:val="8"/>
                <w:szCs w:val="8"/>
                <w:color w:val="auto"/>
              </w:rPr>
            </w:pPr>
          </w:p>
        </w:tc>
        <w:tc>
          <w:tcPr>
            <w:tcW w:w="53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21" w:right="31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358"/>
        </w:trPr>
        <w:tc>
          <w:tcPr>
            <w:tcW w:w="8800" w:type="dxa"/>
            <w:vAlign w:val="bottom"/>
          </w:tcPr>
          <w:p>
            <w:pPr>
              <w:ind w:left="3000"/>
              <w:spacing w:after="0"/>
              <w:rPr>
                <w:sz w:val="20"/>
                <w:szCs w:val="20"/>
                <w:color w:val="auto"/>
              </w:rPr>
            </w:pPr>
            <w:r>
              <w:rPr>
                <w:rFonts w:ascii="Arial" w:cs="Arial" w:eastAsia="Arial" w:hAnsi="Arial"/>
                <w:sz w:val="25"/>
                <w:szCs w:val="25"/>
                <w:b w:val="1"/>
                <w:bCs w:val="1"/>
                <w:color w:val="auto"/>
              </w:rPr>
              <w:t>RAM Energy Holdings LLC and Subsidiaries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58"/>
        </w:trPr>
        <w:tc>
          <w:tcPr>
            <w:tcW w:w="8800" w:type="dxa"/>
            <w:vAlign w:val="bottom"/>
          </w:tcPr>
          <w:p>
            <w:pPr>
              <w:ind w:left="3620"/>
              <w:spacing w:after="0"/>
              <w:rPr>
                <w:sz w:val="20"/>
                <w:szCs w:val="20"/>
                <w:color w:val="auto"/>
              </w:rPr>
            </w:pPr>
            <w:r>
              <w:rPr>
                <w:rFonts w:ascii="Arial" w:cs="Arial" w:eastAsia="Arial" w:hAnsi="Arial"/>
                <w:sz w:val="22"/>
                <w:szCs w:val="22"/>
                <w:b w:val="1"/>
                <w:bCs w:val="1"/>
                <w:color w:val="auto"/>
              </w:rPr>
              <w:t>Consolidated Statement of Cash Flows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76"/>
        </w:trPr>
        <w:tc>
          <w:tcPr>
            <w:tcW w:w="88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479"/>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06"/>
              <w:spacing w:after="0"/>
              <w:rPr>
                <w:sz w:val="20"/>
                <w:szCs w:val="20"/>
                <w:color w:val="auto"/>
              </w:rPr>
            </w:pPr>
            <w:r>
              <w:rPr>
                <w:rFonts w:ascii="Arial" w:cs="Arial" w:eastAsia="Arial" w:hAnsi="Arial"/>
                <w:sz w:val="19"/>
                <w:szCs w:val="19"/>
                <w:b w:val="1"/>
                <w:bCs w:val="1"/>
                <w:color w:val="auto"/>
              </w:rPr>
              <w:t>2019</w:t>
            </w:r>
          </w:p>
        </w:tc>
      </w:tr>
      <w:tr>
        <w:trPr>
          <w:trHeight w:val="453"/>
        </w:trPr>
        <w:tc>
          <w:tcPr>
            <w:tcW w:w="8800" w:type="dxa"/>
            <w:vAlign w:val="bottom"/>
          </w:tcPr>
          <w:p>
            <w:pPr>
              <w:spacing w:after="0"/>
              <w:rPr>
                <w:sz w:val="20"/>
                <w:szCs w:val="20"/>
                <w:color w:val="auto"/>
              </w:rPr>
            </w:pPr>
            <w:r>
              <w:rPr>
                <w:rFonts w:ascii="Arial" w:cs="Arial" w:eastAsia="Arial" w:hAnsi="Arial"/>
                <w:sz w:val="19"/>
                <w:szCs w:val="19"/>
                <w:b w:val="1"/>
                <w:bCs w:val="1"/>
                <w:i w:val="1"/>
                <w:iCs w:val="1"/>
                <w:color w:val="auto"/>
              </w:rPr>
              <w:t>Cash Flows from Operating Activities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9"/>
        </w:trPr>
        <w:tc>
          <w:tcPr>
            <w:tcW w:w="8800" w:type="dxa"/>
            <w:vAlign w:val="bottom"/>
          </w:tcPr>
          <w:p>
            <w:pPr>
              <w:ind w:left="260"/>
              <w:spacing w:after="0"/>
              <w:rPr>
                <w:sz w:val="20"/>
                <w:szCs w:val="20"/>
                <w:color w:val="auto"/>
              </w:rPr>
            </w:pPr>
            <w:r>
              <w:rPr>
                <w:rFonts w:ascii="Arial" w:cs="Arial" w:eastAsia="Arial" w:hAnsi="Arial"/>
                <w:sz w:val="19"/>
                <w:szCs w:val="19"/>
                <w:color w:val="auto"/>
              </w:rPr>
              <w:t>Net loss</w:t>
            </w:r>
          </w:p>
        </w:tc>
        <w:tc>
          <w:tcPr>
            <w:tcW w:w="92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Pr>
          <w:p>
            <w:pPr>
              <w:jc w:val="right"/>
              <w:spacing w:after="0"/>
              <w:rPr>
                <w:sz w:val="20"/>
                <w:szCs w:val="20"/>
                <w:color w:val="auto"/>
              </w:rPr>
            </w:pPr>
            <w:r>
              <w:rPr>
                <w:rFonts w:ascii="Arial" w:cs="Arial" w:eastAsia="Arial" w:hAnsi="Arial"/>
                <w:sz w:val="19"/>
                <w:szCs w:val="19"/>
                <w:color w:val="auto"/>
              </w:rPr>
              <w:t>(6,341,087)</w:t>
            </w:r>
          </w:p>
        </w:tc>
      </w:tr>
      <w:tr>
        <w:trPr>
          <w:trHeight w:val="216"/>
        </w:trPr>
        <w:tc>
          <w:tcPr>
            <w:tcW w:w="8800" w:type="dxa"/>
            <w:vAlign w:val="bottom"/>
          </w:tcPr>
          <w:p>
            <w:pPr>
              <w:ind w:left="260"/>
              <w:spacing w:after="0" w:line="216" w:lineRule="exact"/>
              <w:rPr>
                <w:sz w:val="20"/>
                <w:szCs w:val="20"/>
                <w:color w:val="auto"/>
              </w:rPr>
            </w:pPr>
            <w:r>
              <w:rPr>
                <w:rFonts w:ascii="Arial" w:cs="Arial" w:eastAsia="Arial" w:hAnsi="Arial"/>
                <w:sz w:val="19"/>
                <w:szCs w:val="19"/>
                <w:color w:val="auto"/>
              </w:rPr>
              <w:t>Adjustments to reconcile net loss to net cash</w:t>
            </w: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provided by operating activities:</w:t>
            </w: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800" w:type="dxa"/>
            <w:vAlign w:val="bottom"/>
          </w:tcPr>
          <w:p>
            <w:pPr>
              <w:ind w:left="500"/>
              <w:spacing w:after="0"/>
              <w:rPr>
                <w:sz w:val="20"/>
                <w:szCs w:val="20"/>
                <w:color w:val="auto"/>
              </w:rPr>
            </w:pPr>
            <w:r>
              <w:rPr>
                <w:rFonts w:ascii="Arial" w:cs="Arial" w:eastAsia="Arial" w:hAnsi="Arial"/>
                <w:sz w:val="19"/>
                <w:szCs w:val="19"/>
                <w:color w:val="auto"/>
              </w:rPr>
              <w:t>Depreciation, depletion and amortization</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9,581,200</w:t>
            </w:r>
          </w:p>
        </w:tc>
      </w:tr>
      <w:tr>
        <w:trPr>
          <w:trHeight w:val="229"/>
        </w:trPr>
        <w:tc>
          <w:tcPr>
            <w:tcW w:w="8800" w:type="dxa"/>
            <w:vAlign w:val="bottom"/>
          </w:tcPr>
          <w:p>
            <w:pPr>
              <w:ind w:left="500"/>
              <w:spacing w:after="0"/>
              <w:rPr>
                <w:sz w:val="20"/>
                <w:szCs w:val="20"/>
                <w:color w:val="auto"/>
              </w:rPr>
            </w:pPr>
            <w:r>
              <w:rPr>
                <w:rFonts w:ascii="Arial" w:cs="Arial" w:eastAsia="Arial" w:hAnsi="Arial"/>
                <w:sz w:val="19"/>
                <w:szCs w:val="19"/>
                <w:color w:val="auto"/>
              </w:rPr>
              <w:t>Accretion of asset retirement obligations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642,791</w:t>
            </w:r>
          </w:p>
        </w:tc>
      </w:tr>
      <w:tr>
        <w:trPr>
          <w:trHeight w:val="230"/>
        </w:trPr>
        <w:tc>
          <w:tcPr>
            <w:tcW w:w="8800" w:type="dxa"/>
            <w:vAlign w:val="bottom"/>
          </w:tcPr>
          <w:p>
            <w:pPr>
              <w:ind w:left="500"/>
              <w:spacing w:after="0"/>
              <w:rPr>
                <w:sz w:val="20"/>
                <w:szCs w:val="20"/>
                <w:color w:val="auto"/>
              </w:rPr>
            </w:pPr>
            <w:r>
              <w:rPr>
                <w:rFonts w:ascii="Arial" w:cs="Arial" w:eastAsia="Arial" w:hAnsi="Arial"/>
                <w:sz w:val="19"/>
                <w:szCs w:val="19"/>
                <w:color w:val="auto"/>
              </w:rPr>
              <w:t>Bad debt expense</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29,840</w:t>
            </w:r>
          </w:p>
        </w:tc>
      </w:tr>
      <w:tr>
        <w:trPr>
          <w:trHeight w:val="229"/>
        </w:trPr>
        <w:tc>
          <w:tcPr>
            <w:tcW w:w="8800" w:type="dxa"/>
            <w:vAlign w:val="bottom"/>
          </w:tcPr>
          <w:p>
            <w:pPr>
              <w:ind w:left="500"/>
              <w:spacing w:after="0"/>
              <w:rPr>
                <w:sz w:val="20"/>
                <w:szCs w:val="20"/>
                <w:color w:val="auto"/>
              </w:rPr>
            </w:pPr>
            <w:r>
              <w:rPr>
                <w:rFonts w:ascii="Arial" w:cs="Arial" w:eastAsia="Arial" w:hAnsi="Arial"/>
                <w:sz w:val="19"/>
                <w:szCs w:val="19"/>
                <w:color w:val="auto"/>
              </w:rPr>
              <w:t>Gains on sales of assets</w:t>
            </w:r>
          </w:p>
        </w:tc>
        <w:tc>
          <w:tcPr>
            <w:tcW w:w="9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(14,796)</w:t>
            </w: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Changes in operating assets and liabilities:</w:t>
            </w: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800" w:type="dxa"/>
            <w:vAlign w:val="bottom"/>
          </w:tcPr>
          <w:p>
            <w:pPr>
              <w:ind w:left="500"/>
              <w:spacing w:after="0"/>
              <w:rPr>
                <w:sz w:val="20"/>
                <w:szCs w:val="20"/>
                <w:color w:val="auto"/>
              </w:rPr>
            </w:pPr>
            <w:r>
              <w:rPr>
                <w:rFonts w:ascii="Arial" w:cs="Arial" w:eastAsia="Arial" w:hAnsi="Arial"/>
                <w:sz w:val="19"/>
                <w:szCs w:val="19"/>
                <w:color w:val="auto"/>
              </w:rPr>
              <w:t>Accounts receivable</w:t>
            </w:r>
          </w:p>
        </w:tc>
        <w:tc>
          <w:tcPr>
            <w:tcW w:w="9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(4,786,246)</w:t>
            </w:r>
          </w:p>
        </w:tc>
      </w:tr>
      <w:tr>
        <w:trPr>
          <w:trHeight w:val="229"/>
        </w:trPr>
        <w:tc>
          <w:tcPr>
            <w:tcW w:w="8800" w:type="dxa"/>
            <w:vAlign w:val="bottom"/>
          </w:tcPr>
          <w:p>
            <w:pPr>
              <w:ind w:left="500"/>
              <w:spacing w:after="0"/>
              <w:rPr>
                <w:sz w:val="20"/>
                <w:szCs w:val="20"/>
                <w:color w:val="auto"/>
              </w:rPr>
            </w:pPr>
            <w:r>
              <w:rPr>
                <w:rFonts w:ascii="Arial" w:cs="Arial" w:eastAsia="Arial" w:hAnsi="Arial"/>
                <w:sz w:val="19"/>
                <w:szCs w:val="19"/>
                <w:color w:val="auto"/>
              </w:rPr>
              <w:t>Prepaid expenses and other assets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13,484</w:t>
            </w:r>
          </w:p>
        </w:tc>
      </w:tr>
      <w:tr>
        <w:trPr>
          <w:trHeight w:val="230"/>
        </w:trPr>
        <w:tc>
          <w:tcPr>
            <w:tcW w:w="8800" w:type="dxa"/>
            <w:vAlign w:val="bottom"/>
          </w:tcPr>
          <w:p>
            <w:pPr>
              <w:ind w:left="500"/>
              <w:spacing w:after="0"/>
              <w:rPr>
                <w:sz w:val="20"/>
                <w:szCs w:val="20"/>
                <w:color w:val="auto"/>
              </w:rPr>
            </w:pPr>
            <w:r>
              <w:rPr>
                <w:rFonts w:ascii="Arial" w:cs="Arial" w:eastAsia="Arial" w:hAnsi="Arial"/>
                <w:sz w:val="19"/>
                <w:szCs w:val="19"/>
                <w:color w:val="auto"/>
              </w:rPr>
              <w:t>Accounts payable and revenue payable</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20,944,181</w:t>
            </w:r>
          </w:p>
        </w:tc>
      </w:tr>
      <w:tr>
        <w:trPr>
          <w:trHeight w:val="229"/>
        </w:trPr>
        <w:tc>
          <w:tcPr>
            <w:tcW w:w="8800" w:type="dxa"/>
            <w:vAlign w:val="bottom"/>
          </w:tcPr>
          <w:p>
            <w:pPr>
              <w:ind w:left="500"/>
              <w:spacing w:after="0"/>
              <w:rPr>
                <w:sz w:val="20"/>
                <w:szCs w:val="20"/>
                <w:color w:val="auto"/>
              </w:rPr>
            </w:pPr>
            <w:r>
              <w:rPr>
                <w:rFonts w:ascii="Arial" w:cs="Arial" w:eastAsia="Arial" w:hAnsi="Arial"/>
                <w:sz w:val="19"/>
                <w:szCs w:val="19"/>
                <w:color w:val="auto"/>
              </w:rPr>
              <w:t>Drilling advances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3,441,260</w:t>
            </w:r>
          </w:p>
        </w:tc>
      </w:tr>
      <w:tr>
        <w:trPr>
          <w:trHeight w:val="229"/>
        </w:trPr>
        <w:tc>
          <w:tcPr>
            <w:tcW w:w="8800" w:type="dxa"/>
            <w:vAlign w:val="bottom"/>
          </w:tcPr>
          <w:p>
            <w:pPr>
              <w:ind w:left="500"/>
              <w:spacing w:after="0"/>
              <w:rPr>
                <w:sz w:val="20"/>
                <w:szCs w:val="20"/>
                <w:color w:val="auto"/>
              </w:rPr>
            </w:pPr>
            <w:r>
              <w:rPr>
                <w:rFonts w:ascii="Arial" w:cs="Arial" w:eastAsia="Arial" w:hAnsi="Arial"/>
                <w:sz w:val="19"/>
                <w:szCs w:val="19"/>
                <w:color w:val="auto"/>
              </w:rPr>
              <w:t>Settlements of asset retirement obligations</w:t>
            </w:r>
          </w:p>
        </w:tc>
        <w:tc>
          <w:tcPr>
            <w:tcW w:w="9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(400,446)</w:t>
            </w:r>
          </w:p>
        </w:tc>
      </w:tr>
      <w:tr>
        <w:trPr>
          <w:trHeight w:val="243"/>
        </w:trPr>
        <w:tc>
          <w:tcPr>
            <w:tcW w:w="8800" w:type="dxa"/>
            <w:vAlign w:val="bottom"/>
            <w:tcBorders>
              <w:bottom w:val="single" w:sz="8" w:color="auto"/>
            </w:tcBorders>
          </w:tcPr>
          <w:p>
            <w:pPr>
              <w:ind w:left="500"/>
              <w:spacing w:after="0"/>
              <w:rPr>
                <w:sz w:val="20"/>
                <w:szCs w:val="20"/>
                <w:color w:val="auto"/>
              </w:rPr>
            </w:pPr>
            <w:r>
              <w:rPr>
                <w:rFonts w:ascii="Arial" w:cs="Arial" w:eastAsia="Arial" w:hAnsi="Arial"/>
                <w:sz w:val="19"/>
                <w:szCs w:val="19"/>
                <w:color w:val="auto"/>
              </w:rPr>
              <w:t>Accrued liabilities</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707,942</w:t>
            </w: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Provided by Operating Activities</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23,818,123</w:t>
            </w:r>
          </w:p>
        </w:tc>
      </w:tr>
      <w:tr>
        <w:trPr>
          <w:trHeight w:val="453"/>
        </w:trPr>
        <w:tc>
          <w:tcPr>
            <w:tcW w:w="8800" w:type="dxa"/>
            <w:vAlign w:val="bottom"/>
          </w:tcPr>
          <w:p>
            <w:pPr>
              <w:spacing w:after="0"/>
              <w:rPr>
                <w:sz w:val="20"/>
                <w:szCs w:val="20"/>
                <w:color w:val="auto"/>
              </w:rPr>
            </w:pPr>
            <w:r>
              <w:rPr>
                <w:rFonts w:ascii="Arial" w:cs="Arial" w:eastAsia="Arial" w:hAnsi="Arial"/>
                <w:sz w:val="19"/>
                <w:szCs w:val="19"/>
                <w:b w:val="1"/>
                <w:bCs w:val="1"/>
                <w:color w:val="auto"/>
              </w:rPr>
              <w:t>Cash Flows from Investing Activities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8800" w:type="dxa"/>
            <w:vAlign w:val="bottom"/>
          </w:tcPr>
          <w:p>
            <w:pPr>
              <w:ind w:left="260"/>
              <w:spacing w:after="0" w:line="216" w:lineRule="exact"/>
              <w:rPr>
                <w:sz w:val="20"/>
                <w:szCs w:val="20"/>
                <w:color w:val="auto"/>
              </w:rPr>
            </w:pPr>
            <w:r>
              <w:rPr>
                <w:rFonts w:ascii="Arial" w:cs="Arial" w:eastAsia="Arial" w:hAnsi="Arial"/>
                <w:sz w:val="19"/>
                <w:szCs w:val="19"/>
                <w:color w:val="auto"/>
              </w:rPr>
              <w:t>Payments for oil and natural gas properties and</w:t>
            </w: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8800" w:type="dxa"/>
            <w:vAlign w:val="bottom"/>
          </w:tcPr>
          <w:p>
            <w:pPr>
              <w:ind w:left="420"/>
              <w:spacing w:after="0"/>
              <w:rPr>
                <w:sz w:val="20"/>
                <w:szCs w:val="20"/>
                <w:color w:val="auto"/>
              </w:rPr>
            </w:pPr>
            <w:r>
              <w:rPr>
                <w:rFonts w:ascii="Arial" w:cs="Arial" w:eastAsia="Arial" w:hAnsi="Arial"/>
                <w:sz w:val="19"/>
                <w:szCs w:val="19"/>
                <w:color w:val="auto"/>
              </w:rPr>
              <w:t>equipment</w:t>
            </w:r>
          </w:p>
        </w:tc>
        <w:tc>
          <w:tcPr>
            <w:tcW w:w="9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(53,780,398)</w:t>
            </w: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Proceeds from sales of oil and natural gas properties</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588,000</w:t>
            </w: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Proceeds from sales of other property and equipment</w:t>
            </w:r>
          </w:p>
        </w:tc>
        <w:tc>
          <w:tcPr>
            <w:tcW w:w="92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26,000</w:t>
            </w:r>
          </w:p>
        </w:tc>
      </w:tr>
      <w:tr>
        <w:trPr>
          <w:trHeight w:val="243"/>
        </w:trPr>
        <w:tc>
          <w:tcPr>
            <w:tcW w:w="8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Deposit and other assets</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(41,500)</w:t>
            </w: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Used in Investing Activities</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(53,207,898)</w:t>
            </w:r>
          </w:p>
        </w:tc>
      </w:tr>
      <w:tr>
        <w:trPr>
          <w:trHeight w:val="453"/>
        </w:trPr>
        <w:tc>
          <w:tcPr>
            <w:tcW w:w="8800" w:type="dxa"/>
            <w:vAlign w:val="bottom"/>
          </w:tcPr>
          <w:p>
            <w:pPr>
              <w:spacing w:after="0"/>
              <w:rPr>
                <w:sz w:val="20"/>
                <w:szCs w:val="20"/>
                <w:color w:val="auto"/>
              </w:rPr>
            </w:pPr>
            <w:r>
              <w:rPr>
                <w:rFonts w:ascii="Arial" w:cs="Arial" w:eastAsia="Arial" w:hAnsi="Arial"/>
                <w:sz w:val="19"/>
                <w:szCs w:val="19"/>
                <w:b w:val="1"/>
                <w:bCs w:val="1"/>
                <w:color w:val="auto"/>
              </w:rPr>
              <w:t>Cash Flows from Financing Activities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8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Proceeds from borrowings on long-term debt</w:t>
            </w:r>
          </w:p>
        </w:tc>
        <w:tc>
          <w:tcPr>
            <w:tcW w:w="9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30,000,000</w:t>
            </w: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Cash Provided by Financing Activities</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30,000,000</w:t>
            </w:r>
          </w:p>
        </w:tc>
      </w:tr>
      <w:tr>
        <w:trPr>
          <w:trHeight w:val="488"/>
        </w:trPr>
        <w:tc>
          <w:tcPr>
            <w:tcW w:w="8800" w:type="dxa"/>
            <w:vAlign w:val="bottom"/>
          </w:tcPr>
          <w:p>
            <w:pPr>
              <w:spacing w:after="0"/>
              <w:rPr>
                <w:sz w:val="20"/>
                <w:szCs w:val="20"/>
                <w:color w:val="auto"/>
              </w:rPr>
            </w:pPr>
            <w:r>
              <w:rPr>
                <w:rFonts w:ascii="Arial" w:cs="Arial" w:eastAsia="Arial" w:hAnsi="Arial"/>
                <w:sz w:val="19"/>
                <w:szCs w:val="19"/>
                <w:b w:val="1"/>
                <w:bCs w:val="1"/>
                <w:color w:val="auto"/>
              </w:rPr>
              <w:t>Net Increase in Cash, Cash Equivalents and Restricted Cash</w:t>
            </w:r>
          </w:p>
        </w:tc>
        <w:tc>
          <w:tcPr>
            <w:tcW w:w="920" w:type="dxa"/>
            <w:vAlign w:val="bottom"/>
          </w:tcPr>
          <w:p>
            <w:pPr>
              <w:spacing w:after="0"/>
              <w:rPr>
                <w:sz w:val="24"/>
                <w:szCs w:val="24"/>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610,225</w:t>
            </w:r>
          </w:p>
        </w:tc>
      </w:tr>
      <w:tr>
        <w:trPr>
          <w:trHeight w:val="43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Cash, Cash Equivalents and Restricted Cash - Beginning of Year</w:t>
            </w: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3,314,964</w:t>
            </w:r>
          </w:p>
        </w:tc>
      </w:tr>
      <w:tr>
        <w:trPr>
          <w:trHeight w:val="466"/>
        </w:trPr>
        <w:tc>
          <w:tcPr>
            <w:tcW w:w="880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Cash, Cash Equivalents and Restricted Cash - End of Year</w:t>
            </w: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3,925,189</w:t>
            </w:r>
          </w:p>
        </w:tc>
      </w:tr>
      <w:tr>
        <w:trPr>
          <w:trHeight w:val="453"/>
        </w:trPr>
        <w:tc>
          <w:tcPr>
            <w:tcW w:w="8800" w:type="dxa"/>
            <w:vAlign w:val="bottom"/>
          </w:tcPr>
          <w:p>
            <w:pPr>
              <w:spacing w:after="0"/>
              <w:rPr>
                <w:sz w:val="20"/>
                <w:szCs w:val="20"/>
                <w:color w:val="auto"/>
              </w:rPr>
            </w:pPr>
            <w:r>
              <w:rPr>
                <w:rFonts w:ascii="Arial" w:cs="Arial" w:eastAsia="Arial" w:hAnsi="Arial"/>
                <w:sz w:val="19"/>
                <w:szCs w:val="19"/>
                <w:b w:val="1"/>
                <w:bCs w:val="1"/>
                <w:color w:val="auto"/>
              </w:rPr>
              <w:t>Supplemental Cash Flow Information</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5"/>
        </w:trPr>
        <w:tc>
          <w:tcPr>
            <w:tcW w:w="8800" w:type="dxa"/>
            <w:vAlign w:val="bottom"/>
          </w:tcPr>
          <w:p>
            <w:pPr>
              <w:ind w:left="260"/>
              <w:spacing w:after="0"/>
              <w:rPr>
                <w:sz w:val="20"/>
                <w:szCs w:val="20"/>
                <w:color w:val="auto"/>
              </w:rPr>
            </w:pPr>
            <w:r>
              <w:rPr>
                <w:rFonts w:ascii="Arial" w:cs="Arial" w:eastAsia="Arial" w:hAnsi="Arial"/>
                <w:sz w:val="19"/>
                <w:szCs w:val="19"/>
                <w:color w:val="auto"/>
              </w:rPr>
              <w:t>Cash paid for interest</w:t>
            </w:r>
          </w:p>
        </w:tc>
        <w:tc>
          <w:tcPr>
            <w:tcW w:w="92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5,217,778</w:t>
            </w:r>
          </w:p>
        </w:tc>
      </w:tr>
      <w:tr>
        <w:trPr>
          <w:trHeight w:val="433"/>
        </w:trPr>
        <w:tc>
          <w:tcPr>
            <w:tcW w:w="8800" w:type="dxa"/>
            <w:vAlign w:val="bottom"/>
          </w:tcPr>
          <w:p>
            <w:pPr>
              <w:spacing w:after="0"/>
              <w:rPr>
                <w:sz w:val="20"/>
                <w:szCs w:val="20"/>
                <w:color w:val="auto"/>
              </w:rPr>
            </w:pPr>
            <w:r>
              <w:rPr>
                <w:rFonts w:ascii="Arial" w:cs="Arial" w:eastAsia="Arial" w:hAnsi="Arial"/>
                <w:sz w:val="19"/>
                <w:szCs w:val="19"/>
                <w:b w:val="1"/>
                <w:bCs w:val="1"/>
                <w:color w:val="auto"/>
              </w:rPr>
              <w:t>Non-Cash Investing and Financing Activities</w:t>
            </w: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8800" w:type="dxa"/>
            <w:vAlign w:val="bottom"/>
          </w:tcPr>
          <w:p>
            <w:pPr>
              <w:ind w:left="260"/>
              <w:spacing w:after="0"/>
              <w:rPr>
                <w:sz w:val="20"/>
                <w:szCs w:val="20"/>
                <w:color w:val="auto"/>
              </w:rPr>
            </w:pPr>
            <w:r>
              <w:rPr>
                <w:rFonts w:ascii="Arial" w:cs="Arial" w:eastAsia="Arial" w:hAnsi="Arial"/>
                <w:sz w:val="19"/>
                <w:szCs w:val="19"/>
                <w:color w:val="auto"/>
              </w:rPr>
              <w:t>Oil and natural gas properties accrued</w:t>
            </w:r>
          </w:p>
        </w:tc>
        <w:tc>
          <w:tcPr>
            <w:tcW w:w="92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2,102,034</w:t>
            </w:r>
          </w:p>
        </w:tc>
      </w:tr>
      <w:tr>
        <w:trPr>
          <w:trHeight w:val="256"/>
        </w:trPr>
        <w:tc>
          <w:tcPr>
            <w:tcW w:w="880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Asset retirement obligations</w:t>
            </w: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(483,851)</w:t>
            </w:r>
          </w:p>
        </w:tc>
      </w:tr>
    </w:tbl>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2" w:lineRule="exact"/>
        <w:rPr>
          <w:sz w:val="20"/>
          <w:szCs w:val="20"/>
          <w:color w:val="auto"/>
        </w:rPr>
      </w:pPr>
    </w:p>
    <w:p>
      <w:pPr>
        <w:ind w:left="800" w:hanging="792"/>
        <w:spacing w:after="0"/>
        <w:tabs>
          <w:tab w:leader="none" w:pos="800" w:val="left"/>
        </w:tabs>
        <w:numPr>
          <w:ilvl w:val="0"/>
          <w:numId w:val="138"/>
        </w:numPr>
        <w:rPr>
          <w:rFonts w:ascii="Arial" w:cs="Arial" w:eastAsia="Arial" w:hAnsi="Arial"/>
          <w:sz w:val="19"/>
          <w:szCs w:val="19"/>
          <w:b w:val="1"/>
          <w:bCs w:val="1"/>
          <w:color w:val="auto"/>
        </w:rPr>
      </w:pPr>
      <w:r>
        <w:rPr>
          <w:rFonts w:ascii="Arial" w:cs="Arial" w:eastAsia="Arial" w:hAnsi="Arial"/>
          <w:sz w:val="19"/>
          <w:szCs w:val="19"/>
          <w:b w:val="1"/>
          <w:bCs w:val="1"/>
          <w:color w:val="auto"/>
        </w:rPr>
        <w:t>Nature of Operations and Organization</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RAM Energy Holdings LLC (“Holdings”), formerly named PNNT RAM Energy LLC, is a Delaware limited liability company, wholly-owned by PennantPark Investment Corporation (“PennantPark”), and was formed in July 2014 as a holding company for interest ownership in RAM Energy LLC (“RAM”). RAM Fayette LLC (“Fayette”) was formed in September 2017 and Fayette Service Company LLC (“Service”) was formed in June 2018. As of September 30, 2019, both subsidiaries were wholly- owned by RAM. Holdings, RAM and its subsidiaries are herein referred to as the “Company.”</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RAM was formed in April 2012 as a privately held, independent oil and natural gas company engaged in the acquisition, exploration, exploitation, development and production of oil and natural gas.</w:t>
      </w:r>
    </w:p>
    <w:p>
      <w:pPr>
        <w:spacing w:after="0" w:line="144" w:lineRule="exact"/>
        <w:rPr>
          <w:sz w:val="20"/>
          <w:szCs w:val="20"/>
          <w:color w:val="auto"/>
        </w:rPr>
      </w:pPr>
    </w:p>
    <w:p>
      <w:pPr>
        <w:spacing w:after="0"/>
        <w:rPr>
          <w:sz w:val="20"/>
          <w:szCs w:val="20"/>
          <w:color w:val="auto"/>
        </w:rPr>
      </w:pPr>
      <w:r>
        <w:rPr>
          <w:rFonts w:ascii="Arial" w:cs="Arial" w:eastAsia="Arial" w:hAnsi="Arial"/>
          <w:sz w:val="19"/>
          <w:szCs w:val="19"/>
          <w:color w:val="auto"/>
        </w:rPr>
        <w:t>In August 2015, RAM became a wholly-owned and consolidated subsidiary of Holdings.</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September 2017, Holdings issued PennantPark 61,606 common units in satisfaction of the $88 million of outstanding debt that RAM owed to PennantPark. Holdings then entered into a new $35 million term loan. In June 2018, the credit agreement was amended to add a $15 million revolving loan. The credit agreement was amended in January 2019 and May 2019 to increase the revolving loan to $40 million, and further amended in October 2019 to increase the revolving loan to $50 million. See Notes 6 and 9.</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auto"/>
        </w:rPr>
        <w:t>In July 2018, the Company began a drilling program in the Austin Chalk formation. Fayette was formed to be an owner in the new wells drilled, and Service was formed to invest in gathering and facilities infrastructure.</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RAM operates exclusively in the upstream segment of the oil and gas industry with activities including the drilling, completion, and operation of oil and natural gas wells. RAM conducts the majority of its operations in the state of Texas, with minor operations in the states of Arkansas, New Mexico and Oklahoma.</w:t>
      </w:r>
    </w:p>
    <w:p>
      <w:pPr>
        <w:spacing w:after="0" w:line="160" w:lineRule="exact"/>
        <w:rPr>
          <w:sz w:val="20"/>
          <w:szCs w:val="20"/>
          <w:color w:val="auto"/>
        </w:rPr>
      </w:pPr>
    </w:p>
    <w:p>
      <w:pPr>
        <w:ind w:left="780" w:hanging="772"/>
        <w:spacing w:after="0"/>
        <w:tabs>
          <w:tab w:leader="none" w:pos="780" w:val="left"/>
        </w:tabs>
        <w:numPr>
          <w:ilvl w:val="0"/>
          <w:numId w:val="139"/>
        </w:numPr>
        <w:rPr>
          <w:rFonts w:ascii="Arial" w:cs="Arial" w:eastAsia="Arial" w:hAnsi="Arial"/>
          <w:sz w:val="19"/>
          <w:szCs w:val="19"/>
          <w:b w:val="1"/>
          <w:bCs w:val="1"/>
          <w:color w:val="auto"/>
        </w:rPr>
      </w:pPr>
      <w:r>
        <w:rPr>
          <w:rFonts w:ascii="Arial" w:cs="Arial" w:eastAsia="Arial" w:hAnsi="Arial"/>
          <w:sz w:val="19"/>
          <w:szCs w:val="19"/>
          <w:b w:val="1"/>
          <w:bCs w:val="1"/>
          <w:color w:val="auto"/>
        </w:rPr>
        <w:t>Liquidity</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9"/>
          <w:szCs w:val="19"/>
          <w:color w:val="auto"/>
        </w:rPr>
        <w:t>The Company had a member’s deficit of $37.2 million and a working capital deficit of $23.9 million at September 30, 2019. The working capital deficit is largely due to the new drilling program.</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On October 16, 2019, RAM, in conjunction with Fayette and Service as co-borrowers, secured and closed a first-lien multi-draw $70 million term loan facility with Macquarie Investments US Inc. (“Macquarie”). At closing, RAM borrowed $30.5 million from Macquarie (“Tranche A”). The Tranche A use of proceeds was for working capital, for the completion of the four wells mentioned above and for fees and expenses of the facility.</w:t>
      </w:r>
    </w:p>
    <w:p>
      <w:pPr>
        <w:spacing w:after="0" w:line="170"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At closing, Pennant Park invested an additional $10 million of equity, funded as an additional revolving advance to Holdings, for additional working capital support. Tranche B availability of $16 million, if utilized, along with cash flow from operations, is expected to be applied towards the drilling and completion costs of the Ranger Pad. Tranche B will become available when certain production targets are met by existing assets and the four wells currently being completed. The Company fully expects to meet Tranche B production targets. Tranche C is documented as $23.5 million and conditions of its draw and use of proceeds is to be determined at a later date.</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Macquarie term loan has a LIBOR plus 8% interest rate, payable monthly. Further, there is a variable amortization schedule with the first amortization payment due at the end of November 2019 with additional amortization payments after the Tranche B draw, to the extent it becomes available and is drawn. This debt facility has typical affirmative and negative covenant for a first- lien oil and gas credit facility. Management believes that each of the agreed covenants will be met through November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1" w:name="page142"/>
    <w:bookmarkEnd w:id="141"/>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2" w:lineRule="exact"/>
        <w:rPr>
          <w:sz w:val="20"/>
          <w:szCs w:val="20"/>
          <w:color w:val="auto"/>
        </w:rPr>
      </w:pPr>
    </w:p>
    <w:p>
      <w:pPr>
        <w:ind w:left="780" w:hanging="772"/>
        <w:spacing w:after="0"/>
        <w:tabs>
          <w:tab w:leader="none" w:pos="780" w:val="left"/>
        </w:tabs>
        <w:numPr>
          <w:ilvl w:val="0"/>
          <w:numId w:val="140"/>
        </w:numPr>
        <w:rPr>
          <w:rFonts w:ascii="Arial" w:cs="Arial" w:eastAsia="Arial" w:hAnsi="Arial"/>
          <w:sz w:val="19"/>
          <w:szCs w:val="19"/>
          <w:b w:val="1"/>
          <w:bCs w:val="1"/>
          <w:color w:val="auto"/>
        </w:rPr>
      </w:pPr>
      <w:r>
        <w:rPr>
          <w:rFonts w:ascii="Arial" w:cs="Arial" w:eastAsia="Arial" w:hAnsi="Arial"/>
          <w:sz w:val="19"/>
          <w:szCs w:val="19"/>
          <w:b w:val="1"/>
          <w:bCs w:val="1"/>
          <w:color w:val="auto"/>
        </w:rPr>
        <w:t>Summary of Significant Accounting Policies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accompanying consolidated financial statements include the accounts of Holdings, its wholly- owned subsidiary, RAM, and RAM’s wholly-owned subsidiaries, Fayette and Service. All significant intercompany accounts and transactions have been eliminated in consolidation.</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Property and Equipment</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September 30, 2019, the net book value of the Company’s oil and natural gas properties did not exceed the Ceiling Limitation.</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 ended September 30, 2019.</w:t>
      </w:r>
    </w:p>
    <w:p>
      <w:pPr>
        <w:spacing w:after="0" w:line="186"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 ended September 30, 2019 was approximately $34 thousand.</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Depreciation, Depletion and Amortization</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and Cash Equivalents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All highly liquid unrestricted investments with a maturity of three months or less when purchased are considered to be cash equivalents.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Restricted Cash</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At September 30, 2019, the Company had approximately $733 thousand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following table provides a reconciliation of cash, cash equivalents, and restricted cash reported within the statement of financial position that sum to the total of the same such amounts shown in the statement of cash flows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7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29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706"/>
              <w:spacing w:after="0"/>
              <w:rPr>
                <w:sz w:val="20"/>
                <w:szCs w:val="20"/>
                <w:color w:val="auto"/>
              </w:rPr>
            </w:pPr>
            <w:r>
              <w:rPr>
                <w:rFonts w:ascii="Arial" w:cs="Arial" w:eastAsia="Arial" w:hAnsi="Arial"/>
                <w:sz w:val="19"/>
                <w:szCs w:val="19"/>
                <w:b w:val="1"/>
                <w:bCs w:val="1"/>
                <w:color w:val="auto"/>
              </w:rPr>
              <w:t>2019</w:t>
            </w:r>
          </w:p>
        </w:tc>
      </w:tr>
      <w:tr>
        <w:trPr>
          <w:trHeight w:val="223"/>
        </w:trPr>
        <w:tc>
          <w:tcPr>
            <w:tcW w:w="676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296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3,192</w:t>
            </w:r>
          </w:p>
        </w:tc>
      </w:tr>
      <w:tr>
        <w:trPr>
          <w:trHeight w:val="243"/>
        </w:trPr>
        <w:tc>
          <w:tcPr>
            <w:tcW w:w="67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Restricted cash included in other long-term assets</w:t>
            </w:r>
          </w:p>
        </w:tc>
        <w:tc>
          <w:tcPr>
            <w:tcW w:w="29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733</w:t>
            </w:r>
          </w:p>
        </w:tc>
      </w:tr>
      <w:tr>
        <w:trPr>
          <w:trHeight w:val="210"/>
        </w:trPr>
        <w:tc>
          <w:tcPr>
            <w:tcW w:w="6760" w:type="dxa"/>
            <w:vAlign w:val="bottom"/>
          </w:tcPr>
          <w:p>
            <w:pPr>
              <w:spacing w:after="0" w:line="210" w:lineRule="exact"/>
              <w:rPr>
                <w:sz w:val="20"/>
                <w:szCs w:val="20"/>
                <w:color w:val="auto"/>
              </w:rPr>
            </w:pPr>
            <w:r>
              <w:rPr>
                <w:rFonts w:ascii="Arial" w:cs="Arial" w:eastAsia="Arial" w:hAnsi="Arial"/>
                <w:sz w:val="19"/>
                <w:szCs w:val="19"/>
                <w:color w:val="auto"/>
              </w:rPr>
              <w:t>Total cash, cash equivalents, and restricted cash</w:t>
            </w:r>
          </w:p>
        </w:tc>
        <w:tc>
          <w:tcPr>
            <w:tcW w:w="29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56"/>
        </w:trPr>
        <w:tc>
          <w:tcPr>
            <w:tcW w:w="67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shown in the statement of cash flows</w:t>
            </w:r>
          </w:p>
        </w:tc>
        <w:tc>
          <w:tcPr>
            <w:tcW w:w="296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3,925</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Concentrations of Credit Risk</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2019, over 83%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2019, the allowance for doubtful accounts was $8 thousand.</w:t>
      </w:r>
    </w:p>
    <w:p>
      <w:pPr>
        <w:spacing w:after="0" w:line="174" w:lineRule="exact"/>
        <w:rPr>
          <w:sz w:val="20"/>
          <w:szCs w:val="20"/>
          <w:color w:val="auto"/>
        </w:rPr>
      </w:pPr>
    </w:p>
    <w:p>
      <w:pPr>
        <w:jc w:val="both"/>
        <w:ind w:right="20"/>
        <w:spacing w:after="0" w:line="306" w:lineRule="auto"/>
        <w:rPr>
          <w:sz w:val="20"/>
          <w:szCs w:val="20"/>
          <w:color w:val="auto"/>
        </w:rPr>
      </w:pPr>
      <w:r>
        <w:rPr>
          <w:rFonts w:ascii="Arial" w:cs="Arial" w:eastAsia="Arial" w:hAnsi="Arial"/>
          <w:sz w:val="18"/>
          <w:szCs w:val="18"/>
          <w:color w:val="auto"/>
        </w:rPr>
        <w:t>In 2019,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 and Administrative Expenses</w:t>
      </w:r>
    </w:p>
    <w:p>
      <w:pPr>
        <w:spacing w:after="0" w:line="212"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The Company receives fees for the operation of jointly owned oil and natural gas properties and records such reimbursements as reductions of general and administrative expenses. Such fees totaled approximately $0.7 million for the year ended September 30, 2019.</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Oil and Natural Gas Reserves Estimates</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September 30, 2019, the Company calculated its estimate of proved reserves using a twelve month average price, calculated as the unweighted arithmetic average of the first-day-of- 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Asset Retirement Obligations</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 the estimated liability associated with the Company’s oil and natural gas properties is recorded in the consolidated statement of operations.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040" w:type="dxa"/>
            <w:vAlign w:val="bottom"/>
          </w:tcPr>
          <w:p>
            <w:pPr>
              <w:spacing w:after="0"/>
              <w:rPr>
                <w:sz w:val="20"/>
                <w:szCs w:val="20"/>
                <w:color w:val="auto"/>
              </w:rPr>
            </w:pPr>
            <w:r>
              <w:rPr>
                <w:rFonts w:ascii="Arial" w:cs="Arial" w:eastAsia="Arial" w:hAnsi="Arial"/>
                <w:sz w:val="19"/>
                <w:szCs w:val="19"/>
                <w:color w:val="auto"/>
              </w:rPr>
              <w:t>The Company recorded the following activity</w:t>
            </w:r>
          </w:p>
        </w:tc>
        <w:tc>
          <w:tcPr>
            <w:tcW w:w="5700" w:type="dxa"/>
            <w:vAlign w:val="bottom"/>
          </w:tcPr>
          <w:p>
            <w:pPr>
              <w:jc w:val="right"/>
              <w:ind w:right="466"/>
              <w:spacing w:after="0"/>
              <w:rPr>
                <w:sz w:val="20"/>
                <w:szCs w:val="20"/>
                <w:color w:val="auto"/>
              </w:rPr>
            </w:pPr>
            <w:r>
              <w:rPr>
                <w:rFonts w:ascii="Arial" w:cs="Arial" w:eastAsia="Arial" w:hAnsi="Arial"/>
                <w:sz w:val="19"/>
                <w:szCs w:val="19"/>
                <w:color w:val="auto"/>
              </w:rPr>
              <w:t>related to the asset retirement obligations (</w:t>
            </w:r>
            <w:r>
              <w:rPr>
                <w:rFonts w:ascii="Arial" w:cs="Arial" w:eastAsia="Arial" w:hAnsi="Arial"/>
                <w:sz w:val="19"/>
                <w:szCs w:val="19"/>
                <w:i w:val="1"/>
                <w:iCs w:val="1"/>
                <w:color w:val="auto"/>
              </w:rPr>
              <w:t>in thousands</w:t>
            </w:r>
            <w:r>
              <w:rPr>
                <w:rFonts w:ascii="Arial" w:cs="Arial" w:eastAsia="Arial" w:hAnsi="Arial"/>
                <w:sz w:val="19"/>
                <w:szCs w:val="19"/>
                <w:color w:val="auto"/>
              </w:rPr>
              <w:t>):</w:t>
            </w:r>
          </w:p>
        </w:tc>
        <w:tc>
          <w:tcPr>
            <w:tcW w:w="1500" w:type="dxa"/>
            <w:vAlign w:val="bottom"/>
          </w:tcPr>
          <w:p>
            <w:pPr>
              <w:spacing w:after="0"/>
              <w:rPr>
                <w:sz w:val="22"/>
                <w:szCs w:val="22"/>
                <w:color w:val="auto"/>
              </w:rPr>
            </w:pPr>
          </w:p>
        </w:tc>
      </w:tr>
      <w:tr>
        <w:trPr>
          <w:trHeight w:val="447"/>
        </w:trPr>
        <w:tc>
          <w:tcPr>
            <w:tcW w:w="40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5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706"/>
              <w:spacing w:after="0"/>
              <w:rPr>
                <w:sz w:val="20"/>
                <w:szCs w:val="20"/>
                <w:color w:val="auto"/>
              </w:rPr>
            </w:pPr>
            <w:r>
              <w:rPr>
                <w:rFonts w:ascii="Arial" w:cs="Arial" w:eastAsia="Arial" w:hAnsi="Arial"/>
                <w:sz w:val="19"/>
                <w:szCs w:val="19"/>
                <w:b w:val="1"/>
                <w:bCs w:val="1"/>
                <w:color w:val="auto"/>
              </w:rPr>
              <w:t>2019</w:t>
            </w:r>
          </w:p>
        </w:tc>
      </w:tr>
      <w:tr>
        <w:trPr>
          <w:trHeight w:val="437"/>
        </w:trPr>
        <w:tc>
          <w:tcPr>
            <w:tcW w:w="4040" w:type="dxa"/>
            <w:vAlign w:val="bottom"/>
          </w:tcPr>
          <w:p>
            <w:pPr>
              <w:spacing w:after="0"/>
              <w:rPr>
                <w:sz w:val="20"/>
                <w:szCs w:val="20"/>
                <w:color w:val="auto"/>
              </w:rPr>
            </w:pPr>
            <w:r>
              <w:rPr>
                <w:rFonts w:ascii="Arial" w:cs="Arial" w:eastAsia="Arial" w:hAnsi="Arial"/>
                <w:sz w:val="19"/>
                <w:szCs w:val="19"/>
                <w:b w:val="1"/>
                <w:bCs w:val="1"/>
                <w:color w:val="auto"/>
              </w:rPr>
              <w:t>Liability for Asset Retirement Obligations,</w:t>
            </w:r>
          </w:p>
        </w:tc>
        <w:tc>
          <w:tcPr>
            <w:tcW w:w="5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2"/>
        </w:trPr>
        <w:tc>
          <w:tcPr>
            <w:tcW w:w="4040" w:type="dxa"/>
            <w:vAlign w:val="bottom"/>
          </w:tcPr>
          <w:p>
            <w:pPr>
              <w:ind w:left="160"/>
              <w:spacing w:after="0"/>
              <w:rPr>
                <w:sz w:val="20"/>
                <w:szCs w:val="20"/>
                <w:color w:val="auto"/>
              </w:rPr>
            </w:pPr>
            <w:r>
              <w:rPr>
                <w:rFonts w:ascii="Arial" w:cs="Arial" w:eastAsia="Arial" w:hAnsi="Arial"/>
                <w:sz w:val="19"/>
                <w:szCs w:val="19"/>
                <w:b w:val="1"/>
                <w:bCs w:val="1"/>
                <w:color w:val="auto"/>
              </w:rPr>
              <w:t>Beginning of Year</w:t>
            </w:r>
          </w:p>
        </w:tc>
        <w:tc>
          <w:tcPr>
            <w:tcW w:w="570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1500" w:type="dxa"/>
            <w:vAlign w:val="bottom"/>
          </w:tcPr>
          <w:p>
            <w:pPr>
              <w:jc w:val="right"/>
              <w:ind w:right="26"/>
              <w:spacing w:after="0"/>
              <w:rPr>
                <w:sz w:val="20"/>
                <w:szCs w:val="20"/>
                <w:color w:val="auto"/>
              </w:rPr>
            </w:pPr>
            <w:r>
              <w:rPr>
                <w:rFonts w:ascii="Arial" w:cs="Arial" w:eastAsia="Arial" w:hAnsi="Arial"/>
                <w:sz w:val="19"/>
                <w:szCs w:val="19"/>
                <w:color w:val="auto"/>
              </w:rPr>
              <w:t>5,325</w:t>
            </w:r>
          </w:p>
        </w:tc>
      </w:tr>
      <w:tr>
        <w:trPr>
          <w:trHeight w:val="229"/>
        </w:trPr>
        <w:tc>
          <w:tcPr>
            <w:tcW w:w="4040" w:type="dxa"/>
            <w:vAlign w:val="bottom"/>
          </w:tcPr>
          <w:p>
            <w:pPr>
              <w:ind w:left="260"/>
              <w:spacing w:after="0"/>
              <w:rPr>
                <w:sz w:val="20"/>
                <w:szCs w:val="20"/>
                <w:color w:val="auto"/>
              </w:rPr>
            </w:pPr>
            <w:r>
              <w:rPr>
                <w:rFonts w:ascii="Arial" w:cs="Arial" w:eastAsia="Arial" w:hAnsi="Arial"/>
                <w:sz w:val="19"/>
                <w:szCs w:val="19"/>
                <w:color w:val="auto"/>
              </w:rPr>
              <w:t>Accretion expense</w:t>
            </w:r>
          </w:p>
        </w:tc>
        <w:tc>
          <w:tcPr>
            <w:tcW w:w="5700" w:type="dxa"/>
            <w:vAlign w:val="bottom"/>
          </w:tcPr>
          <w:p>
            <w:pPr>
              <w:spacing w:after="0"/>
              <w:rPr>
                <w:sz w:val="19"/>
                <w:szCs w:val="19"/>
                <w:color w:val="auto"/>
              </w:rPr>
            </w:pPr>
          </w:p>
        </w:tc>
        <w:tc>
          <w:tcPr>
            <w:tcW w:w="1500" w:type="dxa"/>
            <w:vAlign w:val="bottom"/>
          </w:tcPr>
          <w:p>
            <w:pPr>
              <w:jc w:val="right"/>
              <w:ind w:right="26"/>
              <w:spacing w:after="0"/>
              <w:rPr>
                <w:sz w:val="20"/>
                <w:szCs w:val="20"/>
                <w:color w:val="auto"/>
              </w:rPr>
            </w:pPr>
            <w:r>
              <w:rPr>
                <w:rFonts w:ascii="Arial" w:cs="Arial" w:eastAsia="Arial" w:hAnsi="Arial"/>
                <w:sz w:val="19"/>
                <w:szCs w:val="19"/>
                <w:color w:val="auto"/>
              </w:rPr>
              <w:t>643</w:t>
            </w:r>
          </w:p>
        </w:tc>
      </w:tr>
      <w:tr>
        <w:trPr>
          <w:trHeight w:val="229"/>
        </w:trPr>
        <w:tc>
          <w:tcPr>
            <w:tcW w:w="4040" w:type="dxa"/>
            <w:vAlign w:val="bottom"/>
          </w:tcPr>
          <w:p>
            <w:pPr>
              <w:ind w:left="260"/>
              <w:spacing w:after="0"/>
              <w:rPr>
                <w:sz w:val="20"/>
                <w:szCs w:val="20"/>
                <w:color w:val="auto"/>
              </w:rPr>
            </w:pPr>
            <w:r>
              <w:rPr>
                <w:rFonts w:ascii="Arial" w:cs="Arial" w:eastAsia="Arial" w:hAnsi="Arial"/>
                <w:sz w:val="19"/>
                <w:szCs w:val="19"/>
                <w:color w:val="auto"/>
              </w:rPr>
              <w:t>Additions</w:t>
            </w:r>
          </w:p>
        </w:tc>
        <w:tc>
          <w:tcPr>
            <w:tcW w:w="5700" w:type="dxa"/>
            <w:vAlign w:val="bottom"/>
          </w:tcPr>
          <w:p>
            <w:pPr>
              <w:spacing w:after="0"/>
              <w:rPr>
                <w:sz w:val="19"/>
                <w:szCs w:val="19"/>
                <w:color w:val="auto"/>
              </w:rPr>
            </w:pPr>
          </w:p>
        </w:tc>
        <w:tc>
          <w:tcPr>
            <w:tcW w:w="1500" w:type="dxa"/>
            <w:vAlign w:val="bottom"/>
          </w:tcPr>
          <w:p>
            <w:pPr>
              <w:jc w:val="right"/>
              <w:ind w:right="26"/>
              <w:spacing w:after="0"/>
              <w:rPr>
                <w:sz w:val="20"/>
                <w:szCs w:val="20"/>
                <w:color w:val="auto"/>
              </w:rPr>
            </w:pPr>
            <w:r>
              <w:rPr>
                <w:rFonts w:ascii="Arial" w:cs="Arial" w:eastAsia="Arial" w:hAnsi="Arial"/>
                <w:sz w:val="19"/>
                <w:szCs w:val="19"/>
                <w:color w:val="auto"/>
              </w:rPr>
              <w:t>173</w:t>
            </w:r>
          </w:p>
        </w:tc>
      </w:tr>
      <w:tr>
        <w:trPr>
          <w:trHeight w:val="230"/>
        </w:trPr>
        <w:tc>
          <w:tcPr>
            <w:tcW w:w="4040" w:type="dxa"/>
            <w:vAlign w:val="bottom"/>
          </w:tcPr>
          <w:p>
            <w:pPr>
              <w:ind w:left="260"/>
              <w:spacing w:after="0"/>
              <w:rPr>
                <w:sz w:val="20"/>
                <w:szCs w:val="20"/>
                <w:color w:val="auto"/>
              </w:rPr>
            </w:pPr>
            <w:r>
              <w:rPr>
                <w:rFonts w:ascii="Arial" w:cs="Arial" w:eastAsia="Arial" w:hAnsi="Arial"/>
                <w:sz w:val="19"/>
                <w:szCs w:val="19"/>
                <w:color w:val="auto"/>
              </w:rPr>
              <w:t>Obligations for wells sold</w:t>
            </w:r>
          </w:p>
        </w:tc>
        <w:tc>
          <w:tcPr>
            <w:tcW w:w="57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(257)</w:t>
            </w:r>
          </w:p>
        </w:tc>
      </w:tr>
      <w:tr>
        <w:trPr>
          <w:trHeight w:val="229"/>
        </w:trPr>
        <w:tc>
          <w:tcPr>
            <w:tcW w:w="4040" w:type="dxa"/>
            <w:vAlign w:val="bottom"/>
          </w:tcPr>
          <w:p>
            <w:pPr>
              <w:ind w:left="260"/>
              <w:spacing w:after="0"/>
              <w:rPr>
                <w:sz w:val="20"/>
                <w:szCs w:val="20"/>
                <w:color w:val="auto"/>
              </w:rPr>
            </w:pPr>
            <w:r>
              <w:rPr>
                <w:rFonts w:ascii="Arial" w:cs="Arial" w:eastAsia="Arial" w:hAnsi="Arial"/>
                <w:sz w:val="19"/>
                <w:szCs w:val="19"/>
                <w:color w:val="auto"/>
              </w:rPr>
              <w:t>Settlements</w:t>
            </w:r>
          </w:p>
        </w:tc>
        <w:tc>
          <w:tcPr>
            <w:tcW w:w="57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(400)</w:t>
            </w:r>
          </w:p>
        </w:tc>
      </w:tr>
      <w:tr>
        <w:trPr>
          <w:trHeight w:val="243"/>
        </w:trPr>
        <w:tc>
          <w:tcPr>
            <w:tcW w:w="4040" w:type="dxa"/>
            <w:vAlign w:val="bottom"/>
            <w:tcBorders>
              <w:bottom w:val="single" w:sz="8" w:color="auto"/>
            </w:tcBorders>
          </w:tcPr>
          <w:p>
            <w:pPr>
              <w:ind w:left="260"/>
              <w:spacing w:after="0"/>
              <w:rPr>
                <w:sz w:val="20"/>
                <w:szCs w:val="20"/>
                <w:color w:val="auto"/>
              </w:rPr>
            </w:pPr>
            <w:r>
              <w:rPr>
                <w:rFonts w:ascii="Arial" w:cs="Arial" w:eastAsia="Arial" w:hAnsi="Arial"/>
                <w:sz w:val="19"/>
                <w:szCs w:val="19"/>
                <w:color w:val="auto"/>
              </w:rPr>
              <w:t>Changes in estimates</w:t>
            </w:r>
          </w:p>
        </w:tc>
        <w:tc>
          <w:tcPr>
            <w:tcW w:w="57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r>
      <w:tr>
        <w:trPr>
          <w:trHeight w:val="437"/>
        </w:trPr>
        <w:tc>
          <w:tcPr>
            <w:tcW w:w="4040" w:type="dxa"/>
            <w:vAlign w:val="bottom"/>
          </w:tcPr>
          <w:p>
            <w:pPr>
              <w:spacing w:after="0"/>
              <w:rPr>
                <w:sz w:val="20"/>
                <w:szCs w:val="20"/>
                <w:color w:val="auto"/>
              </w:rPr>
            </w:pPr>
            <w:r>
              <w:rPr>
                <w:rFonts w:ascii="Arial" w:cs="Arial" w:eastAsia="Arial" w:hAnsi="Arial"/>
                <w:sz w:val="19"/>
                <w:szCs w:val="19"/>
                <w:b w:val="1"/>
                <w:bCs w:val="1"/>
                <w:color w:val="auto"/>
              </w:rPr>
              <w:t>Liability for Asset Retirement Obligations,</w:t>
            </w:r>
          </w:p>
        </w:tc>
        <w:tc>
          <w:tcPr>
            <w:tcW w:w="57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67"/>
        </w:trPr>
        <w:tc>
          <w:tcPr>
            <w:tcW w:w="4040" w:type="dxa"/>
            <w:vAlign w:val="bottom"/>
          </w:tcPr>
          <w:p>
            <w:pPr>
              <w:ind w:left="160"/>
              <w:spacing w:after="0"/>
              <w:rPr>
                <w:sz w:val="20"/>
                <w:szCs w:val="20"/>
                <w:color w:val="auto"/>
              </w:rPr>
            </w:pPr>
            <w:r>
              <w:rPr>
                <w:rFonts w:ascii="Arial" w:cs="Arial" w:eastAsia="Arial" w:hAnsi="Arial"/>
                <w:sz w:val="19"/>
                <w:szCs w:val="19"/>
                <w:b w:val="1"/>
                <w:bCs w:val="1"/>
                <w:color w:val="auto"/>
              </w:rPr>
              <w:t>End of Year</w:t>
            </w:r>
          </w:p>
        </w:tc>
        <w:tc>
          <w:tcPr>
            <w:tcW w:w="5700" w:type="dxa"/>
            <w:vAlign w:val="bottom"/>
          </w:tcPr>
          <w:p>
            <w:pPr>
              <w:spacing w:after="0"/>
              <w:rPr>
                <w:sz w:val="23"/>
                <w:szCs w:val="23"/>
                <w:color w:val="auto"/>
              </w:rPr>
            </w:pPr>
          </w:p>
        </w:tc>
        <w:tc>
          <w:tcPr>
            <w:tcW w:w="1500" w:type="dxa"/>
            <w:vAlign w:val="bottom"/>
          </w:tcPr>
          <w:p>
            <w:pPr>
              <w:jc w:val="right"/>
              <w:ind w:right="26"/>
              <w:spacing w:after="0"/>
              <w:rPr>
                <w:sz w:val="20"/>
                <w:szCs w:val="20"/>
                <w:color w:val="auto"/>
              </w:rPr>
            </w:pPr>
            <w:r>
              <w:rPr>
                <w:rFonts w:ascii="Arial" w:cs="Arial" w:eastAsia="Arial" w:hAnsi="Arial"/>
                <w:sz w:val="19"/>
                <w:szCs w:val="19"/>
                <w:color w:val="auto"/>
              </w:rPr>
              <w:t>5,484</w:t>
            </w:r>
          </w:p>
        </w:tc>
      </w:tr>
      <w:tr>
        <w:trPr>
          <w:trHeight w:val="436"/>
        </w:trPr>
        <w:tc>
          <w:tcPr>
            <w:tcW w:w="40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Less: current asset retirement obligations</w:t>
            </w:r>
          </w:p>
        </w:tc>
        <w:tc>
          <w:tcPr>
            <w:tcW w:w="57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493</w:t>
            </w:r>
          </w:p>
        </w:tc>
      </w:tr>
      <w:tr>
        <w:trPr>
          <w:trHeight w:val="480"/>
        </w:trPr>
        <w:tc>
          <w:tcPr>
            <w:tcW w:w="40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Long-Term Asset Retirement Obligations</w:t>
            </w:r>
          </w:p>
        </w:tc>
        <w:tc>
          <w:tcPr>
            <w:tcW w:w="570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rPr>
              <w:t>$</w:t>
            </w:r>
          </w:p>
        </w:tc>
        <w:tc>
          <w:tcPr>
            <w:tcW w:w="150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4,991</w:t>
            </w:r>
          </w:p>
        </w:tc>
      </w:tr>
      <w:tr>
        <w:trPr>
          <w:trHeight w:val="461"/>
        </w:trPr>
        <w:tc>
          <w:tcPr>
            <w:tcW w:w="4040" w:type="dxa"/>
            <w:vAlign w:val="bottom"/>
          </w:tcPr>
          <w:p>
            <w:pPr>
              <w:spacing w:after="0"/>
              <w:rPr>
                <w:sz w:val="20"/>
                <w:szCs w:val="20"/>
                <w:color w:val="auto"/>
              </w:rPr>
            </w:pPr>
            <w:r>
              <w:rPr>
                <w:rFonts w:ascii="Arial" w:cs="Arial" w:eastAsia="Arial" w:hAnsi="Arial"/>
                <w:sz w:val="19"/>
                <w:szCs w:val="19"/>
                <w:b w:val="1"/>
                <w:bCs w:val="1"/>
                <w:i w:val="1"/>
                <w:iCs w:val="1"/>
                <w:color w:val="auto"/>
              </w:rPr>
              <w:t>Revenue Recognition</w:t>
            </w:r>
          </w:p>
        </w:tc>
        <w:tc>
          <w:tcPr>
            <w:tcW w:w="57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Oil and natural gas sales are recognized when production is sold to a purchaser at a fixed or determinable price, delivery has occurred, title has transferred, and collectability of the revenue is probable. Delivery occurs and title is transferred when production has been delivered to a pipeline, railcar or truck. The sales method of accounting is used for oil and natural gas sales such that revenues are recognized based on the Company’s share of actual proceeds from the oil and natural gas sold to purchasers. Oil and natural gas imbalances are generated on properties for which two or more owners have the right to take production “in-kind” and, in doing so take more or less than their respective entitled percentage. As of September 30, 2019, there were no significant oil and natural gas imbalances.</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RAM and its subsidiaries are disregarded subsidiaries of Holdings. As Holdings has elected to be classified as a corporation, a tax benefit has been calculated for the year ended September 30, 2019.</w:t>
      </w:r>
    </w:p>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The benefit for income taxes differs from the amount computed by applying the statutory federal income tax rate to loss before provision for income taxes. For the year ended September 30, 2019, the Company had a benefit for income taxes of $26 thousand, which was completely offset by a valuation allowance. The significant differences between pre-tax book income and taxable book income relate to non-deductible expenses, state income taxes, change in valuation allowance, and other adjustments to deferred tax balances.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840" w:type="dxa"/>
            <w:vAlign w:val="bottom"/>
          </w:tcPr>
          <w:p>
            <w:pPr>
              <w:spacing w:after="0"/>
              <w:rPr>
                <w:sz w:val="20"/>
                <w:szCs w:val="20"/>
                <w:color w:val="auto"/>
              </w:rPr>
            </w:pPr>
            <w:r>
              <w:rPr>
                <w:rFonts w:ascii="Arial" w:cs="Arial" w:eastAsia="Arial" w:hAnsi="Arial"/>
                <w:sz w:val="19"/>
                <w:szCs w:val="19"/>
                <w:color w:val="auto"/>
              </w:rPr>
              <w:t>The sources and tax effects of the differences are as follows (</w:t>
            </w:r>
            <w:r>
              <w:rPr>
                <w:rFonts w:ascii="Arial" w:cs="Arial" w:eastAsia="Arial" w:hAnsi="Arial"/>
                <w:sz w:val="19"/>
                <w:szCs w:val="19"/>
                <w:i w:val="1"/>
                <w:iCs w:val="1"/>
                <w:color w:val="auto"/>
              </w:rPr>
              <w:t>in thousands</w:t>
            </w:r>
            <w:r>
              <w:rPr>
                <w:rFonts w:ascii="Arial" w:cs="Arial" w:eastAsia="Arial" w:hAnsi="Arial"/>
                <w:sz w:val="19"/>
                <w:szCs w:val="19"/>
                <w:color w:val="auto"/>
              </w:rPr>
              <w:t>):</w:t>
            </w:r>
          </w:p>
        </w:tc>
        <w:tc>
          <w:tcPr>
            <w:tcW w:w="18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447"/>
        </w:trPr>
        <w:tc>
          <w:tcPr>
            <w:tcW w:w="78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18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06"/>
              <w:spacing w:after="0"/>
              <w:rPr>
                <w:sz w:val="20"/>
                <w:szCs w:val="20"/>
                <w:color w:val="auto"/>
              </w:rPr>
            </w:pPr>
            <w:r>
              <w:rPr>
                <w:rFonts w:ascii="Arial" w:cs="Arial" w:eastAsia="Arial" w:hAnsi="Arial"/>
                <w:sz w:val="19"/>
                <w:szCs w:val="19"/>
                <w:b w:val="1"/>
                <w:bCs w:val="1"/>
                <w:color w:val="auto"/>
              </w:rPr>
              <w:t>2019</w:t>
            </w:r>
          </w:p>
        </w:tc>
      </w:tr>
      <w:tr>
        <w:trPr>
          <w:trHeight w:val="453"/>
        </w:trPr>
        <w:tc>
          <w:tcPr>
            <w:tcW w:w="7840" w:type="dxa"/>
            <w:vAlign w:val="bottom"/>
          </w:tcPr>
          <w:p>
            <w:pPr>
              <w:spacing w:after="0"/>
              <w:rPr>
                <w:sz w:val="20"/>
                <w:szCs w:val="20"/>
                <w:color w:val="auto"/>
              </w:rPr>
            </w:pPr>
            <w:r>
              <w:rPr>
                <w:rFonts w:ascii="Arial" w:cs="Arial" w:eastAsia="Arial" w:hAnsi="Arial"/>
                <w:sz w:val="19"/>
                <w:szCs w:val="19"/>
                <w:color w:val="auto"/>
              </w:rPr>
              <w:t>Income tax benefit at the federal statutory rate (21%)</w:t>
            </w:r>
          </w:p>
        </w:tc>
        <w:tc>
          <w:tcPr>
            <w:tcW w:w="1880" w:type="dxa"/>
            <w:vAlign w:val="bottom"/>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Pr>
          <w:p>
            <w:pPr>
              <w:jc w:val="right"/>
              <w:spacing w:after="0"/>
              <w:rPr>
                <w:sz w:val="20"/>
                <w:szCs w:val="20"/>
                <w:color w:val="auto"/>
              </w:rPr>
            </w:pPr>
            <w:r>
              <w:rPr>
                <w:rFonts w:ascii="Arial" w:cs="Arial" w:eastAsia="Arial" w:hAnsi="Arial"/>
                <w:sz w:val="19"/>
                <w:szCs w:val="19"/>
                <w:color w:val="auto"/>
              </w:rPr>
              <w:t>(1,332)</w:t>
            </w:r>
          </w:p>
        </w:tc>
      </w:tr>
      <w:tr>
        <w:trPr>
          <w:trHeight w:val="230"/>
        </w:trPr>
        <w:tc>
          <w:tcPr>
            <w:tcW w:w="7840" w:type="dxa"/>
            <w:vAlign w:val="bottom"/>
          </w:tcPr>
          <w:p>
            <w:pPr>
              <w:spacing w:after="0"/>
              <w:rPr>
                <w:sz w:val="20"/>
                <w:szCs w:val="20"/>
                <w:color w:val="auto"/>
              </w:rPr>
            </w:pPr>
            <w:r>
              <w:rPr>
                <w:rFonts w:ascii="Arial" w:cs="Arial" w:eastAsia="Arial" w:hAnsi="Arial"/>
                <w:sz w:val="19"/>
                <w:szCs w:val="19"/>
                <w:color w:val="auto"/>
              </w:rPr>
              <w:t>Return to provision adjustments</w:t>
            </w:r>
          </w:p>
        </w:tc>
        <w:tc>
          <w:tcPr>
            <w:tcW w:w="188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1,380</w:t>
            </w:r>
          </w:p>
        </w:tc>
      </w:tr>
      <w:tr>
        <w:trPr>
          <w:trHeight w:val="229"/>
        </w:trPr>
        <w:tc>
          <w:tcPr>
            <w:tcW w:w="7840" w:type="dxa"/>
            <w:vAlign w:val="bottom"/>
          </w:tcPr>
          <w:p>
            <w:pPr>
              <w:spacing w:after="0"/>
              <w:rPr>
                <w:sz w:val="20"/>
                <w:szCs w:val="20"/>
                <w:color w:val="auto"/>
              </w:rPr>
            </w:pPr>
            <w:r>
              <w:rPr>
                <w:rFonts w:ascii="Arial" w:cs="Arial" w:eastAsia="Arial" w:hAnsi="Arial"/>
                <w:sz w:val="19"/>
                <w:szCs w:val="19"/>
                <w:color w:val="auto"/>
              </w:rPr>
              <w:t>State income tax expense, net of federal benefit</w:t>
            </w:r>
          </w:p>
        </w:tc>
        <w:tc>
          <w:tcPr>
            <w:tcW w:w="18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9"/>
                <w:szCs w:val="19"/>
                <w:color w:val="auto"/>
              </w:rPr>
              <w:t>(78)</w:t>
            </w:r>
          </w:p>
        </w:tc>
      </w:tr>
      <w:tr>
        <w:trPr>
          <w:trHeight w:val="230"/>
        </w:trPr>
        <w:tc>
          <w:tcPr>
            <w:tcW w:w="7840" w:type="dxa"/>
            <w:vAlign w:val="bottom"/>
          </w:tcPr>
          <w:p>
            <w:pPr>
              <w:spacing w:after="0"/>
              <w:rPr>
                <w:sz w:val="20"/>
                <w:szCs w:val="20"/>
                <w:color w:val="auto"/>
              </w:rPr>
            </w:pPr>
            <w:r>
              <w:rPr>
                <w:rFonts w:ascii="Arial" w:cs="Arial" w:eastAsia="Arial" w:hAnsi="Arial"/>
                <w:sz w:val="19"/>
                <w:szCs w:val="19"/>
                <w:color w:val="auto"/>
              </w:rPr>
              <w:t>Other</w:t>
            </w:r>
          </w:p>
        </w:tc>
        <w:tc>
          <w:tcPr>
            <w:tcW w:w="1880" w:type="dxa"/>
            <w:vAlign w:val="bottom"/>
          </w:tcPr>
          <w:p>
            <w:pPr>
              <w:spacing w:after="0"/>
              <w:rPr>
                <w:sz w:val="19"/>
                <w:szCs w:val="19"/>
                <w:color w:val="auto"/>
              </w:rPr>
            </w:pPr>
          </w:p>
        </w:tc>
        <w:tc>
          <w:tcPr>
            <w:tcW w:w="1520" w:type="dxa"/>
            <w:vAlign w:val="bottom"/>
          </w:tcPr>
          <w:p>
            <w:pPr>
              <w:jc w:val="right"/>
              <w:ind w:right="26"/>
              <w:spacing w:after="0"/>
              <w:rPr>
                <w:sz w:val="20"/>
                <w:szCs w:val="20"/>
                <w:color w:val="auto"/>
              </w:rPr>
            </w:pPr>
            <w:r>
              <w:rPr>
                <w:rFonts w:ascii="Arial" w:cs="Arial" w:eastAsia="Arial" w:hAnsi="Arial"/>
                <w:sz w:val="19"/>
                <w:szCs w:val="19"/>
                <w:color w:val="auto"/>
              </w:rPr>
              <w:t>4</w:t>
            </w:r>
          </w:p>
        </w:tc>
      </w:tr>
      <w:tr>
        <w:trPr>
          <w:trHeight w:val="243"/>
        </w:trPr>
        <w:tc>
          <w:tcPr>
            <w:tcW w:w="78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Change in valuation allowance</w:t>
            </w:r>
          </w:p>
        </w:tc>
        <w:tc>
          <w:tcPr>
            <w:tcW w:w="18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26</w:t>
            </w:r>
          </w:p>
        </w:tc>
      </w:tr>
      <w:tr>
        <w:trPr>
          <w:trHeight w:val="479"/>
        </w:trPr>
        <w:tc>
          <w:tcPr>
            <w:tcW w:w="78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Income tax benefit</w:t>
            </w:r>
          </w:p>
        </w:tc>
        <w:tc>
          <w:tcPr>
            <w:tcW w:w="1880" w:type="dxa"/>
            <w:vAlign w:val="bottom"/>
            <w:tcBorders>
              <w:bottom w:val="single" w:sz="8" w:color="auto"/>
            </w:tcBorders>
          </w:tcPr>
          <w:p>
            <w:pPr>
              <w:jc w:val="right"/>
              <w:ind w:right="186"/>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w:t>
            </w:r>
          </w:p>
        </w:tc>
      </w:tr>
    </w:tbl>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Company’s income tax benefit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040" w:type="dxa"/>
            <w:vAlign w:val="bottom"/>
          </w:tcPr>
          <w:p>
            <w:pPr>
              <w:spacing w:after="0"/>
              <w:rPr>
                <w:sz w:val="20"/>
                <w:szCs w:val="20"/>
                <w:color w:val="auto"/>
              </w:rPr>
            </w:pPr>
            <w:r>
              <w:rPr>
                <w:rFonts w:ascii="Arial" w:cs="Arial" w:eastAsia="Arial" w:hAnsi="Arial"/>
                <w:sz w:val="19"/>
                <w:szCs w:val="19"/>
                <w:color w:val="auto"/>
              </w:rPr>
              <w:t>Significant components of the company’s deferred tax assets and liabilities are as follows (in thousands):</w:t>
            </w:r>
          </w:p>
        </w:tc>
        <w:tc>
          <w:tcPr>
            <w:tcW w:w="6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447"/>
        </w:trPr>
        <w:tc>
          <w:tcPr>
            <w:tcW w:w="90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i w:val="1"/>
                <w:iCs w:val="1"/>
                <w:color w:val="auto"/>
              </w:rPr>
              <w:t>Year Ended September 30,</w:t>
            </w:r>
          </w:p>
        </w:tc>
        <w:tc>
          <w:tcPr>
            <w:tcW w:w="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26"/>
              <w:spacing w:after="0"/>
              <w:rPr>
                <w:sz w:val="20"/>
                <w:szCs w:val="20"/>
                <w:color w:val="auto"/>
              </w:rPr>
            </w:pPr>
            <w:r>
              <w:rPr>
                <w:rFonts w:ascii="Arial" w:cs="Arial" w:eastAsia="Arial" w:hAnsi="Arial"/>
                <w:sz w:val="19"/>
                <w:szCs w:val="19"/>
                <w:b w:val="1"/>
                <w:bCs w:val="1"/>
                <w:color w:val="auto"/>
              </w:rPr>
              <w:t>2019</w:t>
            </w:r>
          </w:p>
        </w:tc>
      </w:tr>
      <w:tr>
        <w:trPr>
          <w:trHeight w:val="453"/>
        </w:trPr>
        <w:tc>
          <w:tcPr>
            <w:tcW w:w="9040" w:type="dxa"/>
            <w:vAlign w:val="bottom"/>
          </w:tcPr>
          <w:p>
            <w:pPr>
              <w:spacing w:after="0"/>
              <w:rPr>
                <w:sz w:val="20"/>
                <w:szCs w:val="20"/>
                <w:color w:val="auto"/>
              </w:rPr>
            </w:pPr>
            <w:r>
              <w:rPr>
                <w:rFonts w:ascii="Arial" w:cs="Arial" w:eastAsia="Arial" w:hAnsi="Arial"/>
                <w:sz w:val="19"/>
                <w:szCs w:val="19"/>
                <w:color w:val="auto"/>
              </w:rPr>
              <w:t>Depreciable/depletable property, plant and equipment</w:t>
            </w:r>
          </w:p>
        </w:tc>
        <w:tc>
          <w:tcPr>
            <w:tcW w:w="680" w:type="dxa"/>
            <w:vAlign w:val="bottom"/>
          </w:tcPr>
          <w:p>
            <w:pPr>
              <w:jc w:val="right"/>
              <w:ind w:right="206"/>
              <w:spacing w:after="0"/>
              <w:rPr>
                <w:sz w:val="20"/>
                <w:szCs w:val="20"/>
                <w:color w:val="auto"/>
              </w:rPr>
            </w:pPr>
            <w:r>
              <w:rPr>
                <w:rFonts w:ascii="Arial" w:cs="Arial" w:eastAsia="Arial" w:hAnsi="Arial"/>
                <w:sz w:val="19"/>
                <w:szCs w:val="19"/>
                <w:color w:val="auto"/>
              </w:rPr>
              <w:t>$</w:t>
            </w:r>
          </w:p>
        </w:tc>
        <w:tc>
          <w:tcPr>
            <w:tcW w:w="1520" w:type="dxa"/>
            <w:vAlign w:val="bottom"/>
          </w:tcPr>
          <w:p>
            <w:pPr>
              <w:jc w:val="right"/>
              <w:ind w:right="46"/>
              <w:spacing w:after="0"/>
              <w:rPr>
                <w:sz w:val="20"/>
                <w:szCs w:val="20"/>
                <w:color w:val="auto"/>
              </w:rPr>
            </w:pPr>
            <w:r>
              <w:rPr>
                <w:rFonts w:ascii="Arial" w:cs="Arial" w:eastAsia="Arial" w:hAnsi="Arial"/>
                <w:sz w:val="19"/>
                <w:szCs w:val="19"/>
                <w:color w:val="auto"/>
              </w:rPr>
              <w:t>6,595</w:t>
            </w:r>
          </w:p>
        </w:tc>
      </w:tr>
      <w:tr>
        <w:trPr>
          <w:trHeight w:val="229"/>
        </w:trPr>
        <w:tc>
          <w:tcPr>
            <w:tcW w:w="9040" w:type="dxa"/>
            <w:vAlign w:val="bottom"/>
          </w:tcPr>
          <w:p>
            <w:pPr>
              <w:spacing w:after="0"/>
              <w:rPr>
                <w:sz w:val="20"/>
                <w:szCs w:val="20"/>
                <w:color w:val="auto"/>
              </w:rPr>
            </w:pPr>
            <w:r>
              <w:rPr>
                <w:rFonts w:ascii="Arial" w:cs="Arial" w:eastAsia="Arial" w:hAnsi="Arial"/>
                <w:sz w:val="19"/>
                <w:szCs w:val="19"/>
                <w:color w:val="auto"/>
              </w:rPr>
              <w:t>Asset retirement obligation</w:t>
            </w:r>
          </w:p>
        </w:tc>
        <w:tc>
          <w:tcPr>
            <w:tcW w:w="680" w:type="dxa"/>
            <w:vAlign w:val="bottom"/>
          </w:tcPr>
          <w:p>
            <w:pPr>
              <w:spacing w:after="0"/>
              <w:rPr>
                <w:sz w:val="19"/>
                <w:szCs w:val="19"/>
                <w:color w:val="auto"/>
              </w:rPr>
            </w:pPr>
          </w:p>
        </w:tc>
        <w:tc>
          <w:tcPr>
            <w:tcW w:w="1520" w:type="dxa"/>
            <w:vAlign w:val="bottom"/>
          </w:tcPr>
          <w:p>
            <w:pPr>
              <w:jc w:val="right"/>
              <w:ind w:right="46"/>
              <w:spacing w:after="0"/>
              <w:rPr>
                <w:sz w:val="20"/>
                <w:szCs w:val="20"/>
                <w:color w:val="auto"/>
              </w:rPr>
            </w:pPr>
            <w:r>
              <w:rPr>
                <w:rFonts w:ascii="Arial" w:cs="Arial" w:eastAsia="Arial" w:hAnsi="Arial"/>
                <w:sz w:val="19"/>
                <w:szCs w:val="19"/>
                <w:color w:val="auto"/>
              </w:rPr>
              <w:t>1,874</w:t>
            </w:r>
          </w:p>
        </w:tc>
      </w:tr>
      <w:tr>
        <w:trPr>
          <w:trHeight w:val="230"/>
        </w:trPr>
        <w:tc>
          <w:tcPr>
            <w:tcW w:w="9040" w:type="dxa"/>
            <w:vAlign w:val="bottom"/>
          </w:tcPr>
          <w:p>
            <w:pPr>
              <w:spacing w:after="0"/>
              <w:rPr>
                <w:sz w:val="20"/>
                <w:szCs w:val="20"/>
                <w:color w:val="auto"/>
              </w:rPr>
            </w:pPr>
            <w:r>
              <w:rPr>
                <w:rFonts w:ascii="Arial" w:cs="Arial" w:eastAsia="Arial" w:hAnsi="Arial"/>
                <w:sz w:val="19"/>
                <w:szCs w:val="19"/>
                <w:color w:val="auto"/>
              </w:rPr>
              <w:t>Interest expense</w:t>
            </w:r>
          </w:p>
        </w:tc>
        <w:tc>
          <w:tcPr>
            <w:tcW w:w="680" w:type="dxa"/>
            <w:vAlign w:val="bottom"/>
          </w:tcPr>
          <w:p>
            <w:pPr>
              <w:spacing w:after="0"/>
              <w:rPr>
                <w:sz w:val="19"/>
                <w:szCs w:val="19"/>
                <w:color w:val="auto"/>
              </w:rPr>
            </w:pPr>
          </w:p>
        </w:tc>
        <w:tc>
          <w:tcPr>
            <w:tcW w:w="1520" w:type="dxa"/>
            <w:vAlign w:val="bottom"/>
          </w:tcPr>
          <w:p>
            <w:pPr>
              <w:jc w:val="right"/>
              <w:ind w:right="46"/>
              <w:spacing w:after="0"/>
              <w:rPr>
                <w:sz w:val="20"/>
                <w:szCs w:val="20"/>
                <w:color w:val="auto"/>
              </w:rPr>
            </w:pPr>
            <w:r>
              <w:rPr>
                <w:rFonts w:ascii="Arial" w:cs="Arial" w:eastAsia="Arial" w:hAnsi="Arial"/>
                <w:sz w:val="19"/>
                <w:szCs w:val="19"/>
                <w:color w:val="auto"/>
              </w:rPr>
              <w:t>1,129</w:t>
            </w:r>
          </w:p>
        </w:tc>
      </w:tr>
      <w:tr>
        <w:trPr>
          <w:trHeight w:val="230"/>
        </w:trPr>
        <w:tc>
          <w:tcPr>
            <w:tcW w:w="9040" w:type="dxa"/>
            <w:vAlign w:val="bottom"/>
          </w:tcPr>
          <w:p>
            <w:pPr>
              <w:spacing w:after="0"/>
              <w:rPr>
                <w:sz w:val="20"/>
                <w:szCs w:val="20"/>
                <w:color w:val="auto"/>
              </w:rPr>
            </w:pPr>
            <w:r>
              <w:rPr>
                <w:rFonts w:ascii="Arial" w:cs="Arial" w:eastAsia="Arial" w:hAnsi="Arial"/>
                <w:sz w:val="19"/>
                <w:szCs w:val="19"/>
                <w:color w:val="auto"/>
              </w:rPr>
              <w:t>Derivative assets</w:t>
            </w:r>
          </w:p>
        </w:tc>
        <w:tc>
          <w:tcPr>
            <w:tcW w:w="680" w:type="dxa"/>
            <w:vAlign w:val="bottom"/>
          </w:tcPr>
          <w:p>
            <w:pPr>
              <w:spacing w:after="0"/>
              <w:rPr>
                <w:sz w:val="19"/>
                <w:szCs w:val="19"/>
                <w:color w:val="auto"/>
              </w:rPr>
            </w:pPr>
          </w:p>
        </w:tc>
        <w:tc>
          <w:tcPr>
            <w:tcW w:w="1520" w:type="dxa"/>
            <w:vAlign w:val="bottom"/>
          </w:tcPr>
          <w:p>
            <w:pPr>
              <w:jc w:val="right"/>
              <w:ind w:right="46"/>
              <w:spacing w:after="0"/>
              <w:rPr>
                <w:sz w:val="20"/>
                <w:szCs w:val="20"/>
                <w:color w:val="auto"/>
              </w:rPr>
            </w:pPr>
            <w:r>
              <w:rPr>
                <w:rFonts w:ascii="Arial" w:cs="Arial" w:eastAsia="Arial" w:hAnsi="Arial"/>
                <w:sz w:val="19"/>
                <w:szCs w:val="19"/>
                <w:color w:val="auto"/>
              </w:rPr>
              <w:t>472</w:t>
            </w:r>
          </w:p>
        </w:tc>
      </w:tr>
      <w:tr>
        <w:trPr>
          <w:trHeight w:val="229"/>
        </w:trPr>
        <w:tc>
          <w:tcPr>
            <w:tcW w:w="9040" w:type="dxa"/>
            <w:vAlign w:val="bottom"/>
          </w:tcPr>
          <w:p>
            <w:pPr>
              <w:spacing w:after="0"/>
              <w:rPr>
                <w:sz w:val="20"/>
                <w:szCs w:val="20"/>
                <w:color w:val="auto"/>
              </w:rPr>
            </w:pPr>
            <w:r>
              <w:rPr>
                <w:rFonts w:ascii="Arial" w:cs="Arial" w:eastAsia="Arial" w:hAnsi="Arial"/>
                <w:sz w:val="19"/>
                <w:szCs w:val="19"/>
                <w:color w:val="auto"/>
              </w:rPr>
              <w:t>Reserves and other</w:t>
            </w:r>
          </w:p>
        </w:tc>
        <w:tc>
          <w:tcPr>
            <w:tcW w:w="680" w:type="dxa"/>
            <w:vAlign w:val="bottom"/>
          </w:tcPr>
          <w:p>
            <w:pPr>
              <w:spacing w:after="0"/>
              <w:rPr>
                <w:sz w:val="19"/>
                <w:szCs w:val="19"/>
                <w:color w:val="auto"/>
              </w:rPr>
            </w:pPr>
          </w:p>
        </w:tc>
        <w:tc>
          <w:tcPr>
            <w:tcW w:w="1520" w:type="dxa"/>
            <w:vAlign w:val="bottom"/>
          </w:tcPr>
          <w:p>
            <w:pPr>
              <w:jc w:val="right"/>
              <w:ind w:right="46"/>
              <w:spacing w:after="0"/>
              <w:rPr>
                <w:sz w:val="20"/>
                <w:szCs w:val="20"/>
                <w:color w:val="auto"/>
              </w:rPr>
            </w:pPr>
            <w:r>
              <w:rPr>
                <w:rFonts w:ascii="Arial" w:cs="Arial" w:eastAsia="Arial" w:hAnsi="Arial"/>
                <w:sz w:val="19"/>
                <w:szCs w:val="19"/>
                <w:color w:val="auto"/>
              </w:rPr>
              <w:t>19</w:t>
            </w:r>
          </w:p>
        </w:tc>
      </w:tr>
      <w:tr>
        <w:trPr>
          <w:trHeight w:val="243"/>
        </w:trPr>
        <w:tc>
          <w:tcPr>
            <w:tcW w:w="90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Net operating loss carryforward</w:t>
            </w:r>
          </w:p>
        </w:tc>
        <w:tc>
          <w:tcPr>
            <w:tcW w:w="6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12,752</w:t>
            </w:r>
          </w:p>
        </w:tc>
      </w:tr>
      <w:tr>
        <w:trPr>
          <w:trHeight w:val="223"/>
        </w:trPr>
        <w:tc>
          <w:tcPr>
            <w:tcW w:w="9040" w:type="dxa"/>
            <w:vAlign w:val="bottom"/>
          </w:tcPr>
          <w:p>
            <w:pPr>
              <w:spacing w:after="0"/>
              <w:rPr>
                <w:sz w:val="20"/>
                <w:szCs w:val="20"/>
                <w:color w:val="auto"/>
              </w:rPr>
            </w:pPr>
            <w:r>
              <w:rPr>
                <w:rFonts w:ascii="Arial" w:cs="Arial" w:eastAsia="Arial" w:hAnsi="Arial"/>
                <w:sz w:val="19"/>
                <w:szCs w:val="19"/>
                <w:color w:val="auto"/>
              </w:rPr>
              <w:t>Total noncurrent deferred tax assets</w:t>
            </w:r>
          </w:p>
        </w:tc>
        <w:tc>
          <w:tcPr>
            <w:tcW w:w="680" w:type="dxa"/>
            <w:vAlign w:val="bottom"/>
          </w:tcPr>
          <w:p>
            <w:pPr>
              <w:spacing w:after="0"/>
              <w:rPr>
                <w:sz w:val="19"/>
                <w:szCs w:val="19"/>
                <w:color w:val="auto"/>
              </w:rPr>
            </w:pPr>
          </w:p>
        </w:tc>
        <w:tc>
          <w:tcPr>
            <w:tcW w:w="1520" w:type="dxa"/>
            <w:vAlign w:val="bottom"/>
          </w:tcPr>
          <w:p>
            <w:pPr>
              <w:jc w:val="right"/>
              <w:ind w:right="46"/>
              <w:spacing w:after="0"/>
              <w:rPr>
                <w:sz w:val="20"/>
                <w:szCs w:val="20"/>
                <w:color w:val="auto"/>
              </w:rPr>
            </w:pPr>
            <w:r>
              <w:rPr>
                <w:rFonts w:ascii="Arial" w:cs="Arial" w:eastAsia="Arial" w:hAnsi="Arial"/>
                <w:sz w:val="19"/>
                <w:szCs w:val="19"/>
                <w:color w:val="auto"/>
              </w:rPr>
              <w:t>22,841</w:t>
            </w:r>
          </w:p>
        </w:tc>
      </w:tr>
      <w:tr>
        <w:trPr>
          <w:trHeight w:val="243"/>
        </w:trPr>
        <w:tc>
          <w:tcPr>
            <w:tcW w:w="90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Valuation allowance</w:t>
            </w:r>
          </w:p>
        </w:tc>
        <w:tc>
          <w:tcPr>
            <w:tcW w:w="6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(22,841)</w:t>
            </w:r>
          </w:p>
        </w:tc>
      </w:tr>
      <w:tr>
        <w:trPr>
          <w:trHeight w:val="459"/>
        </w:trPr>
        <w:tc>
          <w:tcPr>
            <w:tcW w:w="904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Net noncurrent deferred tax assets</w:t>
            </w:r>
          </w:p>
        </w:tc>
        <w:tc>
          <w:tcPr>
            <w:tcW w:w="680" w:type="dxa"/>
            <w:vAlign w:val="bottom"/>
            <w:tcBorders>
              <w:bottom w:val="single" w:sz="8" w:color="auto"/>
            </w:tcBorders>
          </w:tcPr>
          <w:p>
            <w:pPr>
              <w:jc w:val="right"/>
              <w:ind w:right="206"/>
              <w:spacing w:after="0"/>
              <w:rPr>
                <w:sz w:val="20"/>
                <w:szCs w:val="20"/>
                <w:color w:val="auto"/>
              </w:rPr>
            </w:pPr>
            <w:r>
              <w:rPr>
                <w:rFonts w:ascii="Arial" w:cs="Arial" w:eastAsia="Arial" w:hAnsi="Arial"/>
                <w:sz w:val="19"/>
                <w:szCs w:val="19"/>
                <w:color w:val="auto"/>
              </w:rPr>
              <w:t>$</w:t>
            </w:r>
          </w:p>
        </w:tc>
        <w:tc>
          <w:tcPr>
            <w:tcW w:w="152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w:t>
            </w:r>
          </w:p>
        </w:tc>
      </w:tr>
    </w:tbl>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As of September 30, 2019, the Company has a net operating loss carryforward of approximately $57.4 million for federal income tax reporting purposes. Of this amount, $31.4 million will begin to expire in 2036 and $26 million has an indefinite carryforward period, but only has the availability to offset future income of up to 80% in any single year. The 2018 Tax Cuts and Jobs Act changed the rules related to uses and limitations of net operating loss carryforwards created in tax years beginning after December 31, 2017. Based on the history of losses of the predecessor entity and the continued depression of oil and gas prices, the Company concluded it was not more likely than not that the net operating losses would be utilized; accordingly, a valuation allowance was recorded. In addition, the Company has generated a net operating loss carryforward for state income tax purposes, which the Company believes will not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6" w:name="page147"/>
    <w:bookmarkEnd w:id="146"/>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During the year ended September 30, 2019, the Company recorded a valuation allowance of $22.8 million.</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percent likely to be realized upon its ultimate settlement. The Company had no uncertain tax positions as of September 30, 2019.</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color w:val="auto"/>
        </w:rPr>
        <w:t>The Company’s federal and state tax returns from its inception remain subject to examination by the applicable tax authorities.</w:t>
      </w:r>
    </w:p>
    <w:p>
      <w:pPr>
        <w:spacing w:after="0" w:line="212" w:lineRule="exact"/>
        <w:rPr>
          <w:sz w:val="20"/>
          <w:szCs w:val="20"/>
          <w:color w:val="auto"/>
        </w:rPr>
      </w:pPr>
    </w:p>
    <w:p>
      <w:pPr>
        <w:ind w:left="780" w:hanging="772"/>
        <w:spacing w:after="0"/>
        <w:tabs>
          <w:tab w:leader="none" w:pos="780" w:val="left"/>
        </w:tabs>
        <w:numPr>
          <w:ilvl w:val="0"/>
          <w:numId w:val="141"/>
        </w:numPr>
        <w:rPr>
          <w:rFonts w:ascii="Arial" w:cs="Arial" w:eastAsia="Arial" w:hAnsi="Arial"/>
          <w:sz w:val="19"/>
          <w:szCs w:val="19"/>
          <w:b w:val="1"/>
          <w:bCs w:val="1"/>
          <w:color w:val="auto"/>
        </w:rPr>
      </w:pPr>
      <w:r>
        <w:rPr>
          <w:rFonts w:ascii="Arial" w:cs="Arial" w:eastAsia="Arial" w:hAnsi="Arial"/>
          <w:sz w:val="19"/>
          <w:szCs w:val="19"/>
          <w:b w:val="1"/>
          <w:bCs w:val="1"/>
          <w:color w:val="auto"/>
        </w:rPr>
        <w:t>Fair Value Measurements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160" w:lineRule="exact"/>
        <w:rPr>
          <w:sz w:val="20"/>
          <w:szCs w:val="20"/>
          <w:color w:val="auto"/>
        </w:rPr>
      </w:pPr>
    </w:p>
    <w:p>
      <w:pPr>
        <w:jc w:val="both"/>
        <w:ind w:left="720" w:right="700"/>
        <w:spacing w:after="0" w:line="279" w:lineRule="auto"/>
        <w:rPr>
          <w:sz w:val="20"/>
          <w:szCs w:val="20"/>
          <w:color w:val="auto"/>
        </w:rPr>
      </w:pPr>
      <w:r>
        <w:rPr>
          <w:rFonts w:ascii="Arial" w:cs="Arial" w:eastAsia="Arial" w:hAnsi="Arial"/>
          <w:sz w:val="19"/>
          <w:szCs w:val="19"/>
          <w:b w:val="1"/>
          <w:bCs w:val="1"/>
          <w:color w:val="auto"/>
        </w:rPr>
        <w:t xml:space="preserve">Level 1 </w:t>
      </w:r>
      <w:r>
        <w:rPr>
          <w:rFonts w:ascii="Arial" w:cs="Arial" w:eastAsia="Arial" w:hAnsi="Arial"/>
          <w:sz w:val="19"/>
          <w:szCs w:val="19"/>
          <w:color w:val="auto"/>
        </w:rPr>
        <w:t>- inputs to the valuation methodology are quoted prices (unadjusted) for identical assets or liabilities in active</w:t>
      </w:r>
      <w:r>
        <w:rPr>
          <w:rFonts w:ascii="Arial" w:cs="Arial" w:eastAsia="Arial" w:hAnsi="Arial"/>
          <w:sz w:val="19"/>
          <w:szCs w:val="19"/>
          <w:b w:val="1"/>
          <w:bCs w:val="1"/>
          <w:color w:val="auto"/>
        </w:rPr>
        <w:t xml:space="preserve"> </w:t>
      </w:r>
      <w:r>
        <w:rPr>
          <w:rFonts w:ascii="Arial" w:cs="Arial" w:eastAsia="Arial" w:hAnsi="Arial"/>
          <w:sz w:val="19"/>
          <w:szCs w:val="19"/>
          <w:color w:val="auto"/>
        </w:rPr>
        <w:t>markets.</w:t>
      </w:r>
    </w:p>
    <w:p>
      <w:pPr>
        <w:spacing w:after="0" w:line="100" w:lineRule="exact"/>
        <w:rPr>
          <w:sz w:val="20"/>
          <w:szCs w:val="20"/>
          <w:color w:val="auto"/>
        </w:rPr>
      </w:pPr>
    </w:p>
    <w:p>
      <w:pPr>
        <w:jc w:val="both"/>
        <w:ind w:left="720" w:right="720"/>
        <w:spacing w:after="0" w:line="258" w:lineRule="auto"/>
        <w:rPr>
          <w:sz w:val="20"/>
          <w:szCs w:val="20"/>
          <w:color w:val="auto"/>
        </w:rPr>
      </w:pPr>
      <w:r>
        <w:rPr>
          <w:rFonts w:ascii="Arial" w:cs="Arial" w:eastAsia="Arial" w:hAnsi="Arial"/>
          <w:sz w:val="19"/>
          <w:szCs w:val="19"/>
          <w:b w:val="1"/>
          <w:bCs w:val="1"/>
          <w:color w:val="auto"/>
        </w:rPr>
        <w:t xml:space="preserve">Level 2 </w:t>
      </w:r>
      <w:r>
        <w:rPr>
          <w:rFonts w:ascii="Arial" w:cs="Arial" w:eastAsia="Arial" w:hAnsi="Arial"/>
          <w:sz w:val="19"/>
          <w:szCs w:val="19"/>
          <w:color w:val="auto"/>
        </w:rPr>
        <w:t>- inputs to the valuation methodology include quoted prices for similar assets and liabilities in active markets,</w:t>
      </w:r>
      <w:r>
        <w:rPr>
          <w:rFonts w:ascii="Arial" w:cs="Arial" w:eastAsia="Arial" w:hAnsi="Arial"/>
          <w:sz w:val="19"/>
          <w:szCs w:val="19"/>
          <w:b w:val="1"/>
          <w:bCs w:val="1"/>
          <w:color w:val="auto"/>
        </w:rPr>
        <w:t xml:space="preserve"> </w:t>
      </w:r>
      <w:r>
        <w:rPr>
          <w:rFonts w:ascii="Arial" w:cs="Arial" w:eastAsia="Arial" w:hAnsi="Arial"/>
          <w:sz w:val="19"/>
          <w:szCs w:val="19"/>
          <w:color w:val="auto"/>
        </w:rPr>
        <w:t>and inputs that are observable for the asset or liability, either directly or indirectly, for substantially the full term of the financial instrument.</w:t>
      </w:r>
    </w:p>
    <w:p>
      <w:pPr>
        <w:spacing w:after="0" w:line="132"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 xml:space="preserve">Level 3 </w:t>
      </w:r>
      <w:r>
        <w:rPr>
          <w:rFonts w:ascii="Arial" w:cs="Arial" w:eastAsia="Arial" w:hAnsi="Arial"/>
          <w:sz w:val="19"/>
          <w:szCs w:val="19"/>
          <w:color w:val="auto"/>
        </w:rPr>
        <w:t>- inputs to the valuation methodology are unobservable and significant to the fair value measurement.</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color w:val="auto"/>
        </w:rPr>
        <w:t>The Company had no assets or liabilities measured at fair value on a recurring basis, by level, as of September 30, 2019.</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At September 30, 2019, the carrying value of cash, restricted cash, receivables and payables reflected in the Company’s consolidated financial statements approximates fair value due to their short-term nature. Additionally, we believe that the carrying value of the Company’s long-term debt under the credit facility approximates fair value because the credit facility carries an interest rate that approximates current market rates. The long-term debt is classified as Level 2.</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2" w:lineRule="exact"/>
        <w:rPr>
          <w:sz w:val="20"/>
          <w:szCs w:val="20"/>
          <w:color w:val="auto"/>
        </w:rPr>
      </w:pPr>
    </w:p>
    <w:p>
      <w:pPr>
        <w:ind w:left="820" w:hanging="812"/>
        <w:spacing w:after="0"/>
        <w:tabs>
          <w:tab w:leader="none" w:pos="820" w:val="left"/>
        </w:tabs>
        <w:numPr>
          <w:ilvl w:val="0"/>
          <w:numId w:val="142"/>
        </w:numPr>
        <w:rPr>
          <w:rFonts w:ascii="Arial" w:cs="Arial" w:eastAsia="Arial" w:hAnsi="Arial"/>
          <w:sz w:val="19"/>
          <w:szCs w:val="19"/>
          <w:b w:val="1"/>
          <w:bCs w:val="1"/>
          <w:color w:val="auto"/>
        </w:rPr>
      </w:pPr>
      <w:r>
        <w:rPr>
          <w:rFonts w:ascii="Arial" w:cs="Arial" w:eastAsia="Arial" w:hAnsi="Arial"/>
          <w:sz w:val="19"/>
          <w:szCs w:val="19"/>
          <w:b w:val="1"/>
          <w:bCs w:val="1"/>
          <w:color w:val="auto"/>
        </w:rPr>
        <w:t>Acquisitions and Divestitures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McMullen County Disposition</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January 2019, the Company closed on the sale of certain oil and natural gas properties located in McMullen County, Texas for $260 thousand. The full cost pool was reduced by the net proceeds.</w:t>
      </w:r>
    </w:p>
    <w:p>
      <w:pPr>
        <w:spacing w:after="0" w:line="14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Lavaca County Disposition</w:t>
      </w: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In April 2019, the Company closed on the sale of certain oil and natural gas properties located in Lavaca County, Texas. The Company received no proceeds but was relieved of $193 thousand of plugging liability.</w:t>
      </w:r>
    </w:p>
    <w:p>
      <w:pPr>
        <w:spacing w:after="0" w:line="142" w:lineRule="exact"/>
        <w:rPr>
          <w:sz w:val="20"/>
          <w:szCs w:val="20"/>
          <w:color w:val="auto"/>
        </w:rPr>
      </w:pPr>
    </w:p>
    <w:p>
      <w:pPr>
        <w:ind w:left="820" w:hanging="812"/>
        <w:spacing w:after="0"/>
        <w:tabs>
          <w:tab w:leader="none" w:pos="820" w:val="left"/>
        </w:tabs>
        <w:numPr>
          <w:ilvl w:val="0"/>
          <w:numId w:val="143"/>
        </w:numPr>
        <w:rPr>
          <w:rFonts w:ascii="Arial" w:cs="Arial" w:eastAsia="Arial" w:hAnsi="Arial"/>
          <w:sz w:val="19"/>
          <w:szCs w:val="19"/>
          <w:b w:val="1"/>
          <w:bCs w:val="1"/>
          <w:color w:val="auto"/>
        </w:rPr>
      </w:pPr>
      <w:r>
        <w:rPr>
          <w:rFonts w:ascii="Arial" w:cs="Arial" w:eastAsia="Arial" w:hAnsi="Arial"/>
          <w:sz w:val="19"/>
          <w:szCs w:val="19"/>
          <w:b w:val="1"/>
          <w:bCs w:val="1"/>
          <w:color w:val="auto"/>
        </w:rPr>
        <w:t>Long-Term Debt - Affiliate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80" w:type="dxa"/>
            <w:vAlign w:val="bottom"/>
            <w:gridSpan w:val="2"/>
          </w:tcPr>
          <w:p>
            <w:pPr>
              <w:spacing w:after="0"/>
              <w:rPr>
                <w:sz w:val="20"/>
                <w:szCs w:val="20"/>
                <w:color w:val="auto"/>
              </w:rPr>
            </w:pPr>
            <w:r>
              <w:rPr>
                <w:rFonts w:ascii="Arial" w:cs="Arial" w:eastAsia="Arial" w:hAnsi="Arial"/>
                <w:sz w:val="19"/>
                <w:szCs w:val="19"/>
                <w:color w:val="auto"/>
              </w:rPr>
              <w:t>Long-term debt - affiliate consists of the following (</w:t>
            </w:r>
            <w:r>
              <w:rPr>
                <w:rFonts w:ascii="Arial" w:cs="Arial" w:eastAsia="Arial" w:hAnsi="Arial"/>
                <w:sz w:val="19"/>
                <w:szCs w:val="19"/>
                <w:i w:val="1"/>
                <w:iCs w:val="1"/>
                <w:color w:val="auto"/>
              </w:rPr>
              <w:t>in thousands</w:t>
            </w:r>
            <w:r>
              <w:rPr>
                <w:rFonts w:ascii="Arial" w:cs="Arial" w:eastAsia="Arial" w:hAnsi="Arial"/>
                <w:sz w:val="19"/>
                <w:szCs w:val="19"/>
                <w:color w:val="auto"/>
              </w:rPr>
              <w:t>):</w:t>
            </w:r>
          </w:p>
        </w:tc>
        <w:tc>
          <w:tcPr>
            <w:tcW w:w="23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447"/>
        </w:trPr>
        <w:tc>
          <w:tcPr>
            <w:tcW w:w="7380" w:type="dxa"/>
            <w:vAlign w:val="bottom"/>
            <w:tcBorders>
              <w:bottom w:val="single" w:sz="8" w:color="auto"/>
            </w:tcBorders>
            <w:gridSpan w:val="2"/>
          </w:tcPr>
          <w:p>
            <w:pPr>
              <w:spacing w:after="0"/>
              <w:rPr>
                <w:sz w:val="20"/>
                <w:szCs w:val="20"/>
                <w:color w:val="auto"/>
              </w:rPr>
            </w:pPr>
            <w:r>
              <w:rPr>
                <w:rFonts w:ascii="Arial" w:cs="Arial" w:eastAsia="Arial" w:hAnsi="Arial"/>
                <w:sz w:val="19"/>
                <w:szCs w:val="19"/>
                <w:b w:val="1"/>
                <w:bCs w:val="1"/>
                <w:i w:val="1"/>
                <w:iCs w:val="1"/>
                <w:color w:val="auto"/>
              </w:rPr>
              <w:t>September 30,</w:t>
            </w:r>
          </w:p>
        </w:tc>
        <w:tc>
          <w:tcPr>
            <w:tcW w:w="2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09"/>
              <w:spacing w:after="0"/>
              <w:rPr>
                <w:sz w:val="20"/>
                <w:szCs w:val="20"/>
                <w:color w:val="auto"/>
              </w:rPr>
            </w:pPr>
            <w:r>
              <w:rPr>
                <w:rFonts w:ascii="Arial" w:cs="Arial" w:eastAsia="Arial" w:hAnsi="Arial"/>
                <w:sz w:val="19"/>
                <w:szCs w:val="19"/>
                <w:b w:val="1"/>
                <w:bCs w:val="1"/>
                <w:color w:val="auto"/>
              </w:rPr>
              <w:t>2019</w:t>
            </w:r>
          </w:p>
        </w:tc>
      </w:tr>
      <w:tr>
        <w:trPr>
          <w:trHeight w:val="436"/>
        </w:trPr>
        <w:tc>
          <w:tcPr>
            <w:tcW w:w="440" w:type="dxa"/>
            <w:vAlign w:val="bottom"/>
          </w:tcPr>
          <w:p>
            <w:pPr>
              <w:spacing w:after="0"/>
              <w:rPr>
                <w:sz w:val="20"/>
                <w:szCs w:val="20"/>
                <w:color w:val="auto"/>
              </w:rPr>
            </w:pPr>
            <w:r>
              <w:rPr>
                <w:rFonts w:ascii="Arial" w:cs="Arial" w:eastAsia="Arial" w:hAnsi="Arial"/>
                <w:sz w:val="18"/>
                <w:szCs w:val="18"/>
                <w:color w:val="auto"/>
              </w:rPr>
              <w:t>2017</w:t>
            </w:r>
          </w:p>
        </w:tc>
        <w:tc>
          <w:tcPr>
            <w:tcW w:w="6940" w:type="dxa"/>
            <w:vAlign w:val="bottom"/>
          </w:tcPr>
          <w:p>
            <w:pPr>
              <w:ind w:left="20"/>
              <w:spacing w:after="0"/>
              <w:rPr>
                <w:sz w:val="20"/>
                <w:szCs w:val="20"/>
                <w:color w:val="auto"/>
              </w:rPr>
            </w:pPr>
            <w:r>
              <w:rPr>
                <w:rFonts w:ascii="Arial" w:cs="Arial" w:eastAsia="Arial" w:hAnsi="Arial"/>
                <w:sz w:val="18"/>
                <w:szCs w:val="18"/>
                <w:color w:val="auto"/>
              </w:rPr>
              <w:t>Term Loan</w:t>
            </w:r>
          </w:p>
        </w:tc>
        <w:tc>
          <w:tcPr>
            <w:tcW w:w="23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9"/>
              <w:spacing w:after="0"/>
              <w:rPr>
                <w:sz w:val="20"/>
                <w:szCs w:val="20"/>
                <w:color w:val="auto"/>
              </w:rPr>
            </w:pPr>
            <w:r>
              <w:rPr>
                <w:rFonts w:ascii="Arial" w:cs="Arial" w:eastAsia="Arial" w:hAnsi="Arial"/>
                <w:sz w:val="18"/>
                <w:szCs w:val="18"/>
                <w:color w:val="auto"/>
              </w:rPr>
              <w:t>35,000</w:t>
            </w:r>
          </w:p>
        </w:tc>
      </w:tr>
      <w:tr>
        <w:trPr>
          <w:trHeight w:val="232"/>
        </w:trPr>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2018</w:t>
            </w:r>
          </w:p>
        </w:tc>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Revolving Loan</w:t>
            </w:r>
          </w:p>
        </w:tc>
        <w:tc>
          <w:tcPr>
            <w:tcW w:w="2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40,000</w:t>
            </w:r>
          </w:p>
        </w:tc>
      </w:tr>
      <w:tr>
        <w:trPr>
          <w:trHeight w:val="237"/>
        </w:trPr>
        <w:tc>
          <w:tcPr>
            <w:tcW w:w="440" w:type="dxa"/>
            <w:vAlign w:val="bottom"/>
            <w:tcBorders>
              <w:bottom w:val="single" w:sz="8" w:color="auto"/>
            </w:tcBorders>
          </w:tcPr>
          <w:p>
            <w:pPr>
              <w:spacing w:after="0"/>
              <w:rPr>
                <w:sz w:val="20"/>
                <w:szCs w:val="20"/>
                <w:color w:val="auto"/>
              </w:rPr>
            </w:pPr>
          </w:p>
        </w:tc>
        <w:tc>
          <w:tcPr>
            <w:tcW w:w="69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9"/>
              <w:spacing w:after="0"/>
              <w:rPr>
                <w:sz w:val="20"/>
                <w:szCs w:val="20"/>
                <w:color w:val="auto"/>
              </w:rPr>
            </w:pPr>
            <w:r>
              <w:rPr>
                <w:rFonts w:ascii="Arial" w:cs="Arial" w:eastAsia="Arial" w:hAnsi="Arial"/>
                <w:sz w:val="18"/>
                <w:szCs w:val="18"/>
                <w:color w:val="auto"/>
              </w:rPr>
              <w:t>75,000</w:t>
            </w:r>
          </w:p>
        </w:tc>
      </w:tr>
    </w:tbl>
    <w:p>
      <w:pPr>
        <w:spacing w:after="0" w:line="196" w:lineRule="exact"/>
        <w:rPr>
          <w:sz w:val="20"/>
          <w:szCs w:val="20"/>
          <w:color w:val="auto"/>
        </w:rPr>
      </w:pPr>
    </w:p>
    <w:p>
      <w:pPr>
        <w:jc w:val="both"/>
        <w:ind w:right="20"/>
        <w:spacing w:after="0" w:line="257" w:lineRule="auto"/>
        <w:rPr>
          <w:sz w:val="20"/>
          <w:szCs w:val="20"/>
          <w:color w:val="auto"/>
        </w:rPr>
      </w:pPr>
      <w:r>
        <w:rPr>
          <w:rFonts w:ascii="Arial" w:cs="Arial" w:eastAsia="Arial" w:hAnsi="Arial"/>
          <w:sz w:val="19"/>
          <w:szCs w:val="19"/>
          <w:color w:val="auto"/>
        </w:rPr>
        <w:t>On September 29, 2017, the Company entered into a term loan of $35 million under a loan agreement with PennantPark. The loan agreement was made effective July 1, 2017 and matures on July 2, 2022. The term loan carries an interest rate of 8% with a 50% paid-in-kind interest option.</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On June 5, 2018, the loan agreement was amended to add a revolving loan with a total commitment of $15 million. The loan agreement was further amended on January 7, 2019 and May 10, 2019, to increase the revolving loan commitment to $35 million and $40 million, respectively. The loan agreement was amended a fourth time in October 2019, as discussed in Note 9. Borrowings on the revolving loan must be at a minimum of $1 million and in $1 million increments, and carries an interest rate of 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loan agreement includes representations, warranties, and customary covenants, including certain financial covenants for minimum liquidity and maximum annual capital expenditures. As of September 30, 2019, the Company was in compliance with its financial covenants.</w:t>
      </w:r>
    </w:p>
    <w:p>
      <w:pPr>
        <w:spacing w:after="0" w:line="160" w:lineRule="exact"/>
        <w:rPr>
          <w:sz w:val="20"/>
          <w:szCs w:val="20"/>
          <w:color w:val="auto"/>
        </w:rPr>
      </w:pPr>
    </w:p>
    <w:p>
      <w:pPr>
        <w:ind w:left="780" w:hanging="772"/>
        <w:spacing w:after="0"/>
        <w:tabs>
          <w:tab w:leader="none" w:pos="780" w:val="left"/>
        </w:tabs>
        <w:numPr>
          <w:ilvl w:val="0"/>
          <w:numId w:val="144"/>
        </w:numPr>
        <w:rPr>
          <w:rFonts w:ascii="Arial" w:cs="Arial" w:eastAsia="Arial" w:hAnsi="Arial"/>
          <w:sz w:val="19"/>
          <w:szCs w:val="19"/>
          <w:b w:val="1"/>
          <w:bCs w:val="1"/>
          <w:color w:val="auto"/>
        </w:rPr>
      </w:pPr>
      <w:r>
        <w:rPr>
          <w:rFonts w:ascii="Arial" w:cs="Arial" w:eastAsia="Arial" w:hAnsi="Arial"/>
          <w:sz w:val="19"/>
          <w:szCs w:val="19"/>
          <w:b w:val="1"/>
          <w:bCs w:val="1"/>
          <w:color w:val="auto"/>
        </w:rPr>
        <w:t>Commitments and Contingencies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Leases</w:t>
      </w: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RAM leases office space and certain equipment under non-cancelable operating lease agreements that expire on various dates through 2024. Approximate future minimum lease payments as of September 30, 2019 are as follows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Year Ending 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60" w:type="dxa"/>
            <w:vAlign w:val="bottom"/>
            <w:tcBorders>
              <w:top w:val="single" w:sz="8" w:color="auto"/>
            </w:tcBorders>
          </w:tcPr>
          <w:p>
            <w:pPr>
              <w:jc w:val="right"/>
              <w:ind w:right="3706"/>
              <w:spacing w:after="0"/>
              <w:rPr>
                <w:sz w:val="20"/>
                <w:szCs w:val="20"/>
                <w:color w:val="auto"/>
              </w:rPr>
            </w:pPr>
            <w:r>
              <w:rPr>
                <w:rFonts w:ascii="Arial" w:cs="Arial" w:eastAsia="Arial" w:hAnsi="Arial"/>
                <w:sz w:val="19"/>
                <w:szCs w:val="19"/>
                <w:color w:val="auto"/>
              </w:rPr>
              <w:t>2020</w:t>
            </w:r>
          </w:p>
        </w:tc>
        <w:tc>
          <w:tcPr>
            <w:tcW w:w="4620" w:type="dxa"/>
            <w:vAlign w:val="bottom"/>
            <w:tcBorders>
              <w:top w:val="single" w:sz="8" w:color="auto"/>
            </w:tcBorders>
          </w:tcPr>
          <w:p>
            <w:pPr>
              <w:jc w:val="right"/>
              <w:ind w:right="606"/>
              <w:spacing w:after="0"/>
              <w:rPr>
                <w:sz w:val="20"/>
                <w:szCs w:val="20"/>
                <w:color w:val="auto"/>
              </w:rPr>
            </w:pPr>
            <w:r>
              <w:rPr>
                <w:rFonts w:ascii="Arial" w:cs="Arial" w:eastAsia="Arial" w:hAnsi="Arial"/>
                <w:sz w:val="19"/>
                <w:szCs w:val="19"/>
                <w:color w:val="auto"/>
              </w:rPr>
              <w:t>$</w:t>
            </w:r>
          </w:p>
        </w:tc>
        <w:tc>
          <w:tcPr>
            <w:tcW w:w="1160" w:type="dxa"/>
            <w:vAlign w:val="bottom"/>
            <w:tcBorders>
              <w:top w:val="single" w:sz="8" w:color="auto"/>
            </w:tcBorders>
          </w:tcPr>
          <w:p>
            <w:pPr>
              <w:jc w:val="right"/>
              <w:ind w:right="26"/>
              <w:spacing w:after="0"/>
              <w:rPr>
                <w:sz w:val="20"/>
                <w:szCs w:val="20"/>
                <w:color w:val="auto"/>
              </w:rPr>
            </w:pPr>
            <w:r>
              <w:rPr>
                <w:rFonts w:ascii="Arial" w:cs="Arial" w:eastAsia="Arial" w:hAnsi="Arial"/>
                <w:sz w:val="19"/>
                <w:szCs w:val="19"/>
                <w:color w:val="auto"/>
              </w:rPr>
              <w:t>347</w:t>
            </w:r>
          </w:p>
        </w:tc>
      </w:tr>
      <w:tr>
        <w:trPr>
          <w:trHeight w:val="229"/>
        </w:trPr>
        <w:tc>
          <w:tcPr>
            <w:tcW w:w="5460" w:type="dxa"/>
            <w:vAlign w:val="bottom"/>
          </w:tcPr>
          <w:p>
            <w:pPr>
              <w:jc w:val="right"/>
              <w:ind w:right="3706"/>
              <w:spacing w:after="0"/>
              <w:rPr>
                <w:sz w:val="20"/>
                <w:szCs w:val="20"/>
                <w:color w:val="auto"/>
              </w:rPr>
            </w:pPr>
            <w:r>
              <w:rPr>
                <w:rFonts w:ascii="Arial" w:cs="Arial" w:eastAsia="Arial" w:hAnsi="Arial"/>
                <w:sz w:val="19"/>
                <w:szCs w:val="19"/>
                <w:color w:val="auto"/>
              </w:rPr>
              <w:t>2021</w:t>
            </w:r>
          </w:p>
        </w:tc>
        <w:tc>
          <w:tcPr>
            <w:tcW w:w="4620" w:type="dxa"/>
            <w:vAlign w:val="bottom"/>
          </w:tcPr>
          <w:p>
            <w:pPr>
              <w:spacing w:after="0"/>
              <w:rPr>
                <w:sz w:val="19"/>
                <w:szCs w:val="19"/>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214</w:t>
            </w:r>
          </w:p>
        </w:tc>
      </w:tr>
      <w:tr>
        <w:trPr>
          <w:trHeight w:val="229"/>
        </w:trPr>
        <w:tc>
          <w:tcPr>
            <w:tcW w:w="5460" w:type="dxa"/>
            <w:vAlign w:val="bottom"/>
          </w:tcPr>
          <w:p>
            <w:pPr>
              <w:jc w:val="right"/>
              <w:ind w:right="3706"/>
              <w:spacing w:after="0"/>
              <w:rPr>
                <w:sz w:val="20"/>
                <w:szCs w:val="20"/>
                <w:color w:val="auto"/>
              </w:rPr>
            </w:pPr>
            <w:r>
              <w:rPr>
                <w:rFonts w:ascii="Arial" w:cs="Arial" w:eastAsia="Arial" w:hAnsi="Arial"/>
                <w:sz w:val="19"/>
                <w:szCs w:val="19"/>
                <w:color w:val="auto"/>
              </w:rPr>
              <w:t>2022</w:t>
            </w:r>
          </w:p>
        </w:tc>
        <w:tc>
          <w:tcPr>
            <w:tcW w:w="4620" w:type="dxa"/>
            <w:vAlign w:val="bottom"/>
          </w:tcPr>
          <w:p>
            <w:pPr>
              <w:spacing w:after="0"/>
              <w:rPr>
                <w:sz w:val="19"/>
                <w:szCs w:val="19"/>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215</w:t>
            </w:r>
          </w:p>
        </w:tc>
      </w:tr>
      <w:tr>
        <w:trPr>
          <w:trHeight w:val="230"/>
        </w:trPr>
        <w:tc>
          <w:tcPr>
            <w:tcW w:w="5460" w:type="dxa"/>
            <w:vAlign w:val="bottom"/>
          </w:tcPr>
          <w:p>
            <w:pPr>
              <w:jc w:val="right"/>
              <w:ind w:right="3706"/>
              <w:spacing w:after="0"/>
              <w:rPr>
                <w:sz w:val="20"/>
                <w:szCs w:val="20"/>
                <w:color w:val="auto"/>
              </w:rPr>
            </w:pPr>
            <w:r>
              <w:rPr>
                <w:rFonts w:ascii="Arial" w:cs="Arial" w:eastAsia="Arial" w:hAnsi="Arial"/>
                <w:sz w:val="19"/>
                <w:szCs w:val="19"/>
                <w:color w:val="auto"/>
              </w:rPr>
              <w:t>2023</w:t>
            </w:r>
          </w:p>
        </w:tc>
        <w:tc>
          <w:tcPr>
            <w:tcW w:w="4620" w:type="dxa"/>
            <w:vAlign w:val="bottom"/>
          </w:tcPr>
          <w:p>
            <w:pPr>
              <w:spacing w:after="0"/>
              <w:rPr>
                <w:sz w:val="19"/>
                <w:szCs w:val="19"/>
                <w:color w:val="auto"/>
              </w:rPr>
            </w:pPr>
          </w:p>
        </w:tc>
        <w:tc>
          <w:tcPr>
            <w:tcW w:w="1160" w:type="dxa"/>
            <w:vAlign w:val="bottom"/>
          </w:tcPr>
          <w:p>
            <w:pPr>
              <w:jc w:val="right"/>
              <w:ind w:right="26"/>
              <w:spacing w:after="0"/>
              <w:rPr>
                <w:sz w:val="20"/>
                <w:szCs w:val="20"/>
                <w:color w:val="auto"/>
              </w:rPr>
            </w:pPr>
            <w:r>
              <w:rPr>
                <w:rFonts w:ascii="Arial" w:cs="Arial" w:eastAsia="Arial" w:hAnsi="Arial"/>
                <w:sz w:val="19"/>
                <w:szCs w:val="19"/>
                <w:color w:val="auto"/>
              </w:rPr>
              <w:t>20</w:t>
            </w:r>
          </w:p>
        </w:tc>
      </w:tr>
      <w:tr>
        <w:trPr>
          <w:trHeight w:val="243"/>
        </w:trPr>
        <w:tc>
          <w:tcPr>
            <w:tcW w:w="5460" w:type="dxa"/>
            <w:vAlign w:val="bottom"/>
            <w:tcBorders>
              <w:bottom w:val="single" w:sz="8" w:color="auto"/>
            </w:tcBorders>
          </w:tcPr>
          <w:p>
            <w:pPr>
              <w:jc w:val="right"/>
              <w:ind w:right="3706"/>
              <w:spacing w:after="0"/>
              <w:rPr>
                <w:sz w:val="20"/>
                <w:szCs w:val="20"/>
                <w:color w:val="auto"/>
              </w:rPr>
            </w:pPr>
            <w:r>
              <w:rPr>
                <w:rFonts w:ascii="Arial" w:cs="Arial" w:eastAsia="Arial" w:hAnsi="Arial"/>
                <w:sz w:val="19"/>
                <w:szCs w:val="19"/>
                <w:color w:val="auto"/>
              </w:rPr>
              <w:t>2024</w:t>
            </w:r>
          </w:p>
        </w:tc>
        <w:tc>
          <w:tcPr>
            <w:tcW w:w="46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2</w:t>
            </w:r>
          </w:p>
        </w:tc>
      </w:tr>
      <w:tr>
        <w:trPr>
          <w:trHeight w:val="250"/>
        </w:trPr>
        <w:tc>
          <w:tcPr>
            <w:tcW w:w="546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tcPr>
          <w:p>
            <w:pPr>
              <w:jc w:val="right"/>
              <w:ind w:right="606"/>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ind w:right="26"/>
              <w:spacing w:after="0"/>
              <w:rPr>
                <w:sz w:val="20"/>
                <w:szCs w:val="20"/>
                <w:color w:val="auto"/>
              </w:rPr>
            </w:pPr>
            <w:r>
              <w:rPr>
                <w:rFonts w:ascii="Arial" w:cs="Arial" w:eastAsia="Arial" w:hAnsi="Arial"/>
                <w:sz w:val="19"/>
                <w:szCs w:val="19"/>
                <w:color w:val="auto"/>
              </w:rPr>
              <w:t>798</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Rent expense of approximately $0.5 million was incurred under operating leases for the year ended September 30, 2019.</w:t>
      </w:r>
    </w:p>
    <w:p>
      <w:pPr>
        <w:spacing w:after="0" w:line="212" w:lineRule="exact"/>
        <w:rPr>
          <w:sz w:val="20"/>
          <w:szCs w:val="20"/>
          <w:color w:val="auto"/>
        </w:rPr>
      </w:pPr>
    </w:p>
    <w:p>
      <w:pPr>
        <w:ind w:left="780" w:hanging="772"/>
        <w:spacing w:after="0"/>
        <w:tabs>
          <w:tab w:leader="none" w:pos="780" w:val="left"/>
        </w:tabs>
        <w:numPr>
          <w:ilvl w:val="0"/>
          <w:numId w:val="145"/>
        </w:numPr>
        <w:rPr>
          <w:rFonts w:ascii="Arial" w:cs="Arial" w:eastAsia="Arial" w:hAnsi="Arial"/>
          <w:sz w:val="19"/>
          <w:szCs w:val="19"/>
          <w:b w:val="1"/>
          <w:bCs w:val="1"/>
          <w:color w:val="auto"/>
        </w:rPr>
      </w:pPr>
      <w:r>
        <w:rPr>
          <w:rFonts w:ascii="Arial" w:cs="Arial" w:eastAsia="Arial" w:hAnsi="Arial"/>
          <w:sz w:val="19"/>
          <w:szCs w:val="19"/>
          <w:b w:val="1"/>
          <w:bCs w:val="1"/>
          <w:color w:val="auto"/>
        </w:rPr>
        <w:t>Related Party Transactions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RAM made certain payments on behalf of an officer totaling $53 thousand in 2019, which are due to the Company as of September 30, 2019. LEL Energy, a company owned by an officer of RAM, made payments on behalf of RAM totaling $18 thousand in 2019, which are payables on RAM’s books as of September 30, 2019.</w:t>
      </w:r>
    </w:p>
    <w:p>
      <w:pPr>
        <w:spacing w:after="0" w:line="160" w:lineRule="exact"/>
        <w:rPr>
          <w:sz w:val="20"/>
          <w:szCs w:val="20"/>
          <w:color w:val="auto"/>
        </w:rPr>
      </w:pPr>
    </w:p>
    <w:p>
      <w:pPr>
        <w:ind w:left="780" w:hanging="772"/>
        <w:spacing w:after="0"/>
        <w:tabs>
          <w:tab w:leader="none" w:pos="780" w:val="left"/>
        </w:tabs>
        <w:numPr>
          <w:ilvl w:val="0"/>
          <w:numId w:val="146"/>
        </w:numPr>
        <w:rPr>
          <w:rFonts w:ascii="Arial" w:cs="Arial" w:eastAsia="Arial" w:hAnsi="Arial"/>
          <w:sz w:val="19"/>
          <w:szCs w:val="19"/>
          <w:b w:val="1"/>
          <w:bCs w:val="1"/>
          <w:color w:val="auto"/>
        </w:rPr>
      </w:pPr>
      <w:r>
        <w:rPr>
          <w:rFonts w:ascii="Arial" w:cs="Arial" w:eastAsia="Arial" w:hAnsi="Arial"/>
          <w:sz w:val="19"/>
          <w:szCs w:val="19"/>
          <w:b w:val="1"/>
          <w:bCs w:val="1"/>
          <w:color w:val="auto"/>
        </w:rPr>
        <w:t>Subsequent Events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Company evaluates events and transactions occurring after the balance sheet date and before the consolidated financial statements are available for issuance. Such events and transactions have been evaluated through November 15, 2019, the date the consolidated financial statements were available to be issued.</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On October 11, 2019, the loan agreement with PennantPark was amended to increase the revolving loan commitment to $50 million. The Company borrowed an additional $10 million on the revolving loan, bringing the total borrowings on the revolving loan to $50 million.</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Macquarie Credit Facility</w:t>
      </w:r>
    </w:p>
    <w:p>
      <w:pPr>
        <w:spacing w:after="0" w:line="212"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On October 16, 2019, RAM, Fayette and Service, as co-borrowers, entered into a $70 million credit facility with Macquarie Investments US Inc. (“Macquarie”) as Administrative Agent for itself. The amount funded at closing was $30.5 million, net of deferred loan costs. The facility includes a $30.5 million Tranche A term loan, a $16 million Tranche B term loan and a $23.5 million Tranche C term loan. Wells that are currently drilling are identified as Tranche A wells. Tranche B and Tranche C wells are identified in RAM’s future development plan. Tranche A was funded at closing, and will be used to pay a working capital deficit and other development and operating costs of Tranche A wells. Tranches B and C will be available when certain wells satisfy production targets and other conditions are met.</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Tranche A term loan provides for monthly payments of interest and principal during its term. Interest is charged at LIBOR plus the Applicable Margin of 8.0%. The Tranche A monthly amortization payments vary based on production of the new Fayette wells. The first principal repayment is due November 30, 2019. The Tranche B term loan provides for incremental monthly amortization payments, upon such date the Tranche B loan should become available.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25"/>
          <w:szCs w:val="25"/>
          <w:b w:val="1"/>
          <w:bCs w:val="1"/>
          <w:color w:val="auto"/>
        </w:rPr>
        <w:t>RAM Energy Holdings LLC and Subsidiaries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342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2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facility is secured by liens on substantially all properties and assets of the borrowers. The loan agreement contains representations, warranties and covenants customary in transactions of this nature, including financial covenants relating to a current ratio, a maximum leverage ratio and a PDP coverage ratio. The facility further provides for certain hedging requirements, and the Company entered into hedging agreements during October 2019.</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Hedging contracts entered during October 2019 are summarized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46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346"/>
              <w:spacing w:after="0"/>
              <w:rPr>
                <w:sz w:val="20"/>
                <w:szCs w:val="20"/>
                <w:color w:val="auto"/>
              </w:rPr>
            </w:pPr>
            <w:r>
              <w:rPr>
                <w:rFonts w:ascii="Arial" w:cs="Arial" w:eastAsia="Arial" w:hAnsi="Arial"/>
                <w:sz w:val="19"/>
                <w:szCs w:val="19"/>
                <w:b w:val="1"/>
                <w:bCs w:val="1"/>
                <w:color w:val="auto"/>
              </w:rPr>
              <w:t>Notional</w:t>
            </w:r>
          </w:p>
        </w:tc>
        <w:tc>
          <w:tcPr>
            <w:tcW w:w="1140" w:type="dxa"/>
            <w:vAlign w:val="bottom"/>
            <w:tcBorders>
              <w:top w:val="single" w:sz="8" w:color="auto"/>
            </w:tcBorders>
          </w:tcPr>
          <w:p>
            <w:pPr>
              <w:spacing w:after="0"/>
              <w:rPr>
                <w:sz w:val="21"/>
                <w:szCs w:val="21"/>
                <w:color w:val="auto"/>
              </w:rPr>
            </w:pPr>
          </w:p>
        </w:tc>
        <w:tc>
          <w:tcPr>
            <w:tcW w:w="1600" w:type="dxa"/>
            <w:vAlign w:val="bottom"/>
            <w:tcBorders>
              <w:top w:val="single" w:sz="8" w:color="auto"/>
            </w:tcBorders>
          </w:tcPr>
          <w:p>
            <w:pPr>
              <w:jc w:val="right"/>
              <w:ind w:right="306"/>
              <w:spacing w:after="0"/>
              <w:rPr>
                <w:sz w:val="20"/>
                <w:szCs w:val="20"/>
                <w:color w:val="auto"/>
              </w:rPr>
            </w:pPr>
            <w:r>
              <w:rPr>
                <w:rFonts w:ascii="Arial" w:cs="Arial" w:eastAsia="Arial" w:hAnsi="Arial"/>
                <w:sz w:val="19"/>
                <w:szCs w:val="19"/>
                <w:b w:val="1"/>
                <w:bCs w:val="1"/>
                <w:color w:val="auto"/>
              </w:rPr>
              <w:t>Average</w:t>
            </w:r>
          </w:p>
        </w:tc>
      </w:tr>
      <w:tr>
        <w:trPr>
          <w:trHeight w:val="258"/>
        </w:trPr>
        <w:tc>
          <w:tcPr>
            <w:tcW w:w="14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ind w:left="500"/>
              <w:spacing w:after="0"/>
              <w:rPr>
                <w:sz w:val="20"/>
                <w:szCs w:val="20"/>
                <w:color w:val="auto"/>
              </w:rPr>
            </w:pPr>
            <w:r>
              <w:rPr>
                <w:rFonts w:ascii="Arial" w:cs="Arial" w:eastAsia="Arial" w:hAnsi="Arial"/>
                <w:sz w:val="19"/>
                <w:szCs w:val="19"/>
                <w:b w:val="1"/>
                <w:bCs w:val="1"/>
                <w:color w:val="auto"/>
              </w:rPr>
              <w:t>Start Date</w:t>
            </w: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9"/>
                <w:szCs w:val="19"/>
                <w:b w:val="1"/>
                <w:bCs w:val="1"/>
                <w:color w:val="auto"/>
              </w:rPr>
              <w:t>End Date</w:t>
            </w:r>
          </w:p>
        </w:tc>
        <w:tc>
          <w:tcPr>
            <w:tcW w:w="2220" w:type="dxa"/>
            <w:vAlign w:val="bottom"/>
            <w:tcBorders>
              <w:bottom w:val="single" w:sz="8" w:color="auto"/>
            </w:tcBorders>
          </w:tcPr>
          <w:p>
            <w:pPr>
              <w:ind w:left="640"/>
              <w:spacing w:after="0"/>
              <w:rPr>
                <w:sz w:val="20"/>
                <w:szCs w:val="20"/>
                <w:color w:val="auto"/>
              </w:rPr>
            </w:pPr>
            <w:r>
              <w:rPr>
                <w:rFonts w:ascii="Arial" w:cs="Arial" w:eastAsia="Arial" w:hAnsi="Arial"/>
                <w:sz w:val="19"/>
                <w:szCs w:val="19"/>
                <w:b w:val="1"/>
                <w:bCs w:val="1"/>
                <w:color w:val="auto"/>
              </w:rPr>
              <w:t>Commodity</w:t>
            </w:r>
          </w:p>
        </w:tc>
        <w:tc>
          <w:tcPr>
            <w:tcW w:w="1540" w:type="dxa"/>
            <w:vAlign w:val="bottom"/>
            <w:tcBorders>
              <w:bottom w:val="single" w:sz="8" w:color="auto"/>
            </w:tcBorders>
          </w:tcPr>
          <w:p>
            <w:pPr>
              <w:jc w:val="right"/>
              <w:ind w:right="346"/>
              <w:spacing w:after="0"/>
              <w:rPr>
                <w:sz w:val="20"/>
                <w:szCs w:val="20"/>
                <w:color w:val="auto"/>
              </w:rPr>
            </w:pPr>
            <w:r>
              <w:rPr>
                <w:rFonts w:ascii="Arial" w:cs="Arial" w:eastAsia="Arial" w:hAnsi="Arial"/>
                <w:sz w:val="19"/>
                <w:szCs w:val="19"/>
                <w:b w:val="1"/>
                <w:bCs w:val="1"/>
                <w:color w:val="auto"/>
              </w:rPr>
              <w:t>Quantity</w:t>
            </w:r>
          </w:p>
        </w:tc>
        <w:tc>
          <w:tcPr>
            <w:tcW w:w="11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146"/>
              <w:spacing w:after="0"/>
              <w:rPr>
                <w:sz w:val="20"/>
                <w:szCs w:val="20"/>
                <w:color w:val="auto"/>
              </w:rPr>
            </w:pPr>
            <w:r>
              <w:rPr>
                <w:rFonts w:ascii="Arial" w:cs="Arial" w:eastAsia="Arial" w:hAnsi="Arial"/>
                <w:sz w:val="19"/>
                <w:szCs w:val="19"/>
                <w:b w:val="1"/>
                <w:bCs w:val="1"/>
                <w:color w:val="auto"/>
              </w:rPr>
              <w:t>Strike Price</w:t>
            </w:r>
          </w:p>
        </w:tc>
      </w:tr>
      <w:tr>
        <w:trPr>
          <w:trHeight w:val="221"/>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1</w:t>
            </w:r>
          </w:p>
        </w:tc>
        <w:tc>
          <w:tcPr>
            <w:tcW w:w="1760" w:type="dxa"/>
            <w:vAlign w:val="bottom"/>
          </w:tcPr>
          <w:p>
            <w:pPr>
              <w:jc w:val="center"/>
              <w:ind w:left="46"/>
              <w:spacing w:after="0"/>
              <w:rPr>
                <w:sz w:val="20"/>
                <w:szCs w:val="20"/>
                <w:color w:val="auto"/>
              </w:rPr>
            </w:pPr>
            <w:r>
              <w:rPr>
                <w:rFonts w:ascii="Arial" w:cs="Arial" w:eastAsia="Arial" w:hAnsi="Arial"/>
                <w:sz w:val="19"/>
                <w:szCs w:val="19"/>
                <w:color w:val="auto"/>
                <w:w w:val="96"/>
              </w:rPr>
              <w:t>11/1/2019</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rPr>
              <w:t>10/31/2022</w:t>
            </w:r>
          </w:p>
        </w:tc>
        <w:tc>
          <w:tcPr>
            <w:tcW w:w="2220" w:type="dxa"/>
            <w:vAlign w:val="bottom"/>
          </w:tcPr>
          <w:p>
            <w:pPr>
              <w:ind w:left="220"/>
              <w:spacing w:after="0"/>
              <w:rPr>
                <w:sz w:val="20"/>
                <w:szCs w:val="20"/>
                <w:color w:val="auto"/>
              </w:rPr>
            </w:pPr>
            <w:r>
              <w:rPr>
                <w:rFonts w:ascii="Arial" w:cs="Arial" w:eastAsia="Arial" w:hAnsi="Arial"/>
                <w:sz w:val="19"/>
                <w:szCs w:val="19"/>
                <w:color w:val="auto"/>
              </w:rPr>
              <w:t>Crude Oil</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378,996</w:t>
            </w:r>
          </w:p>
        </w:tc>
        <w:tc>
          <w:tcPr>
            <w:tcW w:w="1140" w:type="dxa"/>
            <w:vAlign w:val="bottom"/>
          </w:tcPr>
          <w:p>
            <w:pPr>
              <w:ind w:left="140"/>
              <w:spacing w:after="0"/>
              <w:rPr>
                <w:sz w:val="20"/>
                <w:szCs w:val="20"/>
                <w:color w:val="auto"/>
              </w:rPr>
            </w:pPr>
            <w:r>
              <w:rPr>
                <w:rFonts w:ascii="Arial" w:cs="Arial" w:eastAsia="Arial" w:hAnsi="Arial"/>
                <w:sz w:val="19"/>
                <w:szCs w:val="19"/>
                <w:color w:val="auto"/>
              </w:rPr>
              <w:t>BBL</w:t>
            </w:r>
          </w:p>
        </w:tc>
        <w:tc>
          <w:tcPr>
            <w:tcW w:w="1600" w:type="dxa"/>
            <w:vAlign w:val="bottom"/>
          </w:tcPr>
          <w:p>
            <w:pPr>
              <w:jc w:val="right"/>
              <w:spacing w:after="0"/>
              <w:rPr>
                <w:sz w:val="20"/>
                <w:szCs w:val="20"/>
                <w:color w:val="auto"/>
              </w:rPr>
            </w:pPr>
            <w:r>
              <w:rPr>
                <w:rFonts w:ascii="Arial" w:cs="Arial" w:eastAsia="Arial" w:hAnsi="Arial"/>
                <w:sz w:val="19"/>
                <w:szCs w:val="19"/>
                <w:color w:val="auto"/>
              </w:rPr>
              <w:t>$51.097</w:t>
            </w:r>
          </w:p>
        </w:tc>
      </w:tr>
      <w:tr>
        <w:trPr>
          <w:trHeight w:val="229"/>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2</w:t>
            </w:r>
          </w:p>
        </w:tc>
        <w:tc>
          <w:tcPr>
            <w:tcW w:w="1760" w:type="dxa"/>
            <w:vAlign w:val="bottom"/>
          </w:tcPr>
          <w:p>
            <w:pPr>
              <w:jc w:val="center"/>
              <w:ind w:left="46"/>
              <w:spacing w:after="0"/>
              <w:rPr>
                <w:sz w:val="20"/>
                <w:szCs w:val="20"/>
                <w:color w:val="auto"/>
              </w:rPr>
            </w:pPr>
            <w:r>
              <w:rPr>
                <w:rFonts w:ascii="Arial" w:cs="Arial" w:eastAsia="Arial" w:hAnsi="Arial"/>
                <w:sz w:val="19"/>
                <w:szCs w:val="19"/>
                <w:color w:val="auto"/>
                <w:w w:val="96"/>
              </w:rPr>
              <w:t>11/1/2019</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rPr>
              <w:t>10/31/2020</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1,816,546</w:t>
            </w:r>
          </w:p>
        </w:tc>
        <w:tc>
          <w:tcPr>
            <w:tcW w:w="1140" w:type="dxa"/>
            <w:vAlign w:val="bottom"/>
          </w:tcPr>
          <w:p>
            <w:pPr>
              <w:ind w:left="140"/>
              <w:spacing w:after="0"/>
              <w:rPr>
                <w:sz w:val="20"/>
                <w:szCs w:val="20"/>
                <w:color w:val="auto"/>
              </w:rPr>
            </w:pPr>
            <w:r>
              <w:rPr>
                <w:rFonts w:ascii="Arial" w:cs="Arial" w:eastAsia="Arial" w:hAnsi="Arial"/>
                <w:sz w:val="19"/>
                <w:szCs w:val="19"/>
                <w:color w:val="auto"/>
              </w:rPr>
              <w:t>MMBTU</w:t>
            </w:r>
          </w:p>
        </w:tc>
        <w:tc>
          <w:tcPr>
            <w:tcW w:w="1600" w:type="dxa"/>
            <w:vAlign w:val="bottom"/>
          </w:tcPr>
          <w:p>
            <w:pPr>
              <w:jc w:val="right"/>
              <w:spacing w:after="0"/>
              <w:rPr>
                <w:sz w:val="20"/>
                <w:szCs w:val="20"/>
                <w:color w:val="auto"/>
              </w:rPr>
            </w:pPr>
            <w:r>
              <w:rPr>
                <w:rFonts w:ascii="Arial" w:cs="Arial" w:eastAsia="Arial" w:hAnsi="Arial"/>
                <w:sz w:val="19"/>
                <w:szCs w:val="19"/>
                <w:color w:val="auto"/>
              </w:rPr>
              <w:t>$2.304</w:t>
            </w:r>
          </w:p>
        </w:tc>
      </w:tr>
      <w:tr>
        <w:trPr>
          <w:trHeight w:val="229"/>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3</w:t>
            </w:r>
          </w:p>
        </w:tc>
        <w:tc>
          <w:tcPr>
            <w:tcW w:w="1760" w:type="dxa"/>
            <w:vAlign w:val="bottom"/>
          </w:tcPr>
          <w:p>
            <w:pPr>
              <w:jc w:val="center"/>
              <w:ind w:left="66"/>
              <w:spacing w:after="0"/>
              <w:rPr>
                <w:sz w:val="20"/>
                <w:szCs w:val="20"/>
                <w:color w:val="auto"/>
              </w:rPr>
            </w:pPr>
            <w:r>
              <w:rPr>
                <w:rFonts w:ascii="Arial" w:cs="Arial" w:eastAsia="Arial" w:hAnsi="Arial"/>
                <w:sz w:val="19"/>
                <w:szCs w:val="19"/>
                <w:color w:val="auto"/>
                <w:w w:val="99"/>
              </w:rPr>
              <w:t>12/1/2019</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w w:val="99"/>
              </w:rPr>
              <w:t>3/31/2020</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976,000</w:t>
            </w:r>
          </w:p>
        </w:tc>
        <w:tc>
          <w:tcPr>
            <w:tcW w:w="1140" w:type="dxa"/>
            <w:vAlign w:val="bottom"/>
          </w:tcPr>
          <w:p>
            <w:pPr>
              <w:ind w:left="140"/>
              <w:spacing w:after="0"/>
              <w:rPr>
                <w:sz w:val="20"/>
                <w:szCs w:val="20"/>
                <w:color w:val="auto"/>
              </w:rPr>
            </w:pPr>
            <w:r>
              <w:rPr>
                <w:rFonts w:ascii="Arial" w:cs="Arial" w:eastAsia="Arial" w:hAnsi="Arial"/>
                <w:sz w:val="19"/>
                <w:szCs w:val="19"/>
                <w:color w:val="auto"/>
              </w:rPr>
              <w:t>MMBTU</w:t>
            </w:r>
          </w:p>
        </w:tc>
        <w:tc>
          <w:tcPr>
            <w:tcW w:w="1600" w:type="dxa"/>
            <w:vAlign w:val="bottom"/>
          </w:tcPr>
          <w:p>
            <w:pPr>
              <w:jc w:val="right"/>
              <w:spacing w:after="0"/>
              <w:rPr>
                <w:sz w:val="20"/>
                <w:szCs w:val="20"/>
                <w:color w:val="auto"/>
              </w:rPr>
            </w:pPr>
            <w:r>
              <w:rPr>
                <w:rFonts w:ascii="Arial" w:cs="Arial" w:eastAsia="Arial" w:hAnsi="Arial"/>
                <w:sz w:val="19"/>
                <w:szCs w:val="19"/>
                <w:color w:val="auto"/>
              </w:rPr>
              <w:t>$2.556</w:t>
            </w:r>
          </w:p>
        </w:tc>
      </w:tr>
      <w:tr>
        <w:trPr>
          <w:trHeight w:val="230"/>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4</w:t>
            </w:r>
          </w:p>
        </w:tc>
        <w:tc>
          <w:tcPr>
            <w:tcW w:w="1760" w:type="dxa"/>
            <w:vAlign w:val="bottom"/>
          </w:tcPr>
          <w:p>
            <w:pPr>
              <w:jc w:val="center"/>
              <w:ind w:left="46"/>
              <w:spacing w:after="0"/>
              <w:rPr>
                <w:sz w:val="20"/>
                <w:szCs w:val="20"/>
                <w:color w:val="auto"/>
              </w:rPr>
            </w:pPr>
            <w:r>
              <w:rPr>
                <w:rFonts w:ascii="Arial" w:cs="Arial" w:eastAsia="Arial" w:hAnsi="Arial"/>
                <w:sz w:val="19"/>
                <w:szCs w:val="19"/>
                <w:color w:val="auto"/>
                <w:w w:val="96"/>
              </w:rPr>
              <w:t>11/1/2020</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w w:val="99"/>
              </w:rPr>
              <w:t>3/31/2021</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1,208,000</w:t>
            </w:r>
          </w:p>
        </w:tc>
        <w:tc>
          <w:tcPr>
            <w:tcW w:w="1140" w:type="dxa"/>
            <w:vAlign w:val="bottom"/>
          </w:tcPr>
          <w:p>
            <w:pPr>
              <w:ind w:left="140"/>
              <w:spacing w:after="0"/>
              <w:rPr>
                <w:sz w:val="20"/>
                <w:szCs w:val="20"/>
                <w:color w:val="auto"/>
              </w:rPr>
            </w:pPr>
            <w:r>
              <w:rPr>
                <w:rFonts w:ascii="Arial" w:cs="Arial" w:eastAsia="Arial" w:hAnsi="Arial"/>
                <w:sz w:val="19"/>
                <w:szCs w:val="19"/>
                <w:color w:val="auto"/>
              </w:rPr>
              <w:t>MMBTU</w:t>
            </w:r>
          </w:p>
        </w:tc>
        <w:tc>
          <w:tcPr>
            <w:tcW w:w="1600" w:type="dxa"/>
            <w:vAlign w:val="bottom"/>
          </w:tcPr>
          <w:p>
            <w:pPr>
              <w:jc w:val="right"/>
              <w:spacing w:after="0"/>
              <w:rPr>
                <w:sz w:val="20"/>
                <w:szCs w:val="20"/>
                <w:color w:val="auto"/>
              </w:rPr>
            </w:pPr>
            <w:r>
              <w:rPr>
                <w:rFonts w:ascii="Arial" w:cs="Arial" w:eastAsia="Arial" w:hAnsi="Arial"/>
                <w:sz w:val="19"/>
                <w:szCs w:val="19"/>
                <w:color w:val="auto"/>
              </w:rPr>
              <w:t>$2.601</w:t>
            </w:r>
          </w:p>
        </w:tc>
      </w:tr>
      <w:tr>
        <w:trPr>
          <w:trHeight w:val="229"/>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5</w:t>
            </w:r>
          </w:p>
        </w:tc>
        <w:tc>
          <w:tcPr>
            <w:tcW w:w="1760" w:type="dxa"/>
            <w:vAlign w:val="bottom"/>
          </w:tcPr>
          <w:p>
            <w:pPr>
              <w:jc w:val="center"/>
              <w:ind w:left="46"/>
              <w:spacing w:after="0"/>
              <w:rPr>
                <w:sz w:val="20"/>
                <w:szCs w:val="20"/>
                <w:color w:val="auto"/>
              </w:rPr>
            </w:pPr>
            <w:r>
              <w:rPr>
                <w:rFonts w:ascii="Arial" w:cs="Arial" w:eastAsia="Arial" w:hAnsi="Arial"/>
                <w:sz w:val="19"/>
                <w:szCs w:val="19"/>
                <w:color w:val="auto"/>
              </w:rPr>
              <w:t>4/1/2021</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rPr>
              <w:t>10/31/2022</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1,679,051</w:t>
            </w:r>
          </w:p>
        </w:tc>
        <w:tc>
          <w:tcPr>
            <w:tcW w:w="1140" w:type="dxa"/>
            <w:vAlign w:val="bottom"/>
          </w:tcPr>
          <w:p>
            <w:pPr>
              <w:ind w:left="140"/>
              <w:spacing w:after="0"/>
              <w:rPr>
                <w:sz w:val="20"/>
                <w:szCs w:val="20"/>
                <w:color w:val="auto"/>
              </w:rPr>
            </w:pPr>
            <w:r>
              <w:rPr>
                <w:rFonts w:ascii="Arial" w:cs="Arial" w:eastAsia="Arial" w:hAnsi="Arial"/>
                <w:sz w:val="19"/>
                <w:szCs w:val="19"/>
                <w:color w:val="auto"/>
              </w:rPr>
              <w:t>MMBTU</w:t>
            </w:r>
          </w:p>
        </w:tc>
        <w:tc>
          <w:tcPr>
            <w:tcW w:w="1600" w:type="dxa"/>
            <w:vAlign w:val="bottom"/>
          </w:tcPr>
          <w:p>
            <w:pPr>
              <w:jc w:val="right"/>
              <w:spacing w:after="0"/>
              <w:rPr>
                <w:sz w:val="20"/>
                <w:szCs w:val="20"/>
                <w:color w:val="auto"/>
              </w:rPr>
            </w:pPr>
            <w:r>
              <w:rPr>
                <w:rFonts w:ascii="Arial" w:cs="Arial" w:eastAsia="Arial" w:hAnsi="Arial"/>
                <w:sz w:val="19"/>
                <w:szCs w:val="19"/>
                <w:color w:val="auto"/>
              </w:rPr>
              <w:t>$2.367</w:t>
            </w:r>
          </w:p>
        </w:tc>
      </w:tr>
      <w:tr>
        <w:trPr>
          <w:trHeight w:val="229"/>
        </w:trPr>
        <w:tc>
          <w:tcPr>
            <w:tcW w:w="1460" w:type="dxa"/>
            <w:vAlign w:val="bottom"/>
          </w:tcPr>
          <w:p>
            <w:pPr>
              <w:spacing w:after="0"/>
              <w:rPr>
                <w:sz w:val="20"/>
                <w:szCs w:val="20"/>
                <w:color w:val="auto"/>
              </w:rPr>
            </w:pPr>
            <w:r>
              <w:rPr>
                <w:rFonts w:ascii="Arial" w:cs="Arial" w:eastAsia="Arial" w:hAnsi="Arial"/>
                <w:sz w:val="19"/>
                <w:szCs w:val="19"/>
                <w:b w:val="1"/>
                <w:bCs w:val="1"/>
                <w:color w:val="auto"/>
              </w:rPr>
              <w:t>Contract 6</w:t>
            </w:r>
          </w:p>
        </w:tc>
        <w:tc>
          <w:tcPr>
            <w:tcW w:w="1760" w:type="dxa"/>
            <w:vAlign w:val="bottom"/>
          </w:tcPr>
          <w:p>
            <w:pPr>
              <w:jc w:val="center"/>
              <w:ind w:left="46"/>
              <w:spacing w:after="0"/>
              <w:rPr>
                <w:sz w:val="20"/>
                <w:szCs w:val="20"/>
                <w:color w:val="auto"/>
              </w:rPr>
            </w:pPr>
            <w:r>
              <w:rPr>
                <w:rFonts w:ascii="Arial" w:cs="Arial" w:eastAsia="Arial" w:hAnsi="Arial"/>
                <w:sz w:val="19"/>
                <w:szCs w:val="19"/>
                <w:color w:val="auto"/>
                <w:w w:val="96"/>
              </w:rPr>
              <w:t>11/1/2019</w:t>
            </w:r>
          </w:p>
        </w:tc>
        <w:tc>
          <w:tcPr>
            <w:tcW w:w="1520" w:type="dxa"/>
            <w:vAlign w:val="bottom"/>
          </w:tcPr>
          <w:p>
            <w:pPr>
              <w:jc w:val="center"/>
              <w:ind w:left="66"/>
              <w:spacing w:after="0"/>
              <w:rPr>
                <w:sz w:val="20"/>
                <w:szCs w:val="20"/>
                <w:color w:val="auto"/>
              </w:rPr>
            </w:pPr>
            <w:r>
              <w:rPr>
                <w:rFonts w:ascii="Arial" w:cs="Arial" w:eastAsia="Arial" w:hAnsi="Arial"/>
                <w:sz w:val="19"/>
                <w:szCs w:val="19"/>
                <w:color w:val="auto"/>
              </w:rPr>
              <w:t>10/31/2022</w:t>
            </w:r>
          </w:p>
        </w:tc>
        <w:tc>
          <w:tcPr>
            <w:tcW w:w="2220" w:type="dxa"/>
            <w:vAlign w:val="bottom"/>
          </w:tcPr>
          <w:p>
            <w:pPr>
              <w:ind w:left="220"/>
              <w:spacing w:after="0"/>
              <w:rPr>
                <w:sz w:val="20"/>
                <w:szCs w:val="20"/>
                <w:color w:val="auto"/>
              </w:rPr>
            </w:pPr>
            <w:r>
              <w:rPr>
                <w:rFonts w:ascii="Arial" w:cs="Arial" w:eastAsia="Arial" w:hAnsi="Arial"/>
                <w:sz w:val="19"/>
                <w:szCs w:val="19"/>
                <w:color w:val="auto"/>
              </w:rPr>
              <w:t>Natural Gas Liquids</w:t>
            </w:r>
          </w:p>
        </w:tc>
        <w:tc>
          <w:tcPr>
            <w:tcW w:w="1540" w:type="dxa"/>
            <w:vAlign w:val="bottom"/>
          </w:tcPr>
          <w:p>
            <w:pPr>
              <w:jc w:val="right"/>
              <w:ind w:right="46"/>
              <w:spacing w:after="0"/>
              <w:rPr>
                <w:sz w:val="20"/>
                <w:szCs w:val="20"/>
                <w:color w:val="auto"/>
              </w:rPr>
            </w:pPr>
            <w:r>
              <w:rPr>
                <w:rFonts w:ascii="Arial" w:cs="Arial" w:eastAsia="Arial" w:hAnsi="Arial"/>
                <w:sz w:val="19"/>
                <w:szCs w:val="19"/>
                <w:color w:val="auto"/>
              </w:rPr>
              <w:t>17,166,450</w:t>
            </w:r>
          </w:p>
        </w:tc>
        <w:tc>
          <w:tcPr>
            <w:tcW w:w="1140" w:type="dxa"/>
            <w:vAlign w:val="bottom"/>
          </w:tcPr>
          <w:p>
            <w:pPr>
              <w:ind w:left="140"/>
              <w:spacing w:after="0"/>
              <w:rPr>
                <w:sz w:val="20"/>
                <w:szCs w:val="20"/>
                <w:color w:val="auto"/>
              </w:rPr>
            </w:pPr>
            <w:r>
              <w:rPr>
                <w:rFonts w:ascii="Arial" w:cs="Arial" w:eastAsia="Arial" w:hAnsi="Arial"/>
                <w:sz w:val="19"/>
                <w:szCs w:val="19"/>
                <w:color w:val="auto"/>
              </w:rPr>
              <w:t>GAL</w:t>
            </w:r>
          </w:p>
        </w:tc>
        <w:tc>
          <w:tcPr>
            <w:tcW w:w="1600" w:type="dxa"/>
            <w:vAlign w:val="bottom"/>
          </w:tcPr>
          <w:p>
            <w:pPr>
              <w:jc w:val="right"/>
              <w:spacing w:after="0"/>
              <w:rPr>
                <w:sz w:val="20"/>
                <w:szCs w:val="20"/>
                <w:color w:val="auto"/>
              </w:rPr>
            </w:pPr>
            <w:r>
              <w:rPr>
                <w:rFonts w:ascii="Arial" w:cs="Arial" w:eastAsia="Arial" w:hAnsi="Arial"/>
                <w:sz w:val="19"/>
                <w:szCs w:val="19"/>
                <w:color w:val="auto"/>
              </w:rPr>
              <w:t>$0.170</w:t>
            </w:r>
          </w:p>
        </w:tc>
      </w:tr>
      <w:tr>
        <w:trPr>
          <w:trHeight w:val="258"/>
        </w:trPr>
        <w:tc>
          <w:tcPr>
            <w:tcW w:w="14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Contract 7</w:t>
            </w:r>
          </w:p>
        </w:tc>
        <w:tc>
          <w:tcPr>
            <w:tcW w:w="1760" w:type="dxa"/>
            <w:vAlign w:val="bottom"/>
            <w:tcBorders>
              <w:bottom w:val="single" w:sz="8" w:color="auto"/>
            </w:tcBorders>
          </w:tcPr>
          <w:p>
            <w:pPr>
              <w:jc w:val="center"/>
              <w:ind w:left="46"/>
              <w:spacing w:after="0"/>
              <w:rPr>
                <w:sz w:val="20"/>
                <w:szCs w:val="20"/>
                <w:color w:val="auto"/>
              </w:rPr>
            </w:pPr>
            <w:r>
              <w:rPr>
                <w:rFonts w:ascii="Arial" w:cs="Arial" w:eastAsia="Arial" w:hAnsi="Arial"/>
                <w:sz w:val="19"/>
                <w:szCs w:val="19"/>
                <w:color w:val="auto"/>
                <w:w w:val="96"/>
              </w:rPr>
              <w:t>11/1/2019</w:t>
            </w:r>
          </w:p>
        </w:tc>
        <w:tc>
          <w:tcPr>
            <w:tcW w:w="1520" w:type="dxa"/>
            <w:vAlign w:val="bottom"/>
            <w:tcBorders>
              <w:bottom w:val="single" w:sz="8" w:color="auto"/>
            </w:tcBorders>
          </w:tcPr>
          <w:p>
            <w:pPr>
              <w:jc w:val="center"/>
              <w:ind w:left="66"/>
              <w:spacing w:after="0"/>
              <w:rPr>
                <w:sz w:val="20"/>
                <w:szCs w:val="20"/>
                <w:color w:val="auto"/>
              </w:rPr>
            </w:pPr>
            <w:r>
              <w:rPr>
                <w:rFonts w:ascii="Arial" w:cs="Arial" w:eastAsia="Arial" w:hAnsi="Arial"/>
                <w:sz w:val="19"/>
                <w:szCs w:val="19"/>
                <w:color w:val="auto"/>
              </w:rPr>
              <w:t>10/31/2022</w:t>
            </w: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9"/>
                <w:szCs w:val="19"/>
                <w:color w:val="auto"/>
              </w:rPr>
              <w:t>Natural Gas Liquids</w:t>
            </w:r>
          </w:p>
        </w:tc>
        <w:tc>
          <w:tcPr>
            <w:tcW w:w="1540" w:type="dxa"/>
            <w:vAlign w:val="bottom"/>
            <w:tcBorders>
              <w:bottom w:val="single" w:sz="8" w:color="auto"/>
            </w:tcBorders>
          </w:tcPr>
          <w:p>
            <w:pPr>
              <w:jc w:val="right"/>
              <w:ind w:right="46"/>
              <w:spacing w:after="0"/>
              <w:rPr>
                <w:sz w:val="20"/>
                <w:szCs w:val="20"/>
                <w:color w:val="auto"/>
              </w:rPr>
            </w:pPr>
            <w:r>
              <w:rPr>
                <w:rFonts w:ascii="Arial" w:cs="Arial" w:eastAsia="Arial" w:hAnsi="Arial"/>
                <w:sz w:val="19"/>
                <w:szCs w:val="19"/>
                <w:color w:val="auto"/>
              </w:rPr>
              <w:t>7,125,846</w:t>
            </w: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GAL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$0.450</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The facility matures October 16, 2022.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240"/>
          </w:cols>
          <w:pgMar w:left="320" w:top="334"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940"/>
        <w:spacing w:after="0"/>
        <w:rPr>
          <w:sz w:val="20"/>
          <w:szCs w:val="20"/>
          <w:color w:val="auto"/>
        </w:rPr>
      </w:pPr>
      <w:r>
        <w:rPr>
          <w:rFonts w:ascii="Trebuchet MS" w:cs="Trebuchet MS" w:eastAsia="Trebuchet MS" w:hAnsi="Trebuchet MS"/>
          <w:sz w:val="29"/>
          <w:szCs w:val="29"/>
          <w:b w:val="1"/>
          <w:bCs w:val="1"/>
          <w:color w:val="auto"/>
        </w:rPr>
        <w:t>RAM ENERGY HOLDINGS LLC</w:t>
      </w:r>
    </w:p>
    <w:p>
      <w:pPr>
        <w:spacing w:after="0" w:line="11" w:lineRule="exact"/>
        <w:rPr>
          <w:sz w:val="20"/>
          <w:szCs w:val="20"/>
          <w:color w:val="auto"/>
        </w:rPr>
      </w:pPr>
    </w:p>
    <w:p>
      <w:pPr>
        <w:ind w:left="4940"/>
        <w:spacing w:after="0"/>
        <w:rPr>
          <w:sz w:val="20"/>
          <w:szCs w:val="20"/>
          <w:color w:val="auto"/>
        </w:rPr>
      </w:pPr>
      <w:r>
        <w:rPr>
          <w:rFonts w:ascii="Trebuchet MS" w:cs="Trebuchet MS" w:eastAsia="Trebuchet MS" w:hAnsi="Trebuchet MS"/>
          <w:sz w:val="29"/>
          <w:szCs w:val="29"/>
          <w:b w:val="1"/>
          <w:bCs w:val="1"/>
          <w:color w:val="auto"/>
        </w:rPr>
        <w:t>AND SUBSIDIARIES</w:t>
      </w:r>
    </w:p>
    <w:p>
      <w:pPr>
        <w:spacing w:after="0" w:line="156" w:lineRule="exact"/>
        <w:rPr>
          <w:sz w:val="20"/>
          <w:szCs w:val="20"/>
          <w:color w:val="auto"/>
        </w:rPr>
      </w:pPr>
    </w:p>
    <w:p>
      <w:pPr>
        <w:ind w:left="4940"/>
        <w:spacing w:after="0"/>
        <w:rPr>
          <w:sz w:val="20"/>
          <w:szCs w:val="20"/>
          <w:color w:val="auto"/>
        </w:rPr>
      </w:pPr>
      <w:r>
        <w:rPr>
          <w:rFonts w:ascii="Trebuchet MS" w:cs="Trebuchet MS" w:eastAsia="Trebuchet MS" w:hAnsi="Trebuchet MS"/>
          <w:sz w:val="25"/>
          <w:szCs w:val="25"/>
          <w:color w:val="auto"/>
        </w:rPr>
        <w:t>Consolidated Financial Statements</w:t>
      </w:r>
    </w:p>
    <w:p>
      <w:pPr>
        <w:spacing w:after="0" w:line="47" w:lineRule="exact"/>
        <w:rPr>
          <w:sz w:val="20"/>
          <w:szCs w:val="20"/>
          <w:color w:val="auto"/>
        </w:rPr>
      </w:pPr>
    </w:p>
    <w:p>
      <w:pPr>
        <w:ind w:left="4940"/>
        <w:spacing w:after="0"/>
        <w:rPr>
          <w:sz w:val="20"/>
          <w:szCs w:val="20"/>
          <w:color w:val="auto"/>
        </w:rPr>
      </w:pPr>
      <w:r>
        <w:rPr>
          <w:rFonts w:ascii="Trebuchet MS" w:cs="Trebuchet MS" w:eastAsia="Trebuchet MS" w:hAnsi="Trebuchet MS"/>
          <w:sz w:val="25"/>
          <w:szCs w:val="25"/>
          <w:color w:val="auto"/>
        </w:rPr>
        <w:t>(Unaudited)</w:t>
      </w:r>
    </w:p>
    <w:p>
      <w:pPr>
        <w:spacing w:after="0" w:line="189" w:lineRule="exact"/>
        <w:rPr>
          <w:sz w:val="20"/>
          <w:szCs w:val="20"/>
          <w:color w:val="auto"/>
        </w:rPr>
      </w:pPr>
    </w:p>
    <w:p>
      <w:pPr>
        <w:ind w:left="4940"/>
        <w:spacing w:after="0"/>
        <w:rPr>
          <w:sz w:val="20"/>
          <w:szCs w:val="20"/>
          <w:color w:val="auto"/>
        </w:rPr>
      </w:pPr>
      <w:r>
        <w:rPr>
          <w:rFonts w:ascii="Trebuchet MS" w:cs="Trebuchet MS" w:eastAsia="Trebuchet MS" w:hAnsi="Trebuchet MS"/>
          <w:sz w:val="22"/>
          <w:szCs w:val="22"/>
          <w:color w:val="auto"/>
        </w:rPr>
        <w:t>As of and for the Year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3335655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20"/>
          </w:cols>
          <w:pgMar w:left="1440" w:top="347" w:right="339" w:bottom="1440" w:gutter="0" w:footer="0" w:header="0"/>
        </w:sectPr>
      </w:pPr>
    </w:p>
    <w:bookmarkStart w:id="151" w:name="page152"/>
    <w:bookmarkEnd w:id="151"/>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50"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320" w:type="dxa"/>
            <w:vAlign w:val="bottom"/>
          </w:tcPr>
          <w:p>
            <w:pPr>
              <w:spacing w:after="0"/>
              <w:rPr>
                <w:sz w:val="20"/>
                <w:szCs w:val="20"/>
                <w:color w:val="auto"/>
              </w:rPr>
            </w:pPr>
            <w:r>
              <w:rPr>
                <w:rFonts w:ascii="Trebuchet MS" w:cs="Trebuchet MS" w:eastAsia="Trebuchet MS" w:hAnsi="Trebuchet MS"/>
                <w:sz w:val="19"/>
                <w:szCs w:val="19"/>
                <w:b w:val="1"/>
                <w:bCs w:val="1"/>
                <w:color w:val="auto"/>
              </w:rPr>
              <w:t>Consolidated Financial Statements (Unaudited)</w:t>
            </w:r>
          </w:p>
        </w:tc>
        <w:tc>
          <w:tcPr>
            <w:tcW w:w="2920" w:type="dxa"/>
            <w:vAlign w:val="bottom"/>
          </w:tcPr>
          <w:p>
            <w:pPr>
              <w:jc w:val="right"/>
              <w:spacing w:after="0"/>
              <w:rPr>
                <w:sz w:val="20"/>
                <w:szCs w:val="20"/>
                <w:color w:val="auto"/>
              </w:rPr>
            </w:pPr>
            <w:r>
              <w:rPr>
                <w:rFonts w:ascii="Trebuchet MS" w:cs="Trebuchet MS" w:eastAsia="Trebuchet MS" w:hAnsi="Trebuchet MS"/>
                <w:sz w:val="19"/>
                <w:szCs w:val="19"/>
                <w:b w:val="1"/>
                <w:bCs w:val="1"/>
                <w:color w:val="auto"/>
              </w:rPr>
              <w:t>Page</w:t>
            </w:r>
          </w:p>
        </w:tc>
      </w:tr>
      <w:tr>
        <w:trPr>
          <w:trHeight w:val="430"/>
        </w:trPr>
        <w:tc>
          <w:tcPr>
            <w:tcW w:w="8320" w:type="dxa"/>
            <w:vAlign w:val="bottom"/>
          </w:tcPr>
          <w:p>
            <w:pPr>
              <w:ind w:left="180"/>
              <w:spacing w:after="0"/>
              <w:rPr>
                <w:sz w:val="20"/>
                <w:szCs w:val="20"/>
                <w:color w:val="auto"/>
              </w:rPr>
            </w:pPr>
            <w:r>
              <w:rPr>
                <w:rFonts w:ascii="Trebuchet MS" w:cs="Trebuchet MS" w:eastAsia="Trebuchet MS" w:hAnsi="Trebuchet MS"/>
                <w:sz w:val="19"/>
                <w:szCs w:val="19"/>
                <w:color w:val="auto"/>
              </w:rPr>
              <w:t>Consolidated Balance Sheet as of September 30, 2018 (Unaudited)</w:t>
            </w:r>
          </w:p>
        </w:tc>
        <w:tc>
          <w:tcPr>
            <w:tcW w:w="2920" w:type="dxa"/>
            <w:vAlign w:val="bottom"/>
          </w:tcPr>
          <w:p>
            <w:pPr>
              <w:jc w:val="right"/>
              <w:spacing w:after="0"/>
              <w:rPr>
                <w:sz w:val="20"/>
                <w:szCs w:val="20"/>
                <w:color w:val="auto"/>
              </w:rPr>
            </w:pPr>
            <w:r>
              <w:rPr>
                <w:rFonts w:ascii="Trebuchet MS" w:cs="Trebuchet MS" w:eastAsia="Trebuchet MS" w:hAnsi="Trebuchet MS"/>
                <w:sz w:val="19"/>
                <w:szCs w:val="19"/>
                <w:color w:val="auto"/>
              </w:rPr>
              <w:t>4-5</w:t>
            </w:r>
          </w:p>
        </w:tc>
      </w:tr>
      <w:tr>
        <w:trPr>
          <w:trHeight w:val="423"/>
        </w:trPr>
        <w:tc>
          <w:tcPr>
            <w:tcW w:w="8320" w:type="dxa"/>
            <w:vAlign w:val="bottom"/>
          </w:tcPr>
          <w:p>
            <w:pPr>
              <w:ind w:left="180"/>
              <w:spacing w:after="0"/>
              <w:rPr>
                <w:sz w:val="20"/>
                <w:szCs w:val="20"/>
                <w:color w:val="auto"/>
              </w:rPr>
            </w:pPr>
            <w:r>
              <w:rPr>
                <w:rFonts w:ascii="Trebuchet MS" w:cs="Trebuchet MS" w:eastAsia="Trebuchet MS" w:hAnsi="Trebuchet MS"/>
                <w:sz w:val="19"/>
                <w:szCs w:val="19"/>
                <w:color w:val="auto"/>
              </w:rPr>
              <w:t>Consolidated Statement of Operations</w:t>
            </w:r>
          </w:p>
        </w:tc>
        <w:tc>
          <w:tcPr>
            <w:tcW w:w="2920" w:type="dxa"/>
            <w:vAlign w:val="bottom"/>
          </w:tcPr>
          <w:p>
            <w:pPr>
              <w:spacing w:after="0"/>
              <w:rPr>
                <w:sz w:val="24"/>
                <w:szCs w:val="24"/>
                <w:color w:val="auto"/>
              </w:rPr>
            </w:pPr>
          </w:p>
        </w:tc>
      </w:tr>
      <w:tr>
        <w:trPr>
          <w:trHeight w:val="225"/>
        </w:trPr>
        <w:tc>
          <w:tcPr>
            <w:tcW w:w="8320" w:type="dxa"/>
            <w:vAlign w:val="bottom"/>
          </w:tcPr>
          <w:p>
            <w:pPr>
              <w:ind w:left="360"/>
              <w:spacing w:after="0"/>
              <w:rPr>
                <w:sz w:val="20"/>
                <w:szCs w:val="20"/>
                <w:color w:val="auto"/>
              </w:rPr>
            </w:pPr>
            <w:r>
              <w:rPr>
                <w:rFonts w:ascii="Trebuchet MS" w:cs="Trebuchet MS" w:eastAsia="Trebuchet MS" w:hAnsi="Trebuchet MS"/>
                <w:sz w:val="19"/>
                <w:szCs w:val="19"/>
                <w:color w:val="auto"/>
              </w:rPr>
              <w:t>for the Year Ended September 30, 2018 (Unaudited)</w:t>
            </w:r>
          </w:p>
        </w:tc>
        <w:tc>
          <w:tcPr>
            <w:tcW w:w="2920" w:type="dxa"/>
            <w:vAlign w:val="bottom"/>
          </w:tcPr>
          <w:p>
            <w:pPr>
              <w:jc w:val="right"/>
              <w:spacing w:after="0"/>
              <w:rPr>
                <w:sz w:val="20"/>
                <w:szCs w:val="20"/>
                <w:color w:val="auto"/>
              </w:rPr>
            </w:pPr>
            <w:r>
              <w:rPr>
                <w:rFonts w:ascii="Trebuchet MS" w:cs="Trebuchet MS" w:eastAsia="Trebuchet MS" w:hAnsi="Trebuchet MS"/>
                <w:sz w:val="19"/>
                <w:szCs w:val="19"/>
                <w:color w:val="auto"/>
              </w:rPr>
              <w:t>6</w:t>
            </w:r>
          </w:p>
        </w:tc>
      </w:tr>
      <w:tr>
        <w:trPr>
          <w:trHeight w:val="423"/>
        </w:trPr>
        <w:tc>
          <w:tcPr>
            <w:tcW w:w="8320" w:type="dxa"/>
            <w:vAlign w:val="bottom"/>
          </w:tcPr>
          <w:p>
            <w:pPr>
              <w:ind w:left="180"/>
              <w:spacing w:after="0"/>
              <w:rPr>
                <w:sz w:val="20"/>
                <w:szCs w:val="20"/>
                <w:color w:val="auto"/>
              </w:rPr>
            </w:pPr>
            <w:r>
              <w:rPr>
                <w:rFonts w:ascii="Trebuchet MS" w:cs="Trebuchet MS" w:eastAsia="Trebuchet MS" w:hAnsi="Trebuchet MS"/>
                <w:sz w:val="19"/>
                <w:szCs w:val="19"/>
                <w:color w:val="auto"/>
              </w:rPr>
              <w:t>Consolidated Statement of Member’s Deficit</w:t>
            </w:r>
          </w:p>
        </w:tc>
        <w:tc>
          <w:tcPr>
            <w:tcW w:w="2920" w:type="dxa"/>
            <w:vAlign w:val="bottom"/>
          </w:tcPr>
          <w:p>
            <w:pPr>
              <w:spacing w:after="0"/>
              <w:rPr>
                <w:sz w:val="24"/>
                <w:szCs w:val="24"/>
                <w:color w:val="auto"/>
              </w:rPr>
            </w:pPr>
          </w:p>
        </w:tc>
      </w:tr>
      <w:tr>
        <w:trPr>
          <w:trHeight w:val="225"/>
        </w:trPr>
        <w:tc>
          <w:tcPr>
            <w:tcW w:w="8320" w:type="dxa"/>
            <w:vAlign w:val="bottom"/>
          </w:tcPr>
          <w:p>
            <w:pPr>
              <w:ind w:left="360"/>
              <w:spacing w:after="0"/>
              <w:rPr>
                <w:sz w:val="20"/>
                <w:szCs w:val="20"/>
                <w:color w:val="auto"/>
              </w:rPr>
            </w:pPr>
            <w:r>
              <w:rPr>
                <w:rFonts w:ascii="Trebuchet MS" w:cs="Trebuchet MS" w:eastAsia="Trebuchet MS" w:hAnsi="Trebuchet MS"/>
                <w:sz w:val="19"/>
                <w:szCs w:val="19"/>
                <w:color w:val="auto"/>
              </w:rPr>
              <w:t>for the Year Ended September 30, 2018 (Unaudited)</w:t>
            </w:r>
          </w:p>
        </w:tc>
        <w:tc>
          <w:tcPr>
            <w:tcW w:w="2920" w:type="dxa"/>
            <w:vAlign w:val="bottom"/>
          </w:tcPr>
          <w:p>
            <w:pPr>
              <w:jc w:val="right"/>
              <w:spacing w:after="0"/>
              <w:rPr>
                <w:sz w:val="20"/>
                <w:szCs w:val="20"/>
                <w:color w:val="auto"/>
              </w:rPr>
            </w:pPr>
            <w:r>
              <w:rPr>
                <w:rFonts w:ascii="Trebuchet MS" w:cs="Trebuchet MS" w:eastAsia="Trebuchet MS" w:hAnsi="Trebuchet MS"/>
                <w:sz w:val="19"/>
                <w:szCs w:val="19"/>
                <w:color w:val="auto"/>
              </w:rPr>
              <w:t>7</w:t>
            </w:r>
          </w:p>
        </w:tc>
      </w:tr>
      <w:tr>
        <w:trPr>
          <w:trHeight w:val="423"/>
        </w:trPr>
        <w:tc>
          <w:tcPr>
            <w:tcW w:w="8320" w:type="dxa"/>
            <w:vAlign w:val="bottom"/>
          </w:tcPr>
          <w:p>
            <w:pPr>
              <w:ind w:left="180"/>
              <w:spacing w:after="0"/>
              <w:rPr>
                <w:sz w:val="20"/>
                <w:szCs w:val="20"/>
                <w:color w:val="auto"/>
              </w:rPr>
            </w:pPr>
            <w:r>
              <w:rPr>
                <w:rFonts w:ascii="Trebuchet MS" w:cs="Trebuchet MS" w:eastAsia="Trebuchet MS" w:hAnsi="Trebuchet MS"/>
                <w:sz w:val="19"/>
                <w:szCs w:val="19"/>
                <w:color w:val="auto"/>
              </w:rPr>
              <w:t>Consolidated Statement of Cash Flows</w:t>
            </w:r>
          </w:p>
        </w:tc>
        <w:tc>
          <w:tcPr>
            <w:tcW w:w="2920" w:type="dxa"/>
            <w:vAlign w:val="bottom"/>
          </w:tcPr>
          <w:p>
            <w:pPr>
              <w:spacing w:after="0"/>
              <w:rPr>
                <w:sz w:val="24"/>
                <w:szCs w:val="24"/>
                <w:color w:val="auto"/>
              </w:rPr>
            </w:pPr>
          </w:p>
        </w:tc>
      </w:tr>
      <w:tr>
        <w:trPr>
          <w:trHeight w:val="225"/>
        </w:trPr>
        <w:tc>
          <w:tcPr>
            <w:tcW w:w="8320" w:type="dxa"/>
            <w:vAlign w:val="bottom"/>
          </w:tcPr>
          <w:p>
            <w:pPr>
              <w:ind w:left="360"/>
              <w:spacing w:after="0"/>
              <w:rPr>
                <w:sz w:val="20"/>
                <w:szCs w:val="20"/>
                <w:color w:val="auto"/>
              </w:rPr>
            </w:pPr>
            <w:r>
              <w:rPr>
                <w:rFonts w:ascii="Trebuchet MS" w:cs="Trebuchet MS" w:eastAsia="Trebuchet MS" w:hAnsi="Trebuchet MS"/>
                <w:sz w:val="19"/>
                <w:szCs w:val="19"/>
                <w:color w:val="auto"/>
              </w:rPr>
              <w:t>for the Year Ended September 30, 2018 (Unaudited)</w:t>
            </w:r>
          </w:p>
        </w:tc>
        <w:tc>
          <w:tcPr>
            <w:tcW w:w="2920" w:type="dxa"/>
            <w:vAlign w:val="bottom"/>
          </w:tcPr>
          <w:p>
            <w:pPr>
              <w:jc w:val="right"/>
              <w:spacing w:after="0"/>
              <w:rPr>
                <w:sz w:val="20"/>
                <w:szCs w:val="20"/>
                <w:color w:val="auto"/>
              </w:rPr>
            </w:pPr>
            <w:r>
              <w:rPr>
                <w:rFonts w:ascii="Trebuchet MS" w:cs="Trebuchet MS" w:eastAsia="Trebuchet MS" w:hAnsi="Trebuchet MS"/>
                <w:sz w:val="19"/>
                <w:szCs w:val="19"/>
                <w:color w:val="auto"/>
              </w:rPr>
              <w:t>8</w:t>
            </w:r>
          </w:p>
        </w:tc>
      </w:tr>
      <w:tr>
        <w:trPr>
          <w:trHeight w:val="432"/>
        </w:trPr>
        <w:tc>
          <w:tcPr>
            <w:tcW w:w="8320" w:type="dxa"/>
            <w:vAlign w:val="bottom"/>
          </w:tcPr>
          <w:p>
            <w:pPr>
              <w:ind w:left="180"/>
              <w:spacing w:after="0"/>
              <w:rPr>
                <w:sz w:val="20"/>
                <w:szCs w:val="20"/>
                <w:color w:val="auto"/>
              </w:rPr>
            </w:pPr>
            <w:r>
              <w:rPr>
                <w:rFonts w:ascii="Trebuchet MS" w:cs="Trebuchet MS" w:eastAsia="Trebuchet MS" w:hAnsi="Trebuchet MS"/>
                <w:sz w:val="19"/>
                <w:szCs w:val="19"/>
                <w:color w:val="auto"/>
              </w:rPr>
              <w:t>Notes to Consolidated Financial Statements (Unaudited)</w:t>
            </w:r>
          </w:p>
        </w:tc>
        <w:tc>
          <w:tcPr>
            <w:tcW w:w="2920" w:type="dxa"/>
            <w:vAlign w:val="bottom"/>
          </w:tcPr>
          <w:p>
            <w:pPr>
              <w:jc w:val="right"/>
              <w:spacing w:after="0"/>
              <w:rPr>
                <w:sz w:val="20"/>
                <w:szCs w:val="20"/>
                <w:color w:val="auto"/>
              </w:rPr>
            </w:pPr>
            <w:r>
              <w:rPr>
                <w:rFonts w:ascii="Trebuchet MS" w:cs="Trebuchet MS" w:eastAsia="Trebuchet MS" w:hAnsi="Trebuchet MS"/>
                <w:sz w:val="19"/>
                <w:szCs w:val="19"/>
                <w:color w:val="auto"/>
              </w:rPr>
              <w:t>9-18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2" w:name="page153"/>
    <w:bookmarkEnd w:id="152"/>
    <w:p>
      <w:pPr>
        <w:jc w:val="center"/>
        <w:ind w:right="19"/>
        <w:spacing w:after="0"/>
        <w:rPr>
          <w:sz w:val="20"/>
          <w:szCs w:val="20"/>
          <w:color w:val="auto"/>
        </w:rPr>
      </w:pPr>
      <w:r>
        <w:rPr>
          <w:rFonts w:ascii="Trebuchet MS" w:cs="Trebuchet MS" w:eastAsia="Trebuchet MS" w:hAnsi="Trebuchet MS"/>
          <w:sz w:val="28"/>
          <w:szCs w:val="28"/>
          <w:b w:val="1"/>
          <w:bCs w:val="1"/>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22860</wp:posOffset>
            </wp:positionV>
            <wp:extent cx="7132320" cy="342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982980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359"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313"/>
        </w:trPr>
        <w:tc>
          <w:tcPr>
            <w:tcW w:w="8660" w:type="dxa"/>
            <w:vAlign w:val="bottom"/>
          </w:tcPr>
          <w:p>
            <w:pPr>
              <w:jc w:val="center"/>
              <w:ind w:left="2507"/>
              <w:spacing w:after="0"/>
              <w:rPr>
                <w:sz w:val="20"/>
                <w:szCs w:val="20"/>
                <w:color w:val="auto"/>
              </w:rPr>
            </w:pPr>
            <w:r>
              <w:rPr>
                <w:rFonts w:ascii="Trebuchet MS" w:cs="Trebuchet MS" w:eastAsia="Trebuchet MS" w:hAnsi="Trebuchet MS"/>
                <w:sz w:val="25"/>
                <w:szCs w:val="25"/>
                <w:b w:val="1"/>
                <w:bCs w:val="1"/>
                <w:color w:val="auto"/>
                <w:w w:val="99"/>
              </w:rPr>
              <w:t>RAM Energy Holdings LLC and Subsidiaries</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85"/>
        </w:trPr>
        <w:tc>
          <w:tcPr>
            <w:tcW w:w="8660" w:type="dxa"/>
            <w:vAlign w:val="bottom"/>
          </w:tcPr>
          <w:p>
            <w:pPr>
              <w:jc w:val="center"/>
              <w:ind w:left="2507"/>
              <w:spacing w:after="0"/>
              <w:rPr>
                <w:sz w:val="20"/>
                <w:szCs w:val="20"/>
                <w:color w:val="auto"/>
              </w:rPr>
            </w:pPr>
            <w:r>
              <w:rPr>
                <w:rFonts w:ascii="Trebuchet MS" w:cs="Trebuchet MS" w:eastAsia="Trebuchet MS" w:hAnsi="Trebuchet MS"/>
                <w:sz w:val="22"/>
                <w:szCs w:val="22"/>
                <w:b w:val="1"/>
                <w:bCs w:val="1"/>
                <w:color w:val="auto"/>
                <w:w w:val="97"/>
              </w:rPr>
              <w:t>Consolidated Balance Sheet</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9"/>
        </w:trPr>
        <w:tc>
          <w:tcPr>
            <w:tcW w:w="8660" w:type="dxa"/>
            <w:vAlign w:val="bottom"/>
            <w:tcBorders>
              <w:bottom w:val="single" w:sz="8" w:color="auto"/>
            </w:tcBorders>
          </w:tcPr>
          <w:p>
            <w:pPr>
              <w:jc w:val="center"/>
              <w:ind w:left="2487"/>
              <w:spacing w:after="0"/>
              <w:rPr>
                <w:sz w:val="20"/>
                <w:szCs w:val="20"/>
                <w:color w:val="auto"/>
              </w:rPr>
            </w:pPr>
            <w:r>
              <w:rPr>
                <w:rFonts w:ascii="Trebuchet MS" w:cs="Trebuchet MS" w:eastAsia="Trebuchet MS" w:hAnsi="Trebuchet MS"/>
                <w:sz w:val="22"/>
                <w:szCs w:val="22"/>
                <w:b w:val="1"/>
                <w:bCs w:val="1"/>
                <w:color w:val="auto"/>
                <w:w w:val="98"/>
              </w:rPr>
              <w:t>(Unaudited)</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601"/>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i w:val="1"/>
                <w:iCs w:val="1"/>
                <w:color w:val="auto"/>
              </w:rPr>
              <w:t>September 30,</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70"/>
              <w:spacing w:after="0"/>
              <w:rPr>
                <w:sz w:val="20"/>
                <w:szCs w:val="20"/>
                <w:color w:val="auto"/>
              </w:rPr>
            </w:pPr>
            <w:r>
              <w:rPr>
                <w:rFonts w:ascii="Trebuchet MS" w:cs="Trebuchet MS" w:eastAsia="Trebuchet MS" w:hAnsi="Trebuchet MS"/>
                <w:sz w:val="18"/>
                <w:szCs w:val="18"/>
                <w:b w:val="1"/>
                <w:bCs w:val="1"/>
                <w:color w:val="auto"/>
              </w:rPr>
              <w:t>2018</w:t>
            </w:r>
          </w:p>
        </w:tc>
      </w:tr>
      <w:tr>
        <w:trPr>
          <w:trHeight w:val="467"/>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Assets</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59"/>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Current Assets</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7"/>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Cash and cash equivalents</w:t>
            </w:r>
          </w:p>
        </w:tc>
        <w:tc>
          <w:tcPr>
            <w:tcW w:w="980" w:type="dxa"/>
            <w:vAlign w:val="bottom"/>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2,768,014</w:t>
            </w:r>
          </w:p>
        </w:tc>
      </w:tr>
      <w:tr>
        <w:trPr>
          <w:trHeight w:val="230"/>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Accounts receivable, net</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5,738,249</w:t>
            </w:r>
          </w:p>
        </w:tc>
      </w:tr>
      <w:tr>
        <w:trPr>
          <w:trHeight w:val="231"/>
        </w:trPr>
        <w:tc>
          <w:tcPr>
            <w:tcW w:w="866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Prepaid expenses</w:t>
            </w: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238,879</w:t>
            </w:r>
          </w:p>
        </w:tc>
      </w:tr>
      <w:tr>
        <w:trPr>
          <w:trHeight w:val="467"/>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Total Current Assets</w:t>
            </w:r>
          </w:p>
        </w:tc>
        <w:tc>
          <w:tcPr>
            <w:tcW w:w="98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8,745,142</w:t>
            </w:r>
          </w:p>
        </w:tc>
      </w:tr>
      <w:tr>
        <w:trPr>
          <w:trHeight w:val="459"/>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Property and Equipment, at Cost</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7"/>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Proved oil and natural gas properties and equipment,</w:t>
            </w:r>
          </w:p>
        </w:tc>
        <w:tc>
          <w:tcPr>
            <w:tcW w:w="9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6"/>
        </w:trPr>
        <w:tc>
          <w:tcPr>
            <w:tcW w:w="8660" w:type="dxa"/>
            <w:vAlign w:val="bottom"/>
          </w:tcPr>
          <w:p>
            <w:pPr>
              <w:ind w:left="420"/>
              <w:spacing w:after="0"/>
              <w:rPr>
                <w:sz w:val="20"/>
                <w:szCs w:val="20"/>
                <w:color w:val="auto"/>
              </w:rPr>
            </w:pPr>
            <w:r>
              <w:rPr>
                <w:rFonts w:ascii="Trebuchet MS" w:cs="Trebuchet MS" w:eastAsia="Trebuchet MS" w:hAnsi="Trebuchet MS"/>
                <w:sz w:val="18"/>
                <w:szCs w:val="18"/>
                <w:color w:val="auto"/>
              </w:rPr>
              <w:t>using full cost accounting</w:t>
            </w:r>
          </w:p>
        </w:tc>
        <w:tc>
          <w:tcPr>
            <w:tcW w:w="980" w:type="dxa"/>
            <w:vAlign w:val="bottom"/>
          </w:tcPr>
          <w:p>
            <w:pPr>
              <w:spacing w:after="0"/>
              <w:rPr>
                <w:sz w:val="18"/>
                <w:szCs w:val="18"/>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49,286,227</w:t>
            </w: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Unproved oil and natural gas properties</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6,245,449</w:t>
            </w: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Gas gathering and processing equipment</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2,285,109</w:t>
            </w:r>
          </w:p>
        </w:tc>
      </w:tr>
      <w:tr>
        <w:trPr>
          <w:trHeight w:val="231"/>
        </w:trPr>
        <w:tc>
          <w:tcPr>
            <w:tcW w:w="866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Other property and equipment</w:t>
            </w: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575,606</w:t>
            </w:r>
          </w:p>
        </w:tc>
      </w:tr>
      <w:tr>
        <w:trPr>
          <w:trHeight w:val="235"/>
        </w:trPr>
        <w:tc>
          <w:tcPr>
            <w:tcW w:w="8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58,392,391</w:t>
            </w:r>
          </w:p>
        </w:tc>
      </w:tr>
      <w:tr>
        <w:trPr>
          <w:trHeight w:val="230"/>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Less: accumulated depreciation, depletion,</w:t>
            </w:r>
          </w:p>
        </w:tc>
        <w:tc>
          <w:tcPr>
            <w:tcW w:w="9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8"/>
        </w:trPr>
        <w:tc>
          <w:tcPr>
            <w:tcW w:w="8660" w:type="dxa"/>
            <w:vAlign w:val="bottom"/>
            <w:tcBorders>
              <w:bottom w:val="single" w:sz="8" w:color="auto"/>
            </w:tcBorders>
          </w:tcPr>
          <w:p>
            <w:pPr>
              <w:ind w:left="420"/>
              <w:spacing w:after="0"/>
              <w:rPr>
                <w:sz w:val="20"/>
                <w:szCs w:val="20"/>
                <w:color w:val="auto"/>
              </w:rPr>
            </w:pPr>
            <w:r>
              <w:rPr>
                <w:rFonts w:ascii="Trebuchet MS" w:cs="Trebuchet MS" w:eastAsia="Trebuchet MS" w:hAnsi="Trebuchet MS"/>
                <w:sz w:val="18"/>
                <w:szCs w:val="18"/>
                <w:color w:val="auto"/>
              </w:rPr>
              <w:t>amortization and impairment</w:t>
            </w:r>
          </w:p>
        </w:tc>
        <w:tc>
          <w:tcPr>
            <w:tcW w:w="9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(33,910,815)</w:t>
            </w:r>
          </w:p>
        </w:tc>
      </w:tr>
      <w:tr>
        <w:trPr>
          <w:trHeight w:val="466"/>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Net Property and Equipment</w:t>
            </w:r>
          </w:p>
        </w:tc>
        <w:tc>
          <w:tcPr>
            <w:tcW w:w="98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24,481,576</w:t>
            </w:r>
          </w:p>
        </w:tc>
      </w:tr>
      <w:tr>
        <w:trPr>
          <w:trHeight w:val="459"/>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Other Assets</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8"/>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Restricted cash</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546,950</w:t>
            </w:r>
          </w:p>
        </w:tc>
      </w:tr>
      <w:tr>
        <w:trPr>
          <w:trHeight w:val="231"/>
        </w:trPr>
        <w:tc>
          <w:tcPr>
            <w:tcW w:w="866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Other</w:t>
            </w: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23,834</w:t>
            </w:r>
          </w:p>
        </w:tc>
      </w:tr>
      <w:tr>
        <w:trPr>
          <w:trHeight w:val="466"/>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Total Other Assets</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570,784</w:t>
            </w:r>
          </w:p>
        </w:tc>
      </w:tr>
      <w:tr>
        <w:trPr>
          <w:trHeight w:val="479"/>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Total Assets</w:t>
            </w:r>
          </w:p>
        </w:tc>
        <w:tc>
          <w:tcPr>
            <w:tcW w:w="980" w:type="dxa"/>
            <w:vAlign w:val="bottom"/>
            <w:tcBorders>
              <w:bottom w:val="single" w:sz="8" w:color="auto"/>
            </w:tcBorders>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33,797,502</w:t>
            </w:r>
          </w:p>
        </w:tc>
      </w:tr>
    </w:tbl>
    <w:p>
      <w:pPr>
        <w:spacing w:after="0" w:line="21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313"/>
        </w:trPr>
        <w:tc>
          <w:tcPr>
            <w:tcW w:w="8660" w:type="dxa"/>
            <w:vAlign w:val="bottom"/>
          </w:tcPr>
          <w:p>
            <w:pPr>
              <w:jc w:val="center"/>
              <w:ind w:left="2506"/>
              <w:spacing w:after="0"/>
              <w:rPr>
                <w:sz w:val="20"/>
                <w:szCs w:val="20"/>
                <w:color w:val="auto"/>
              </w:rPr>
            </w:pPr>
            <w:r>
              <w:rPr>
                <w:rFonts w:ascii="Trebuchet MS" w:cs="Trebuchet MS" w:eastAsia="Trebuchet MS" w:hAnsi="Trebuchet MS"/>
                <w:sz w:val="25"/>
                <w:szCs w:val="25"/>
                <w:b w:val="1"/>
                <w:bCs w:val="1"/>
                <w:color w:val="auto"/>
                <w:w w:val="99"/>
              </w:rPr>
              <w:t>RAM Energy Holdings LLC and Subsidiaries</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85"/>
        </w:trPr>
        <w:tc>
          <w:tcPr>
            <w:tcW w:w="8660" w:type="dxa"/>
            <w:vAlign w:val="bottom"/>
          </w:tcPr>
          <w:p>
            <w:pPr>
              <w:jc w:val="center"/>
              <w:ind w:left="2506"/>
              <w:spacing w:after="0"/>
              <w:rPr>
                <w:sz w:val="20"/>
                <w:szCs w:val="20"/>
                <w:color w:val="auto"/>
              </w:rPr>
            </w:pPr>
            <w:r>
              <w:rPr>
                <w:rFonts w:ascii="Trebuchet MS" w:cs="Trebuchet MS" w:eastAsia="Trebuchet MS" w:hAnsi="Trebuchet MS"/>
                <w:sz w:val="22"/>
                <w:szCs w:val="22"/>
                <w:b w:val="1"/>
                <w:bCs w:val="1"/>
                <w:color w:val="auto"/>
                <w:w w:val="97"/>
              </w:rPr>
              <w:t>Consolidated Balance Sheet</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9"/>
        </w:trPr>
        <w:tc>
          <w:tcPr>
            <w:tcW w:w="8660" w:type="dxa"/>
            <w:vAlign w:val="bottom"/>
            <w:tcBorders>
              <w:bottom w:val="single" w:sz="8" w:color="auto"/>
            </w:tcBorders>
          </w:tcPr>
          <w:p>
            <w:pPr>
              <w:jc w:val="center"/>
              <w:ind w:left="2486"/>
              <w:spacing w:after="0"/>
              <w:rPr>
                <w:sz w:val="20"/>
                <w:szCs w:val="20"/>
                <w:color w:val="auto"/>
              </w:rPr>
            </w:pPr>
            <w:r>
              <w:rPr>
                <w:rFonts w:ascii="Trebuchet MS" w:cs="Trebuchet MS" w:eastAsia="Trebuchet MS" w:hAnsi="Trebuchet MS"/>
                <w:sz w:val="22"/>
                <w:szCs w:val="22"/>
                <w:b w:val="1"/>
                <w:bCs w:val="1"/>
                <w:color w:val="auto"/>
                <w:w w:val="98"/>
              </w:rPr>
              <w:t>(Unaudited)</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601"/>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i w:val="1"/>
                <w:iCs w:val="1"/>
                <w:color w:val="auto"/>
              </w:rPr>
              <w:t>September 30,</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70"/>
              <w:spacing w:after="0"/>
              <w:rPr>
                <w:sz w:val="20"/>
                <w:szCs w:val="20"/>
                <w:color w:val="auto"/>
              </w:rPr>
            </w:pPr>
            <w:r>
              <w:rPr>
                <w:rFonts w:ascii="Trebuchet MS" w:cs="Trebuchet MS" w:eastAsia="Trebuchet MS" w:hAnsi="Trebuchet MS"/>
                <w:sz w:val="18"/>
                <w:szCs w:val="18"/>
                <w:b w:val="1"/>
                <w:bCs w:val="1"/>
                <w:color w:val="auto"/>
              </w:rPr>
              <w:t>2018</w:t>
            </w:r>
          </w:p>
        </w:tc>
      </w:tr>
      <w:tr>
        <w:trPr>
          <w:trHeight w:val="467"/>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Liabilities and Member's Deficit</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59"/>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Current Liabilities</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7"/>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Trade accounts payable</w:t>
            </w:r>
          </w:p>
        </w:tc>
        <w:tc>
          <w:tcPr>
            <w:tcW w:w="980" w:type="dxa"/>
            <w:vAlign w:val="bottom"/>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9,726,498</w:t>
            </w:r>
          </w:p>
        </w:tc>
      </w:tr>
      <w:tr>
        <w:trPr>
          <w:trHeight w:val="230"/>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Revenue payable</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327,300</w:t>
            </w: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Accrued liabilities</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813,458</w:t>
            </w: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Drilling advances</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3,441,260</w:t>
            </w:r>
          </w:p>
        </w:tc>
      </w:tr>
      <w:tr>
        <w:trPr>
          <w:trHeight w:val="231"/>
        </w:trPr>
        <w:tc>
          <w:tcPr>
            <w:tcW w:w="866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Current portion of asset retirement obligations</w:t>
            </w: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427,062</w:t>
            </w:r>
          </w:p>
        </w:tc>
      </w:tr>
      <w:tr>
        <w:trPr>
          <w:trHeight w:val="467"/>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Total Current Liabilities</w:t>
            </w:r>
          </w:p>
        </w:tc>
        <w:tc>
          <w:tcPr>
            <w:tcW w:w="98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14,735,578</w:t>
            </w:r>
          </w:p>
        </w:tc>
      </w:tr>
      <w:tr>
        <w:trPr>
          <w:trHeight w:val="459"/>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Asset Retirement Obligations, net of current portion</w:t>
            </w:r>
          </w:p>
        </w:tc>
        <w:tc>
          <w:tcPr>
            <w:tcW w:w="98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4,897,905</w:t>
            </w:r>
          </w:p>
        </w:tc>
      </w:tr>
      <w:tr>
        <w:trPr>
          <w:trHeight w:val="458"/>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Long-Term Debt - Affiliate</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45,000,000</w:t>
            </w:r>
          </w:p>
        </w:tc>
      </w:tr>
      <w:tr>
        <w:trPr>
          <w:trHeight w:val="466"/>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Total Liabilities</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64,633,483</w:t>
            </w:r>
          </w:p>
        </w:tc>
      </w:tr>
      <w:tr>
        <w:trPr>
          <w:trHeight w:val="467"/>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Commitments and Contingencies (Note 9)</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58"/>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Member's Deficit</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(30,835,981)</w:t>
            </w:r>
          </w:p>
        </w:tc>
      </w:tr>
      <w:tr>
        <w:trPr>
          <w:trHeight w:val="480"/>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Total Liabilities and Member's Deficit</w:t>
            </w:r>
          </w:p>
        </w:tc>
        <w:tc>
          <w:tcPr>
            <w:tcW w:w="980" w:type="dxa"/>
            <w:vAlign w:val="bottom"/>
            <w:tcBorders>
              <w:bottom w:val="single" w:sz="8" w:color="auto"/>
            </w:tcBorders>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33,797,502</w:t>
            </w:r>
          </w:p>
        </w:tc>
      </w:tr>
    </w:tbl>
    <w:p>
      <w:pPr>
        <w:spacing w:after="0" w:line="21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313"/>
        </w:trPr>
        <w:tc>
          <w:tcPr>
            <w:tcW w:w="8660" w:type="dxa"/>
            <w:vAlign w:val="bottom"/>
          </w:tcPr>
          <w:p>
            <w:pPr>
              <w:jc w:val="center"/>
              <w:ind w:left="2507"/>
              <w:spacing w:after="0"/>
              <w:rPr>
                <w:sz w:val="20"/>
                <w:szCs w:val="20"/>
                <w:color w:val="auto"/>
              </w:rPr>
            </w:pPr>
            <w:r>
              <w:rPr>
                <w:rFonts w:ascii="Trebuchet MS" w:cs="Trebuchet MS" w:eastAsia="Trebuchet MS" w:hAnsi="Trebuchet MS"/>
                <w:sz w:val="25"/>
                <w:szCs w:val="25"/>
                <w:b w:val="1"/>
                <w:bCs w:val="1"/>
                <w:color w:val="auto"/>
                <w:w w:val="99"/>
              </w:rPr>
              <w:t>RAM Energy Holdings LLC and Subsidiaries</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85"/>
        </w:trPr>
        <w:tc>
          <w:tcPr>
            <w:tcW w:w="8660" w:type="dxa"/>
            <w:vAlign w:val="bottom"/>
          </w:tcPr>
          <w:p>
            <w:pPr>
              <w:jc w:val="center"/>
              <w:ind w:left="2487"/>
              <w:spacing w:after="0"/>
              <w:rPr>
                <w:sz w:val="20"/>
                <w:szCs w:val="20"/>
                <w:color w:val="auto"/>
              </w:rPr>
            </w:pPr>
            <w:r>
              <w:rPr>
                <w:rFonts w:ascii="Trebuchet MS" w:cs="Trebuchet MS" w:eastAsia="Trebuchet MS" w:hAnsi="Trebuchet MS"/>
                <w:sz w:val="22"/>
                <w:szCs w:val="22"/>
                <w:b w:val="1"/>
                <w:bCs w:val="1"/>
                <w:color w:val="auto"/>
                <w:w w:val="98"/>
              </w:rPr>
              <w:t>Consolidated Statement of Operations</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99"/>
        </w:trPr>
        <w:tc>
          <w:tcPr>
            <w:tcW w:w="8660" w:type="dxa"/>
            <w:vAlign w:val="bottom"/>
            <w:tcBorders>
              <w:bottom w:val="single" w:sz="8" w:color="auto"/>
            </w:tcBorders>
          </w:tcPr>
          <w:p>
            <w:pPr>
              <w:jc w:val="center"/>
              <w:ind w:left="2487"/>
              <w:spacing w:after="0"/>
              <w:rPr>
                <w:sz w:val="20"/>
                <w:szCs w:val="20"/>
                <w:color w:val="auto"/>
              </w:rPr>
            </w:pPr>
            <w:r>
              <w:rPr>
                <w:rFonts w:ascii="Trebuchet MS" w:cs="Trebuchet MS" w:eastAsia="Trebuchet MS" w:hAnsi="Trebuchet MS"/>
                <w:sz w:val="22"/>
                <w:szCs w:val="22"/>
                <w:b w:val="1"/>
                <w:bCs w:val="1"/>
                <w:color w:val="auto"/>
                <w:w w:val="98"/>
              </w:rPr>
              <w:t>(Unaudited)</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601"/>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i w:val="1"/>
                <w:iCs w:val="1"/>
                <w:color w:val="auto"/>
              </w:rPr>
              <w:t>Year Ended September 30,</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770"/>
              <w:spacing w:after="0"/>
              <w:rPr>
                <w:sz w:val="20"/>
                <w:szCs w:val="20"/>
                <w:color w:val="auto"/>
              </w:rPr>
            </w:pPr>
            <w:r>
              <w:rPr>
                <w:rFonts w:ascii="Trebuchet MS" w:cs="Trebuchet MS" w:eastAsia="Trebuchet MS" w:hAnsi="Trebuchet MS"/>
                <w:sz w:val="18"/>
                <w:szCs w:val="18"/>
                <w:b w:val="1"/>
                <w:bCs w:val="1"/>
                <w:color w:val="auto"/>
              </w:rPr>
              <w:t>2018</w:t>
            </w:r>
          </w:p>
        </w:tc>
      </w:tr>
      <w:tr>
        <w:trPr>
          <w:trHeight w:val="467"/>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Operating Revenues</w:t>
            </w:r>
          </w:p>
        </w:tc>
        <w:tc>
          <w:tcPr>
            <w:tcW w:w="980" w:type="dxa"/>
            <w:vAlign w:val="bottom"/>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5,011,118</w:t>
            </w:r>
          </w:p>
        </w:tc>
      </w:tr>
      <w:tr>
        <w:trPr>
          <w:trHeight w:val="228"/>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Crude oil sales</w:t>
            </w:r>
          </w:p>
        </w:tc>
        <w:tc>
          <w:tcPr>
            <w:tcW w:w="9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Natural gas sales</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1,628,127</w:t>
            </w: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Natural gas liquids sales</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942,436</w:t>
            </w:r>
          </w:p>
        </w:tc>
      </w:tr>
      <w:tr>
        <w:trPr>
          <w:trHeight w:val="231"/>
        </w:trPr>
        <w:tc>
          <w:tcPr>
            <w:tcW w:w="866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Water supply services</w:t>
            </w: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97,357</w:t>
            </w:r>
          </w:p>
        </w:tc>
      </w:tr>
      <w:tr>
        <w:trPr>
          <w:trHeight w:val="467"/>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Total Revenues</w:t>
            </w:r>
          </w:p>
        </w:tc>
        <w:tc>
          <w:tcPr>
            <w:tcW w:w="98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7,679,038</w:t>
            </w:r>
          </w:p>
        </w:tc>
      </w:tr>
      <w:tr>
        <w:trPr>
          <w:trHeight w:val="459"/>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Operating Expenses</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7"/>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Oil and natural gas operating expenses</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6,484,208</w:t>
            </w: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Oil and natural gas production taxes</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386,247</w:t>
            </w:r>
          </w:p>
        </w:tc>
      </w:tr>
      <w:tr>
        <w:trPr>
          <w:trHeight w:val="230"/>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Water usage</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128,613</w:t>
            </w: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Depreciation, depletion and amortization</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1,410,161</w:t>
            </w:r>
          </w:p>
        </w:tc>
      </w:tr>
      <w:tr>
        <w:trPr>
          <w:trHeight w:val="230"/>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Accretion of asset retirement obligations</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688,081</w:t>
            </w: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Bad debt expense</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7,062</w:t>
            </w:r>
          </w:p>
        </w:tc>
      </w:tr>
      <w:tr>
        <w:trPr>
          <w:trHeight w:val="229"/>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General and administrative, overhead and other</w:t>
            </w:r>
          </w:p>
        </w:tc>
        <w:tc>
          <w:tcPr>
            <w:tcW w:w="9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1"/>
        </w:trPr>
        <w:tc>
          <w:tcPr>
            <w:tcW w:w="8660" w:type="dxa"/>
            <w:vAlign w:val="bottom"/>
            <w:tcBorders>
              <w:bottom w:val="single" w:sz="8" w:color="auto"/>
            </w:tcBorders>
          </w:tcPr>
          <w:p>
            <w:pPr>
              <w:ind w:left="420"/>
              <w:spacing w:after="0"/>
              <w:rPr>
                <w:sz w:val="20"/>
                <w:szCs w:val="20"/>
                <w:color w:val="auto"/>
              </w:rPr>
            </w:pPr>
            <w:r>
              <w:rPr>
                <w:rFonts w:ascii="Trebuchet MS" w:cs="Trebuchet MS" w:eastAsia="Trebuchet MS" w:hAnsi="Trebuchet MS"/>
                <w:sz w:val="18"/>
                <w:szCs w:val="18"/>
                <w:color w:val="auto"/>
              </w:rPr>
              <w:t>expenses, net of operator's overhead fees</w:t>
            </w: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3,929,867</w:t>
            </w:r>
          </w:p>
        </w:tc>
      </w:tr>
      <w:tr>
        <w:trPr>
          <w:trHeight w:val="466"/>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Total Operating Expenses</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13,034,239</w:t>
            </w:r>
          </w:p>
        </w:tc>
      </w:tr>
      <w:tr>
        <w:trPr>
          <w:trHeight w:val="466"/>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Loss from Operations</w:t>
            </w:r>
          </w:p>
        </w:tc>
        <w:tc>
          <w:tcPr>
            <w:tcW w:w="9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rebuchet MS" w:cs="Trebuchet MS" w:eastAsia="Trebuchet MS" w:hAnsi="Trebuchet MS"/>
                <w:sz w:val="18"/>
                <w:szCs w:val="18"/>
                <w:color w:val="auto"/>
              </w:rPr>
              <w:t>(5,355,201)</w:t>
            </w:r>
          </w:p>
        </w:tc>
      </w:tr>
      <w:tr>
        <w:trPr>
          <w:trHeight w:val="459"/>
        </w:trPr>
        <w:tc>
          <w:tcPr>
            <w:tcW w:w="8660" w:type="dxa"/>
            <w:vAlign w:val="bottom"/>
          </w:tcPr>
          <w:p>
            <w:pPr>
              <w:spacing w:after="0"/>
              <w:rPr>
                <w:sz w:val="20"/>
                <w:szCs w:val="20"/>
                <w:color w:val="auto"/>
              </w:rPr>
            </w:pPr>
            <w:r>
              <w:rPr>
                <w:rFonts w:ascii="Trebuchet MS" w:cs="Trebuchet MS" w:eastAsia="Trebuchet MS" w:hAnsi="Trebuchet MS"/>
                <w:sz w:val="18"/>
                <w:szCs w:val="18"/>
                <w:b w:val="1"/>
                <w:bCs w:val="1"/>
                <w:color w:val="auto"/>
              </w:rPr>
              <w:t>Other Income (Expense)</w:t>
            </w:r>
          </w:p>
        </w:tc>
        <w:tc>
          <w:tcPr>
            <w:tcW w:w="9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7"/>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Interest expense</w:t>
            </w:r>
          </w:p>
        </w:tc>
        <w:tc>
          <w:tcPr>
            <w:tcW w:w="9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rebuchet MS" w:cs="Trebuchet MS" w:eastAsia="Trebuchet MS" w:hAnsi="Trebuchet MS"/>
                <w:sz w:val="18"/>
                <w:szCs w:val="18"/>
                <w:color w:val="auto"/>
              </w:rPr>
              <w:t>(3,043,300)</w:t>
            </w:r>
          </w:p>
        </w:tc>
      </w:tr>
      <w:tr>
        <w:trPr>
          <w:trHeight w:val="230"/>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Interest income</w:t>
            </w:r>
          </w:p>
        </w:tc>
        <w:tc>
          <w:tcPr>
            <w:tcW w:w="98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36,278</w:t>
            </w:r>
          </w:p>
        </w:tc>
      </w:tr>
      <w:tr>
        <w:trPr>
          <w:trHeight w:val="230"/>
        </w:trPr>
        <w:tc>
          <w:tcPr>
            <w:tcW w:w="8660" w:type="dxa"/>
            <w:vAlign w:val="bottom"/>
          </w:tcPr>
          <w:p>
            <w:pPr>
              <w:ind w:left="260"/>
              <w:spacing w:after="0"/>
              <w:rPr>
                <w:sz w:val="20"/>
                <w:szCs w:val="20"/>
                <w:color w:val="auto"/>
              </w:rPr>
            </w:pPr>
            <w:r>
              <w:rPr>
                <w:rFonts w:ascii="Trebuchet MS" w:cs="Trebuchet MS" w:eastAsia="Trebuchet MS" w:hAnsi="Trebuchet MS"/>
                <w:sz w:val="18"/>
                <w:szCs w:val="18"/>
                <w:color w:val="auto"/>
              </w:rPr>
              <w:t>Losses on derivatives</w:t>
            </w:r>
          </w:p>
        </w:tc>
        <w:tc>
          <w:tcPr>
            <w:tcW w:w="9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rebuchet MS" w:cs="Trebuchet MS" w:eastAsia="Trebuchet MS" w:hAnsi="Trebuchet MS"/>
                <w:sz w:val="18"/>
                <w:szCs w:val="18"/>
                <w:color w:val="auto"/>
              </w:rPr>
              <w:t>(3,834)</w:t>
            </w:r>
          </w:p>
        </w:tc>
      </w:tr>
      <w:tr>
        <w:trPr>
          <w:trHeight w:val="231"/>
        </w:trPr>
        <w:tc>
          <w:tcPr>
            <w:tcW w:w="866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Other income, net</w:t>
            </w:r>
          </w:p>
        </w:tc>
        <w:tc>
          <w:tcPr>
            <w:tcW w:w="9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53,288</w:t>
            </w:r>
          </w:p>
        </w:tc>
      </w:tr>
      <w:tr>
        <w:trPr>
          <w:trHeight w:val="466"/>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Total Other Expense</w:t>
            </w:r>
          </w:p>
        </w:tc>
        <w:tc>
          <w:tcPr>
            <w:tcW w:w="9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(2,957,568)</w:t>
            </w:r>
          </w:p>
        </w:tc>
      </w:tr>
      <w:tr>
        <w:trPr>
          <w:trHeight w:val="480"/>
        </w:trPr>
        <w:tc>
          <w:tcPr>
            <w:tcW w:w="866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Net Loss</w:t>
            </w:r>
          </w:p>
        </w:tc>
        <w:tc>
          <w:tcPr>
            <w:tcW w:w="980" w:type="dxa"/>
            <w:vAlign w:val="bottom"/>
            <w:tcBorders>
              <w:bottom w:val="single" w:sz="8" w:color="auto"/>
            </w:tcBorders>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(8,312,769)</w:t>
            </w:r>
          </w:p>
        </w:tc>
      </w:tr>
    </w:tbl>
    <w:p>
      <w:pPr>
        <w:spacing w:after="0" w:line="21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6" w:name="page157"/>
    <w:bookmarkEnd w:id="156"/>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50"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Consolidated Statement of Member’s Deficit</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jc w:val="right"/>
              <w:ind w:right="410"/>
              <w:spacing w:after="0"/>
              <w:rPr>
                <w:sz w:val="20"/>
                <w:szCs w:val="20"/>
                <w:color w:val="auto"/>
              </w:rPr>
            </w:pPr>
            <w:r>
              <w:rPr>
                <w:rFonts w:ascii="Trebuchet MS" w:cs="Trebuchet MS" w:eastAsia="Trebuchet MS" w:hAnsi="Trebuchet MS"/>
                <w:sz w:val="18"/>
                <w:szCs w:val="18"/>
                <w:b w:val="1"/>
                <w:bCs w:val="1"/>
                <w:color w:val="auto"/>
              </w:rPr>
              <w:t>Member's</w:t>
            </w:r>
          </w:p>
        </w:tc>
      </w:tr>
      <w:tr>
        <w:trPr>
          <w:trHeight w:val="236"/>
        </w:trPr>
        <w:tc>
          <w:tcPr>
            <w:tcW w:w="8700" w:type="dxa"/>
            <w:vAlign w:val="bottom"/>
            <w:tcBorders>
              <w:bottom w:val="single" w:sz="8" w:color="auto"/>
            </w:tcBorders>
          </w:tcPr>
          <w:p>
            <w:pPr>
              <w:ind w:left="8280"/>
              <w:spacing w:after="0"/>
              <w:rPr>
                <w:sz w:val="20"/>
                <w:szCs w:val="20"/>
                <w:color w:val="auto"/>
              </w:rPr>
            </w:pPr>
            <w:r>
              <w:rPr>
                <w:rFonts w:ascii="Trebuchet MS" w:cs="Trebuchet MS" w:eastAsia="Trebuchet MS" w:hAnsi="Trebuchet MS"/>
                <w:sz w:val="18"/>
                <w:szCs w:val="18"/>
                <w:b w:val="1"/>
                <w:bCs w:val="1"/>
                <w:color w:val="auto"/>
                <w:w w:val="92"/>
              </w:rPr>
              <w:t>Units</w:t>
            </w:r>
          </w:p>
        </w:tc>
        <w:tc>
          <w:tcPr>
            <w:tcW w:w="7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Trebuchet MS" w:cs="Trebuchet MS" w:eastAsia="Trebuchet MS" w:hAnsi="Trebuchet MS"/>
                <w:sz w:val="18"/>
                <w:szCs w:val="18"/>
                <w:b w:val="1"/>
                <w:bCs w:val="1"/>
                <w:color w:val="auto"/>
              </w:rPr>
              <w:t>Deficit</w:t>
            </w:r>
          </w:p>
        </w:tc>
      </w:tr>
      <w:tr>
        <w:trPr>
          <w:trHeight w:val="237"/>
        </w:trPr>
        <w:tc>
          <w:tcPr>
            <w:tcW w:w="8700" w:type="dxa"/>
            <w:vAlign w:val="bottom"/>
          </w:tcPr>
          <w:p>
            <w:pPr>
              <w:spacing w:after="0"/>
              <w:rPr>
                <w:sz w:val="20"/>
                <w:szCs w:val="20"/>
                <w:color w:val="auto"/>
              </w:rPr>
            </w:pPr>
            <w:r>
              <w:rPr>
                <w:rFonts w:ascii="Trebuchet MS" w:cs="Trebuchet MS" w:eastAsia="Trebuchet MS" w:hAnsi="Trebuchet MS"/>
                <w:sz w:val="18"/>
                <w:szCs w:val="18"/>
                <w:b w:val="1"/>
                <w:bCs w:val="1"/>
                <w:color w:val="auto"/>
              </w:rPr>
              <w:t>Balance, September 30, 2017</w:t>
            </w:r>
          </w:p>
        </w:tc>
        <w:tc>
          <w:tcPr>
            <w:tcW w:w="720" w:type="dxa"/>
            <w:vAlign w:val="bottom"/>
          </w:tcPr>
          <w:p>
            <w:pPr>
              <w:jc w:val="right"/>
              <w:ind w:right="70"/>
              <w:spacing w:after="0"/>
              <w:rPr>
                <w:sz w:val="20"/>
                <w:szCs w:val="20"/>
                <w:color w:val="auto"/>
              </w:rPr>
            </w:pPr>
            <w:r>
              <w:rPr>
                <w:rFonts w:ascii="Trebuchet MS" w:cs="Trebuchet MS" w:eastAsia="Trebuchet MS" w:hAnsi="Trebuchet MS"/>
                <w:sz w:val="18"/>
                <w:szCs w:val="18"/>
                <w:color w:val="auto"/>
              </w:rPr>
              <w:t>84,747</w:t>
            </w:r>
          </w:p>
        </w:tc>
        <w:tc>
          <w:tcPr>
            <w:tcW w:w="38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w:t>
            </w:r>
          </w:p>
        </w:tc>
        <w:tc>
          <w:tcPr>
            <w:tcW w:w="1440" w:type="dxa"/>
            <w:vAlign w:val="bottom"/>
          </w:tcPr>
          <w:p>
            <w:pPr>
              <w:jc w:val="right"/>
              <w:spacing w:after="0"/>
              <w:rPr>
                <w:sz w:val="20"/>
                <w:szCs w:val="20"/>
                <w:color w:val="auto"/>
              </w:rPr>
            </w:pPr>
            <w:r>
              <w:rPr>
                <w:rFonts w:ascii="Trebuchet MS" w:cs="Trebuchet MS" w:eastAsia="Trebuchet MS" w:hAnsi="Trebuchet MS"/>
                <w:sz w:val="18"/>
                <w:szCs w:val="18"/>
                <w:color w:val="auto"/>
              </w:rPr>
              <w:t>(22,523,212)</w:t>
            </w:r>
          </w:p>
        </w:tc>
      </w:tr>
      <w:tr>
        <w:trPr>
          <w:trHeight w:val="458"/>
        </w:trPr>
        <w:tc>
          <w:tcPr>
            <w:tcW w:w="870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color w:val="auto"/>
              </w:rPr>
              <w:t>Net loss</w:t>
            </w:r>
          </w:p>
        </w:tc>
        <w:tc>
          <w:tcPr>
            <w:tcW w:w="720" w:type="dxa"/>
            <w:vAlign w:val="bottom"/>
            <w:tcBorders>
              <w:bottom w:val="single" w:sz="8" w:color="auto"/>
            </w:tcBorders>
          </w:tcPr>
          <w:p>
            <w:pPr>
              <w:jc w:val="right"/>
              <w:ind w:right="70"/>
              <w:spacing w:after="0"/>
              <w:rPr>
                <w:sz w:val="20"/>
                <w:szCs w:val="20"/>
                <w:color w:val="auto"/>
              </w:rPr>
            </w:pPr>
            <w:r>
              <w:rPr>
                <w:rFonts w:ascii="Trebuchet MS" w:cs="Trebuchet MS" w:eastAsia="Trebuchet MS" w:hAnsi="Trebuchet MS"/>
                <w:sz w:val="18"/>
                <w:szCs w:val="18"/>
                <w:color w:val="auto"/>
              </w:rPr>
              <w:t>–</w:t>
            </w: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(8,312,769)</w:t>
            </w:r>
          </w:p>
        </w:tc>
      </w:tr>
      <w:tr>
        <w:trPr>
          <w:trHeight w:val="479"/>
        </w:trPr>
        <w:tc>
          <w:tcPr>
            <w:tcW w:w="870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Balance, September 30, 2018</w:t>
            </w:r>
          </w:p>
        </w:tc>
        <w:tc>
          <w:tcPr>
            <w:tcW w:w="720" w:type="dxa"/>
            <w:vAlign w:val="bottom"/>
            <w:tcBorders>
              <w:bottom w:val="single" w:sz="8" w:color="auto"/>
            </w:tcBorders>
          </w:tcPr>
          <w:p>
            <w:pPr>
              <w:jc w:val="right"/>
              <w:ind w:right="70"/>
              <w:spacing w:after="0"/>
              <w:rPr>
                <w:sz w:val="20"/>
                <w:szCs w:val="20"/>
                <w:color w:val="auto"/>
              </w:rPr>
            </w:pPr>
            <w:r>
              <w:rPr>
                <w:rFonts w:ascii="Trebuchet MS" w:cs="Trebuchet MS" w:eastAsia="Trebuchet MS" w:hAnsi="Trebuchet MS"/>
                <w:sz w:val="18"/>
                <w:szCs w:val="18"/>
                <w:color w:val="auto"/>
              </w:rPr>
              <w:t>84,747</w:t>
            </w:r>
          </w:p>
        </w:tc>
        <w:tc>
          <w:tcPr>
            <w:tcW w:w="38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(30,835,981)</w:t>
            </w:r>
          </w:p>
        </w:tc>
      </w:tr>
    </w:tbl>
    <w:p>
      <w:pPr>
        <w:spacing w:after="0" w:line="21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7" w:name="page158"/>
    <w:bookmarkEnd w:id="157"/>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50"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2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i w:val="1"/>
                <w:iCs w:val="1"/>
                <w:color w:val="auto"/>
              </w:rPr>
              <w:t>Year Ended September 30,</w:t>
            </w:r>
          </w:p>
        </w:tc>
        <w:tc>
          <w:tcPr>
            <w:tcW w:w="1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rebuchet MS" w:cs="Trebuchet MS" w:eastAsia="Trebuchet MS" w:hAnsi="Trebuchet MS"/>
                <w:sz w:val="18"/>
                <w:szCs w:val="18"/>
                <w:b w:val="1"/>
                <w:bCs w:val="1"/>
                <w:color w:val="auto"/>
              </w:rPr>
              <w:t>2018</w:t>
            </w:r>
          </w:p>
        </w:tc>
      </w:tr>
      <w:tr>
        <w:trPr>
          <w:trHeight w:val="467"/>
        </w:trPr>
        <w:tc>
          <w:tcPr>
            <w:tcW w:w="7720" w:type="dxa"/>
            <w:vAlign w:val="bottom"/>
          </w:tcPr>
          <w:p>
            <w:pPr>
              <w:spacing w:after="0"/>
              <w:rPr>
                <w:sz w:val="20"/>
                <w:szCs w:val="20"/>
                <w:color w:val="auto"/>
              </w:rPr>
            </w:pPr>
            <w:r>
              <w:rPr>
                <w:rFonts w:ascii="Trebuchet MS" w:cs="Trebuchet MS" w:eastAsia="Trebuchet MS" w:hAnsi="Trebuchet MS"/>
                <w:sz w:val="18"/>
                <w:szCs w:val="18"/>
                <w:b w:val="1"/>
                <w:bCs w:val="1"/>
                <w:color w:val="auto"/>
              </w:rPr>
              <w:t>Cash Flows from Operating Activities</w:t>
            </w:r>
          </w:p>
        </w:tc>
        <w:tc>
          <w:tcPr>
            <w:tcW w:w="1920" w:type="dxa"/>
            <w:vAlign w:val="bottom"/>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Pr>
          <w:p>
            <w:pPr>
              <w:jc w:val="right"/>
              <w:spacing w:after="0"/>
              <w:rPr>
                <w:sz w:val="20"/>
                <w:szCs w:val="20"/>
                <w:color w:val="auto"/>
              </w:rPr>
            </w:pPr>
            <w:r>
              <w:rPr>
                <w:rFonts w:ascii="Trebuchet MS" w:cs="Trebuchet MS" w:eastAsia="Trebuchet MS" w:hAnsi="Trebuchet MS"/>
                <w:sz w:val="18"/>
                <w:szCs w:val="18"/>
                <w:color w:val="auto"/>
              </w:rPr>
              <w:t>(8,312,769)</w:t>
            </w:r>
          </w:p>
        </w:tc>
      </w:tr>
      <w:tr>
        <w:trPr>
          <w:trHeight w:val="228"/>
        </w:trPr>
        <w:tc>
          <w:tcPr>
            <w:tcW w:w="7720" w:type="dxa"/>
            <w:vAlign w:val="bottom"/>
          </w:tcPr>
          <w:p>
            <w:pPr>
              <w:ind w:left="260"/>
              <w:spacing w:after="0"/>
              <w:rPr>
                <w:sz w:val="20"/>
                <w:szCs w:val="20"/>
                <w:color w:val="auto"/>
              </w:rPr>
            </w:pPr>
            <w:r>
              <w:rPr>
                <w:rFonts w:ascii="Trebuchet MS" w:cs="Trebuchet MS" w:eastAsia="Trebuchet MS" w:hAnsi="Trebuchet MS"/>
                <w:sz w:val="18"/>
                <w:szCs w:val="18"/>
                <w:color w:val="auto"/>
              </w:rPr>
              <w:t>Net loss</w:t>
            </w:r>
          </w:p>
        </w:tc>
        <w:tc>
          <w:tcPr>
            <w:tcW w:w="1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Trebuchet MS" w:cs="Trebuchet MS" w:eastAsia="Trebuchet MS" w:hAnsi="Trebuchet MS"/>
                <w:sz w:val="18"/>
                <w:szCs w:val="18"/>
                <w:color w:val="auto"/>
              </w:rPr>
              <w:t>Adjustments to reconcile net loss to net cash used in operating activities:</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1,410,161</w:t>
            </w:r>
          </w:p>
        </w:tc>
      </w:tr>
      <w:tr>
        <w:trPr>
          <w:trHeight w:val="229"/>
        </w:trPr>
        <w:tc>
          <w:tcPr>
            <w:tcW w:w="7720" w:type="dxa"/>
            <w:vAlign w:val="bottom"/>
          </w:tcPr>
          <w:p>
            <w:pPr>
              <w:ind w:left="500"/>
              <w:spacing w:after="0"/>
              <w:rPr>
                <w:sz w:val="20"/>
                <w:szCs w:val="20"/>
                <w:color w:val="auto"/>
              </w:rPr>
            </w:pPr>
            <w:r>
              <w:rPr>
                <w:rFonts w:ascii="Trebuchet MS" w:cs="Trebuchet MS" w:eastAsia="Trebuchet MS" w:hAnsi="Trebuchet MS"/>
                <w:sz w:val="18"/>
                <w:szCs w:val="18"/>
                <w:color w:val="auto"/>
              </w:rPr>
              <w:t>Depreciation, depletion and amortization</w:t>
            </w:r>
          </w:p>
        </w:tc>
        <w:tc>
          <w:tcPr>
            <w:tcW w:w="1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Trebuchet MS" w:cs="Trebuchet MS" w:eastAsia="Trebuchet MS" w:hAnsi="Trebuchet MS"/>
                <w:sz w:val="18"/>
                <w:szCs w:val="18"/>
                <w:color w:val="auto"/>
              </w:rPr>
              <w:t>Accretion of asset retirement obligations</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688,081</w:t>
            </w:r>
          </w:p>
        </w:tc>
      </w:tr>
      <w:tr>
        <w:trPr>
          <w:trHeight w:val="229"/>
        </w:trPr>
        <w:tc>
          <w:tcPr>
            <w:tcW w:w="7720" w:type="dxa"/>
            <w:vAlign w:val="bottom"/>
          </w:tcPr>
          <w:p>
            <w:pPr>
              <w:ind w:left="500"/>
              <w:spacing w:after="0"/>
              <w:rPr>
                <w:sz w:val="20"/>
                <w:szCs w:val="20"/>
                <w:color w:val="auto"/>
              </w:rPr>
            </w:pPr>
            <w:r>
              <w:rPr>
                <w:rFonts w:ascii="Trebuchet MS" w:cs="Trebuchet MS" w:eastAsia="Trebuchet MS" w:hAnsi="Trebuchet MS"/>
                <w:sz w:val="18"/>
                <w:szCs w:val="18"/>
                <w:color w:val="auto"/>
              </w:rPr>
              <w:t>Bad debt expense</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7,062</w:t>
            </w:r>
          </w:p>
        </w:tc>
      </w:tr>
      <w:tr>
        <w:trPr>
          <w:trHeight w:val="230"/>
        </w:trPr>
        <w:tc>
          <w:tcPr>
            <w:tcW w:w="7720" w:type="dxa"/>
            <w:vAlign w:val="bottom"/>
          </w:tcPr>
          <w:p>
            <w:pPr>
              <w:ind w:left="500"/>
              <w:spacing w:after="0"/>
              <w:rPr>
                <w:sz w:val="20"/>
                <w:szCs w:val="20"/>
                <w:color w:val="auto"/>
              </w:rPr>
            </w:pPr>
            <w:r>
              <w:rPr>
                <w:rFonts w:ascii="Trebuchet MS" w:cs="Trebuchet MS" w:eastAsia="Trebuchet MS" w:hAnsi="Trebuchet MS"/>
                <w:sz w:val="18"/>
                <w:szCs w:val="18"/>
                <w:color w:val="auto"/>
              </w:rPr>
              <w:t>Losses on derivatives</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3,834</w:t>
            </w:r>
          </w:p>
        </w:tc>
      </w:tr>
      <w:tr>
        <w:trPr>
          <w:trHeight w:val="229"/>
        </w:trPr>
        <w:tc>
          <w:tcPr>
            <w:tcW w:w="7720" w:type="dxa"/>
            <w:vAlign w:val="bottom"/>
          </w:tcPr>
          <w:p>
            <w:pPr>
              <w:ind w:left="500"/>
              <w:spacing w:after="0"/>
              <w:rPr>
                <w:sz w:val="20"/>
                <w:szCs w:val="20"/>
                <w:color w:val="auto"/>
              </w:rPr>
            </w:pPr>
            <w:r>
              <w:rPr>
                <w:rFonts w:ascii="Trebuchet MS" w:cs="Trebuchet MS" w:eastAsia="Trebuchet MS" w:hAnsi="Trebuchet MS"/>
                <w:sz w:val="18"/>
                <w:szCs w:val="18"/>
                <w:color w:val="auto"/>
              </w:rPr>
              <w:t>Derivative settlements</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122,598</w:t>
            </w:r>
          </w:p>
        </w:tc>
      </w:tr>
      <w:tr>
        <w:trPr>
          <w:trHeight w:val="229"/>
        </w:trPr>
        <w:tc>
          <w:tcPr>
            <w:tcW w:w="7720" w:type="dxa"/>
            <w:vAlign w:val="bottom"/>
          </w:tcPr>
          <w:p>
            <w:pPr>
              <w:ind w:left="260"/>
              <w:spacing w:after="0"/>
              <w:rPr>
                <w:sz w:val="20"/>
                <w:szCs w:val="20"/>
                <w:color w:val="auto"/>
              </w:rPr>
            </w:pPr>
            <w:r>
              <w:rPr>
                <w:rFonts w:ascii="Trebuchet MS" w:cs="Trebuchet MS" w:eastAsia="Trebuchet MS" w:hAnsi="Trebuchet MS"/>
                <w:sz w:val="18"/>
                <w:szCs w:val="18"/>
                <w:color w:val="auto"/>
              </w:rPr>
              <w:t>Changes in operating assets and liabilities:</w:t>
            </w:r>
          </w:p>
        </w:tc>
        <w:tc>
          <w:tcPr>
            <w:tcW w:w="19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rebuchet MS" w:cs="Trebuchet MS" w:eastAsia="Trebuchet MS" w:hAnsi="Trebuchet MS"/>
                <w:sz w:val="18"/>
                <w:szCs w:val="18"/>
                <w:color w:val="auto"/>
              </w:rPr>
              <w:t>(1,650,427)</w:t>
            </w:r>
          </w:p>
        </w:tc>
      </w:tr>
      <w:tr>
        <w:trPr>
          <w:trHeight w:val="230"/>
        </w:trPr>
        <w:tc>
          <w:tcPr>
            <w:tcW w:w="7720" w:type="dxa"/>
            <w:vAlign w:val="bottom"/>
          </w:tcPr>
          <w:p>
            <w:pPr>
              <w:ind w:left="500"/>
              <w:spacing w:after="0"/>
              <w:rPr>
                <w:sz w:val="20"/>
                <w:szCs w:val="20"/>
                <w:color w:val="auto"/>
              </w:rPr>
            </w:pPr>
            <w:r>
              <w:rPr>
                <w:rFonts w:ascii="Trebuchet MS" w:cs="Trebuchet MS" w:eastAsia="Trebuchet MS" w:hAnsi="Trebuchet MS"/>
                <w:sz w:val="18"/>
                <w:szCs w:val="18"/>
                <w:color w:val="auto"/>
              </w:rPr>
              <w:t>Accounts receivable</w:t>
            </w:r>
          </w:p>
        </w:tc>
        <w:tc>
          <w:tcPr>
            <w:tcW w:w="1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Trebuchet MS" w:cs="Trebuchet MS" w:eastAsia="Trebuchet MS" w:hAnsi="Trebuchet MS"/>
                <w:sz w:val="18"/>
                <w:szCs w:val="18"/>
                <w:color w:val="auto"/>
              </w:rPr>
              <w:t>Prepaid expenses and other assets</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32,993</w:t>
            </w:r>
          </w:p>
        </w:tc>
      </w:tr>
      <w:tr>
        <w:trPr>
          <w:trHeight w:val="229"/>
        </w:trPr>
        <w:tc>
          <w:tcPr>
            <w:tcW w:w="7720" w:type="dxa"/>
            <w:vAlign w:val="bottom"/>
          </w:tcPr>
          <w:p>
            <w:pPr>
              <w:ind w:left="500"/>
              <w:spacing w:after="0"/>
              <w:rPr>
                <w:sz w:val="20"/>
                <w:szCs w:val="20"/>
                <w:color w:val="auto"/>
              </w:rPr>
            </w:pPr>
            <w:r>
              <w:rPr>
                <w:rFonts w:ascii="Trebuchet MS" w:cs="Trebuchet MS" w:eastAsia="Trebuchet MS" w:hAnsi="Trebuchet MS"/>
                <w:sz w:val="18"/>
                <w:szCs w:val="18"/>
                <w:color w:val="auto"/>
              </w:rPr>
              <w:t>Accounts payable and revenue payable</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991,876</w:t>
            </w:r>
          </w:p>
        </w:tc>
      </w:tr>
      <w:tr>
        <w:trPr>
          <w:trHeight w:val="230"/>
        </w:trPr>
        <w:tc>
          <w:tcPr>
            <w:tcW w:w="7720" w:type="dxa"/>
            <w:vAlign w:val="bottom"/>
          </w:tcPr>
          <w:p>
            <w:pPr>
              <w:ind w:left="500"/>
              <w:spacing w:after="0"/>
              <w:rPr>
                <w:sz w:val="20"/>
                <w:szCs w:val="20"/>
                <w:color w:val="auto"/>
              </w:rPr>
            </w:pPr>
            <w:r>
              <w:rPr>
                <w:rFonts w:ascii="Trebuchet MS" w:cs="Trebuchet MS" w:eastAsia="Trebuchet MS" w:hAnsi="Trebuchet MS"/>
                <w:sz w:val="18"/>
                <w:szCs w:val="18"/>
                <w:color w:val="auto"/>
              </w:rPr>
              <w:t>Drilling advances</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3,441,260</w:t>
            </w:r>
          </w:p>
        </w:tc>
      </w:tr>
      <w:tr>
        <w:trPr>
          <w:trHeight w:val="231"/>
        </w:trPr>
        <w:tc>
          <w:tcPr>
            <w:tcW w:w="7720" w:type="dxa"/>
            <w:vAlign w:val="bottom"/>
            <w:tcBorders>
              <w:bottom w:val="single" w:sz="8" w:color="auto"/>
            </w:tcBorders>
          </w:tcPr>
          <w:p>
            <w:pPr>
              <w:ind w:left="500"/>
              <w:spacing w:after="0"/>
              <w:rPr>
                <w:sz w:val="20"/>
                <w:szCs w:val="20"/>
                <w:color w:val="auto"/>
              </w:rPr>
            </w:pPr>
            <w:r>
              <w:rPr>
                <w:rFonts w:ascii="Trebuchet MS" w:cs="Trebuchet MS" w:eastAsia="Trebuchet MS" w:hAnsi="Trebuchet MS"/>
                <w:sz w:val="18"/>
                <w:szCs w:val="18"/>
                <w:color w:val="auto"/>
              </w:rPr>
              <w:t>Accrued liabilities</w:t>
            </w:r>
          </w:p>
        </w:tc>
        <w:tc>
          <w:tcPr>
            <w:tcW w:w="1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(24,116)</w:t>
            </w:r>
          </w:p>
        </w:tc>
      </w:tr>
      <w:tr>
        <w:trPr>
          <w:trHeight w:val="466"/>
        </w:trPr>
        <w:tc>
          <w:tcPr>
            <w:tcW w:w="772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Net Cash Used in Operating Activities</w:t>
            </w:r>
          </w:p>
        </w:tc>
        <w:tc>
          <w:tcPr>
            <w:tcW w:w="1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(3,289,447)</w:t>
            </w:r>
          </w:p>
        </w:tc>
      </w:tr>
      <w:tr>
        <w:trPr>
          <w:trHeight w:val="467"/>
        </w:trPr>
        <w:tc>
          <w:tcPr>
            <w:tcW w:w="7720" w:type="dxa"/>
            <w:vAlign w:val="bottom"/>
          </w:tcPr>
          <w:p>
            <w:pPr>
              <w:spacing w:after="0"/>
              <w:rPr>
                <w:sz w:val="20"/>
                <w:szCs w:val="20"/>
                <w:color w:val="auto"/>
              </w:rPr>
            </w:pPr>
            <w:r>
              <w:rPr>
                <w:rFonts w:ascii="Trebuchet MS" w:cs="Trebuchet MS" w:eastAsia="Trebuchet MS" w:hAnsi="Trebuchet MS"/>
                <w:sz w:val="18"/>
                <w:szCs w:val="18"/>
                <w:b w:val="1"/>
                <w:bCs w:val="1"/>
                <w:color w:val="auto"/>
              </w:rPr>
              <w:t>Cash Flows from Investing Activities</w:t>
            </w:r>
          </w:p>
        </w:tc>
        <w:tc>
          <w:tcPr>
            <w:tcW w:w="192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rebuchet MS" w:cs="Trebuchet MS" w:eastAsia="Trebuchet MS" w:hAnsi="Trebuchet MS"/>
                <w:sz w:val="18"/>
                <w:szCs w:val="18"/>
                <w:color w:val="auto"/>
              </w:rPr>
              <w:t>(10,381,861)</w:t>
            </w:r>
          </w:p>
        </w:tc>
      </w:tr>
      <w:tr>
        <w:trPr>
          <w:trHeight w:val="227"/>
        </w:trPr>
        <w:tc>
          <w:tcPr>
            <w:tcW w:w="7720" w:type="dxa"/>
            <w:vAlign w:val="bottom"/>
          </w:tcPr>
          <w:p>
            <w:pPr>
              <w:ind w:left="260"/>
              <w:spacing w:after="0"/>
              <w:rPr>
                <w:sz w:val="20"/>
                <w:szCs w:val="20"/>
                <w:color w:val="auto"/>
              </w:rPr>
            </w:pPr>
            <w:r>
              <w:rPr>
                <w:rFonts w:ascii="Trebuchet MS" w:cs="Trebuchet MS" w:eastAsia="Trebuchet MS" w:hAnsi="Trebuchet MS"/>
                <w:sz w:val="18"/>
                <w:szCs w:val="18"/>
                <w:color w:val="auto"/>
              </w:rPr>
              <w:t>Payments for oil and natural gas properties and equipment</w:t>
            </w:r>
          </w:p>
        </w:tc>
        <w:tc>
          <w:tcPr>
            <w:tcW w:w="19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Trebuchet MS" w:cs="Trebuchet MS" w:eastAsia="Trebuchet MS" w:hAnsi="Trebuchet MS"/>
                <w:sz w:val="18"/>
                <w:szCs w:val="18"/>
                <w:color w:val="auto"/>
              </w:rPr>
              <w:t>Payments for other property and equipment</w:t>
            </w:r>
          </w:p>
        </w:tc>
        <w:tc>
          <w:tcPr>
            <w:tcW w:w="19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rebuchet MS" w:cs="Trebuchet MS" w:eastAsia="Trebuchet MS" w:hAnsi="Trebuchet MS"/>
                <w:sz w:val="18"/>
                <w:szCs w:val="18"/>
                <w:color w:val="auto"/>
              </w:rPr>
              <w:t>(84,134)</w:t>
            </w:r>
          </w:p>
        </w:tc>
      </w:tr>
      <w:tr>
        <w:trPr>
          <w:trHeight w:val="229"/>
        </w:trPr>
        <w:tc>
          <w:tcPr>
            <w:tcW w:w="7720" w:type="dxa"/>
            <w:vAlign w:val="bottom"/>
          </w:tcPr>
          <w:p>
            <w:pPr>
              <w:ind w:left="260"/>
              <w:spacing w:after="0"/>
              <w:rPr>
                <w:sz w:val="20"/>
                <w:szCs w:val="20"/>
                <w:color w:val="auto"/>
              </w:rPr>
            </w:pPr>
            <w:r>
              <w:rPr>
                <w:rFonts w:ascii="Trebuchet MS" w:cs="Trebuchet MS" w:eastAsia="Trebuchet MS" w:hAnsi="Trebuchet MS"/>
                <w:sz w:val="18"/>
                <w:szCs w:val="18"/>
                <w:color w:val="auto"/>
              </w:rPr>
              <w:t>Proceeds from sales of oil and natural gas properties</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4,161,608</w:t>
            </w:r>
          </w:p>
        </w:tc>
      </w:tr>
      <w:tr>
        <w:trPr>
          <w:trHeight w:val="230"/>
        </w:trPr>
        <w:tc>
          <w:tcPr>
            <w:tcW w:w="7720" w:type="dxa"/>
            <w:vAlign w:val="bottom"/>
          </w:tcPr>
          <w:p>
            <w:pPr>
              <w:ind w:left="260"/>
              <w:spacing w:after="0"/>
              <w:rPr>
                <w:sz w:val="20"/>
                <w:szCs w:val="20"/>
                <w:color w:val="auto"/>
              </w:rPr>
            </w:pPr>
            <w:r>
              <w:rPr>
                <w:rFonts w:ascii="Trebuchet MS" w:cs="Trebuchet MS" w:eastAsia="Trebuchet MS" w:hAnsi="Trebuchet MS"/>
                <w:sz w:val="18"/>
                <w:szCs w:val="18"/>
                <w:color w:val="auto"/>
              </w:rPr>
              <w:t>Deposit and other assets</w:t>
            </w:r>
          </w:p>
        </w:tc>
        <w:tc>
          <w:tcPr>
            <w:tcW w:w="192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28,000</w:t>
            </w:r>
          </w:p>
        </w:tc>
      </w:tr>
      <w:tr>
        <w:trPr>
          <w:trHeight w:val="231"/>
        </w:trPr>
        <w:tc>
          <w:tcPr>
            <w:tcW w:w="77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Restricted cash</w:t>
            </w:r>
          </w:p>
        </w:tc>
        <w:tc>
          <w:tcPr>
            <w:tcW w:w="19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36,256</w:t>
            </w:r>
          </w:p>
        </w:tc>
      </w:tr>
      <w:tr>
        <w:trPr>
          <w:trHeight w:val="466"/>
        </w:trPr>
        <w:tc>
          <w:tcPr>
            <w:tcW w:w="772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Net Cash Used in Investing Activities</w:t>
            </w:r>
          </w:p>
        </w:tc>
        <w:tc>
          <w:tcPr>
            <w:tcW w:w="1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(6,240,131)</w:t>
            </w:r>
          </w:p>
        </w:tc>
      </w:tr>
      <w:tr>
        <w:trPr>
          <w:trHeight w:val="467"/>
        </w:trPr>
        <w:tc>
          <w:tcPr>
            <w:tcW w:w="7720" w:type="dxa"/>
            <w:vAlign w:val="bottom"/>
          </w:tcPr>
          <w:p>
            <w:pPr>
              <w:spacing w:after="0"/>
              <w:rPr>
                <w:sz w:val="20"/>
                <w:szCs w:val="20"/>
                <w:color w:val="auto"/>
              </w:rPr>
            </w:pPr>
            <w:r>
              <w:rPr>
                <w:rFonts w:ascii="Trebuchet MS" w:cs="Trebuchet MS" w:eastAsia="Trebuchet MS" w:hAnsi="Trebuchet MS"/>
                <w:sz w:val="18"/>
                <w:szCs w:val="18"/>
                <w:b w:val="1"/>
                <w:bCs w:val="1"/>
                <w:color w:val="auto"/>
              </w:rPr>
              <w:t>Cash Flows from Financing Activities</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9"/>
        </w:trPr>
        <w:tc>
          <w:tcPr>
            <w:tcW w:w="77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Proceeds from borrowings on long-term debt</w:t>
            </w:r>
          </w:p>
        </w:tc>
        <w:tc>
          <w:tcPr>
            <w:tcW w:w="19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10,000,000</w:t>
            </w:r>
          </w:p>
        </w:tc>
      </w:tr>
      <w:tr>
        <w:trPr>
          <w:trHeight w:val="466"/>
        </w:trPr>
        <w:tc>
          <w:tcPr>
            <w:tcW w:w="772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Net Cash Provided by Financing Activities</w:t>
            </w:r>
          </w:p>
        </w:tc>
        <w:tc>
          <w:tcPr>
            <w:tcW w:w="1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10,000,000</w:t>
            </w:r>
          </w:p>
        </w:tc>
      </w:tr>
      <w:tr>
        <w:trPr>
          <w:trHeight w:val="466"/>
        </w:trPr>
        <w:tc>
          <w:tcPr>
            <w:tcW w:w="7720" w:type="dxa"/>
            <w:vAlign w:val="bottom"/>
          </w:tcPr>
          <w:p>
            <w:pPr>
              <w:spacing w:after="0"/>
              <w:rPr>
                <w:sz w:val="20"/>
                <w:szCs w:val="20"/>
                <w:color w:val="auto"/>
              </w:rPr>
            </w:pPr>
            <w:r>
              <w:rPr>
                <w:rFonts w:ascii="Trebuchet MS" w:cs="Trebuchet MS" w:eastAsia="Trebuchet MS" w:hAnsi="Trebuchet MS"/>
                <w:sz w:val="18"/>
                <w:szCs w:val="18"/>
                <w:b w:val="1"/>
                <w:bCs w:val="1"/>
                <w:color w:val="auto"/>
              </w:rPr>
              <w:t>Net Increase in Cash and Cash Equivalents</w:t>
            </w:r>
          </w:p>
        </w:tc>
        <w:tc>
          <w:tcPr>
            <w:tcW w:w="192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470,422</w:t>
            </w:r>
          </w:p>
        </w:tc>
      </w:tr>
      <w:tr>
        <w:trPr>
          <w:trHeight w:val="458"/>
        </w:trPr>
        <w:tc>
          <w:tcPr>
            <w:tcW w:w="772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Cash and Cash Equivalents - Beginning of Year</w:t>
            </w:r>
          </w:p>
        </w:tc>
        <w:tc>
          <w:tcPr>
            <w:tcW w:w="1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2,297,592</w:t>
            </w:r>
          </w:p>
        </w:tc>
      </w:tr>
      <w:tr>
        <w:trPr>
          <w:trHeight w:val="466"/>
        </w:trPr>
        <w:tc>
          <w:tcPr>
            <w:tcW w:w="772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Cash and Cash Equivalents - End of Year</w:t>
            </w:r>
          </w:p>
        </w:tc>
        <w:tc>
          <w:tcPr>
            <w:tcW w:w="1920" w:type="dxa"/>
            <w:vAlign w:val="bottom"/>
            <w:tcBorders>
              <w:bottom w:val="single" w:sz="8" w:color="auto"/>
            </w:tcBorders>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2,768,014</w:t>
            </w:r>
          </w:p>
        </w:tc>
      </w:tr>
      <w:tr>
        <w:trPr>
          <w:trHeight w:val="466"/>
        </w:trPr>
        <w:tc>
          <w:tcPr>
            <w:tcW w:w="7720" w:type="dxa"/>
            <w:vAlign w:val="bottom"/>
          </w:tcPr>
          <w:p>
            <w:pPr>
              <w:spacing w:after="0"/>
              <w:rPr>
                <w:sz w:val="20"/>
                <w:szCs w:val="20"/>
                <w:color w:val="auto"/>
              </w:rPr>
            </w:pPr>
            <w:r>
              <w:rPr>
                <w:rFonts w:ascii="Trebuchet MS" w:cs="Trebuchet MS" w:eastAsia="Trebuchet MS" w:hAnsi="Trebuchet MS"/>
                <w:sz w:val="18"/>
                <w:szCs w:val="18"/>
                <w:b w:val="1"/>
                <w:bCs w:val="1"/>
                <w:color w:val="auto"/>
              </w:rPr>
              <w:t>Supplemental Cash Flow Information</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8"/>
        </w:trPr>
        <w:tc>
          <w:tcPr>
            <w:tcW w:w="7720" w:type="dxa"/>
            <w:vAlign w:val="bottom"/>
          </w:tcPr>
          <w:p>
            <w:pPr>
              <w:ind w:left="260"/>
              <w:spacing w:after="0"/>
              <w:rPr>
                <w:sz w:val="20"/>
                <w:szCs w:val="20"/>
                <w:color w:val="auto"/>
              </w:rPr>
            </w:pPr>
            <w:r>
              <w:rPr>
                <w:rFonts w:ascii="Trebuchet MS" w:cs="Trebuchet MS" w:eastAsia="Trebuchet MS" w:hAnsi="Trebuchet MS"/>
                <w:sz w:val="18"/>
                <w:szCs w:val="18"/>
                <w:color w:val="auto"/>
              </w:rPr>
              <w:t>Cash paid for interest</w:t>
            </w:r>
          </w:p>
        </w:tc>
        <w:tc>
          <w:tcPr>
            <w:tcW w:w="1920" w:type="dxa"/>
            <w:vAlign w:val="bottom"/>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3,012,078</w:t>
            </w:r>
          </w:p>
        </w:tc>
      </w:tr>
      <w:tr>
        <w:trPr>
          <w:trHeight w:val="461"/>
        </w:trPr>
        <w:tc>
          <w:tcPr>
            <w:tcW w:w="7720" w:type="dxa"/>
            <w:vAlign w:val="bottom"/>
          </w:tcPr>
          <w:p>
            <w:pPr>
              <w:spacing w:after="0"/>
              <w:rPr>
                <w:sz w:val="20"/>
                <w:szCs w:val="20"/>
                <w:color w:val="auto"/>
              </w:rPr>
            </w:pPr>
            <w:r>
              <w:rPr>
                <w:rFonts w:ascii="Trebuchet MS" w:cs="Trebuchet MS" w:eastAsia="Trebuchet MS" w:hAnsi="Trebuchet MS"/>
                <w:sz w:val="18"/>
                <w:szCs w:val="18"/>
                <w:b w:val="1"/>
                <w:bCs w:val="1"/>
                <w:color w:val="auto"/>
              </w:rPr>
              <w:t>Non-Cash Investing and Financing Activities</w:t>
            </w:r>
          </w:p>
        </w:tc>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8"/>
        </w:trPr>
        <w:tc>
          <w:tcPr>
            <w:tcW w:w="7720" w:type="dxa"/>
            <w:vAlign w:val="bottom"/>
          </w:tcPr>
          <w:p>
            <w:pPr>
              <w:ind w:left="260"/>
              <w:spacing w:after="0"/>
              <w:rPr>
                <w:sz w:val="20"/>
                <w:szCs w:val="20"/>
                <w:color w:val="auto"/>
              </w:rPr>
            </w:pPr>
            <w:r>
              <w:rPr>
                <w:rFonts w:ascii="Trebuchet MS" w:cs="Trebuchet MS" w:eastAsia="Trebuchet MS" w:hAnsi="Trebuchet MS"/>
                <w:sz w:val="18"/>
                <w:szCs w:val="18"/>
                <w:color w:val="auto"/>
              </w:rPr>
              <w:t>Oil and natural gas properties accrued</w:t>
            </w:r>
          </w:p>
        </w:tc>
        <w:tc>
          <w:tcPr>
            <w:tcW w:w="1920" w:type="dxa"/>
            <w:vAlign w:val="bottom"/>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3,869,449</w:t>
            </w:r>
          </w:p>
        </w:tc>
      </w:tr>
      <w:tr>
        <w:trPr>
          <w:trHeight w:val="244"/>
        </w:trPr>
        <w:tc>
          <w:tcPr>
            <w:tcW w:w="772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Asset retirement obligations</w:t>
            </w:r>
          </w:p>
        </w:tc>
        <w:tc>
          <w:tcPr>
            <w:tcW w:w="1920" w:type="dxa"/>
            <w:vAlign w:val="bottom"/>
            <w:tcBorders>
              <w:bottom w:val="single" w:sz="8" w:color="auto"/>
            </w:tcBorders>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(1,318,224)</w:t>
            </w:r>
          </w:p>
        </w:tc>
      </w:tr>
    </w:tbl>
    <w:p>
      <w:pPr>
        <w:spacing w:after="0" w:line="214" w:lineRule="exact"/>
        <w:rPr>
          <w:sz w:val="20"/>
          <w:szCs w:val="20"/>
          <w:color w:val="auto"/>
        </w:rPr>
      </w:pPr>
    </w:p>
    <w:p>
      <w:pPr>
        <w:jc w:val="center"/>
        <w:spacing w:after="0"/>
        <w:rPr>
          <w:sz w:val="20"/>
          <w:szCs w:val="20"/>
          <w:color w:val="auto"/>
        </w:rPr>
      </w:pPr>
      <w:r>
        <w:rPr>
          <w:rFonts w:ascii="Trebuchet MS" w:cs="Trebuchet MS" w:eastAsia="Trebuchet MS" w:hAnsi="Trebuchet MS"/>
          <w:sz w:val="19"/>
          <w:szCs w:val="19"/>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8" w:name="page159"/>
    <w:bookmarkEnd w:id="158"/>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62" w:lineRule="exact"/>
        <w:rPr>
          <w:sz w:val="20"/>
          <w:szCs w:val="20"/>
          <w:color w:val="auto"/>
        </w:rPr>
      </w:pPr>
    </w:p>
    <w:p>
      <w:pPr>
        <w:ind w:left="860" w:hanging="852"/>
        <w:spacing w:after="0"/>
        <w:tabs>
          <w:tab w:leader="none" w:pos="860" w:val="left"/>
        </w:tabs>
        <w:numPr>
          <w:ilvl w:val="0"/>
          <w:numId w:val="147"/>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Nature of Operations and Organization</w:t>
      </w:r>
    </w:p>
    <w:p>
      <w:pPr>
        <w:spacing w:after="0" w:line="169"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RAM Energy Holdings LLC (“Holdings”), formerly named PNNT RAM Energy LLC, is a Delaware limited liability company, wholly-owned by PennantPark Investment Corporation (“PennantPark”), and was formed in July 2014 as a holding company for interest ownership in RAM Energy LLC (“RAM”). RAM Fayette LLC (“Fayette”) was formed in September 2017 and Fayette Service Company LLC (“Service”) was formed in June 2018. Both subsidiaries are currently wholly-owned by RAM. Holdings, RAM and its subsidiaries are herein referred to as the “Company.”</w:t>
      </w:r>
    </w:p>
    <w:p>
      <w:pPr>
        <w:spacing w:after="0" w:line="153" w:lineRule="exact"/>
        <w:rPr>
          <w:sz w:val="20"/>
          <w:szCs w:val="20"/>
          <w:color w:val="auto"/>
        </w:rPr>
      </w:pPr>
    </w:p>
    <w:p>
      <w:pPr>
        <w:jc w:val="both"/>
        <w:ind w:right="20"/>
        <w:spacing w:after="0"/>
        <w:rPr>
          <w:sz w:val="20"/>
          <w:szCs w:val="20"/>
          <w:color w:val="auto"/>
        </w:rPr>
      </w:pPr>
      <w:r>
        <w:rPr>
          <w:rFonts w:ascii="Trebuchet MS" w:cs="Trebuchet MS" w:eastAsia="Trebuchet MS" w:hAnsi="Trebuchet MS"/>
          <w:sz w:val="19"/>
          <w:szCs w:val="19"/>
          <w:color w:val="auto"/>
        </w:rPr>
        <w:t>RAM was formed in April 2012 as a privately held, independent oil and natural gas company engaged in the acquisition, exploration, exploitation, development and production of oil and natural gas.</w:t>
      </w:r>
    </w:p>
    <w:p>
      <w:pPr>
        <w:spacing w:after="0" w:line="153"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September 2017, Holdings issued PennantPark 61,606 common units in exchange for the outstanding debt of RAM of $88 million. Holdings then entered into a new $35 million term loan. In June 2018, the credit agreement was amended to add a $15 million revolving loan. See Notes 6 and 7.</w:t>
      </w:r>
    </w:p>
    <w:p>
      <w:pPr>
        <w:spacing w:after="0" w:line="154"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July 2018, the Company began a drilling program in the Austin Chalk formation. Fayette was formed to be an owner in the new wells drilled, and Service was formed to invest in gathering and facilities infrastructure. One new well began producing in September 2018. The second new well began producing in October 2018. See Note 5.</w:t>
      </w:r>
    </w:p>
    <w:p>
      <w:pPr>
        <w:spacing w:after="0" w:line="154"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RAM operates exclusively in the upstream segment of the oil and gas industry with activities including the drilling, completion, and operation of oil and natural gas wells. RAM conducts the majority of its operations in the states of Texas, with minor operations in the states of Arkansas, New Mexico and Oklahoma.</w:t>
      </w:r>
    </w:p>
    <w:p>
      <w:pPr>
        <w:spacing w:after="0" w:line="390" w:lineRule="exact"/>
        <w:rPr>
          <w:sz w:val="20"/>
          <w:szCs w:val="20"/>
          <w:color w:val="auto"/>
        </w:rPr>
      </w:pPr>
    </w:p>
    <w:p>
      <w:pPr>
        <w:ind w:left="860" w:hanging="852"/>
        <w:spacing w:after="0"/>
        <w:tabs>
          <w:tab w:leader="none" w:pos="860" w:val="left"/>
        </w:tabs>
        <w:numPr>
          <w:ilvl w:val="0"/>
          <w:numId w:val="148"/>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Summary of Significant Accounting Policies</w:t>
      </w:r>
    </w:p>
    <w:p>
      <w:pPr>
        <w:spacing w:after="0" w:line="20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Basis of Presentation</w:t>
      </w:r>
    </w:p>
    <w:p>
      <w:pPr>
        <w:spacing w:after="0" w:line="202"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accompanying consolidated financial statements include the accounts of Holdings, its wholly-owned subsidiary, RAM, and RAM’s wholly-owned subsidiaries, Fayette and Service. All significant intercompany accounts and transactions have been eliminated in consolidation.</w:t>
      </w:r>
    </w:p>
    <w:p>
      <w:pPr>
        <w:spacing w:after="0" w:line="19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Property and Equipment</w:t>
      </w:r>
    </w:p>
    <w:p>
      <w:pPr>
        <w:spacing w:after="0" w:line="202"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Company follows the full cost method of accounting for oil and natural gas properties. Under this method, all productive and nonproductive costs incurred in connection with the acquisition, exploration, and development of oil and natural gas reserves are capitalized. No gains or losses are recognized upon the sale or other disposition of oil and natural gas properties except in transactions that would significantly alter the relationship between capitalized costs and proved reserves. The costs of unevaluated oil and natural gas properties are excluded from the amortizable base until the time that either proven reserves are found or it has been determined that such properties are impaired. As properties become evaluated, the related costs are transferred to proved oil and natural gas properties.</w:t>
      </w:r>
    </w:p>
    <w:p>
      <w:pPr>
        <w:spacing w:after="0" w:line="196"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Under the full cost method, the net book value of oil and natural gas properties may not exceed the estimated after-tax future net revenues from proved oil and natural gas properties, discounted at 10% (the “Ceiling Limitation”). In arriving at estimated future net revenues, estimated lease operating expenses, development costs, and certain production-related and ad valorem taxes are deducted.</w:t>
      </w:r>
    </w:p>
    <w:p>
      <w:pPr>
        <w:spacing w:after="0" w:line="211"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59" w:name="page160"/>
    <w:bookmarkEnd w:id="159"/>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71"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In calculating future net revenues, prices and costs are held constant indefinitely, except for changes that are fixed and determinable by existing contracts. The net book value is compared to the Ceiling Limitation and the excess, if any, of the net book value above the Ceiling Limitation is charged to expense in the period in which it occurs and is not subsequently reinstated. At September 30, 2018, the net book value of the Company’s oil and natural gas properties did not exceed the Ceiling Limitation.</w:t>
      </w:r>
    </w:p>
    <w:p>
      <w:pPr>
        <w:spacing w:after="0" w:line="195" w:lineRule="exact"/>
        <w:rPr>
          <w:sz w:val="20"/>
          <w:szCs w:val="20"/>
          <w:color w:val="auto"/>
        </w:rPr>
      </w:pPr>
    </w:p>
    <w:p>
      <w:pPr>
        <w:jc w:val="both"/>
        <w:spacing w:after="0" w:line="235" w:lineRule="auto"/>
        <w:rPr>
          <w:sz w:val="20"/>
          <w:szCs w:val="20"/>
          <w:color w:val="auto"/>
        </w:rPr>
      </w:pPr>
      <w:r>
        <w:rPr>
          <w:rFonts w:ascii="Trebuchet MS" w:cs="Trebuchet MS" w:eastAsia="Trebuchet MS" w:hAnsi="Trebuchet MS"/>
          <w:sz w:val="19"/>
          <w:szCs w:val="19"/>
          <w:color w:val="auto"/>
        </w:rPr>
        <w:t>The costs directly associated with unevaluated oil and natural gas properties are not initially included in the amortization base and relate to unproved leasehold acreage, seismic data, wells and production facilities in progress and wells pending determination. Unevaluated leasehold costs are transferred to the amortization base once determination has been made or upon expiration of a lease. Geological and geophysical costs and cumulative drilling costs to date associated with a specific unevaluated property are transferred to the amortization base with the associated leasehold costs on a specific project basis. Costs associated with wells in progress and wells pending determination are transferred to the amortization base once a determination is made whether or not proved reserves can be assigned to the property. All costs included in the Company’s unevaluated property balance are assessed on a periodic basis for possible impairment or reduction in value. The assessment includes consideration of numerous factors, including intent to drill, remaining lease term, geological and geophysical evaluations, drilling results and activity, assignment of proved reserves and economic viability of development if proved reserves are assigned. Any impairments of unevaluated properties are transferred to the amortization base. The Company did not have any impairment of its unproved oil and gas properties for the year ended September 30, 2018.</w:t>
      </w:r>
    </w:p>
    <w:p>
      <w:pPr>
        <w:spacing w:after="0" w:line="202"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Other property and equipment consists principally of furniture and equipment and leasehold improvements. Other property and equipment and related accumulated depreciation and amortization are relieved upon retirement or sale and the gain or loss is included in operations. Renewals and replacements that extend the useful life of property and equipment are treated as capital additions. Depreciation expense of other property and equipment for the year ended September 30, 2018 was approximately $75 thousand.</w:t>
      </w:r>
    </w:p>
    <w:p>
      <w:pPr>
        <w:spacing w:after="0" w:line="189"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Depreciation, Depletion and Amortization</w:t>
      </w:r>
    </w:p>
    <w:p>
      <w:pPr>
        <w:spacing w:after="0" w:line="202"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All capitalized costs of oil and natural gas properties and equipment, including the estimated future costs to develop proved reserves, are amortized using the unit-of-production method based on total proved reserves. Depreciation of gathering assets and related facilities, and other equipment is computed on the straight-line method over the estimated useful lives of the assets, generally ranging from 3 to 30 years. Amortization of leasehold improvements is computed based on the straight-line method over the term of the associated lease or estimated useful life, whichever is shorter.</w:t>
      </w:r>
    </w:p>
    <w:p>
      <w:pPr>
        <w:spacing w:after="0" w:line="189"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Cash and Cash Equivalents</w:t>
      </w:r>
    </w:p>
    <w:p>
      <w:pPr>
        <w:spacing w:after="0" w:line="202"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All highly liquid unrestricted investments with a maturity of three months or less when purchased are considered to be cash equivalents.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0" w:name="page161"/>
    <w:bookmarkEnd w:id="160"/>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Restricted Cash</w:t>
      </w:r>
    </w:p>
    <w:p>
      <w:pPr>
        <w:spacing w:after="0" w:line="202"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At September 30, 2018, the Company had approximately $547 thousand in certificates of deposit held as collateral for letters of credit for the beneficiary of states for the purpose of plugging and abandonment costs of the wells in which the Company has an interest. Such amounts are classified as restricted cash in the accompanying consolidated balance sheets.</w:t>
      </w:r>
    </w:p>
    <w:p>
      <w:pPr>
        <w:spacing w:after="0" w:line="19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Concentrations of Credit Risk</w:t>
      </w:r>
    </w:p>
    <w:p>
      <w:pPr>
        <w:spacing w:after="0" w:line="202"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Company sells oil and natural gas to various customers and participates with other parties in the drilling, completion and operation of oil and natural gas wells. Joint interest and oil and natural gas sales receivables related to these operations are generally unsecured. For the year ended September 30, 2018, over 20% of total revenues and total receivables were from two customers. The Company provides an allowance for doubtful accounts for certain purchasers and certain joint interest owners’ receivable balances when the Company believes the receivable balance may not be collected. Accounts receivable are presented net of the related allowance for doubtful accounts. At September 30, 2018, the allowance for doubtful accounts was $125 thousand.</w:t>
      </w:r>
    </w:p>
    <w:p>
      <w:pPr>
        <w:spacing w:after="0" w:line="196"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In 2018, the Company had cash deposits in certain banks that at times exceeded the maximum insured by the Federal Deposit Insurance Corporation. The Company monitors the financial condition of the banks and has experienced no losses on these accounts.</w:t>
      </w:r>
    </w:p>
    <w:p>
      <w:pPr>
        <w:spacing w:after="0" w:line="19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General and Administrative Expenses</w:t>
      </w:r>
    </w:p>
    <w:p>
      <w:pPr>
        <w:spacing w:after="0" w:line="202"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receives fees for the operation of jointly owned oil and natural gas properties and records such reimbursements as reductions of general and administrative expenses. Such fees totaled approximately $0.7 million for the year ended September 30, 2018.</w:t>
      </w:r>
    </w:p>
    <w:p>
      <w:pPr>
        <w:spacing w:after="0" w:line="19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Use of Estimates</w:t>
      </w:r>
    </w:p>
    <w:p>
      <w:pPr>
        <w:spacing w:after="0" w:line="202"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Estimates and assumptions that, in the opinion of management are significant, include oil and natural gas reserves, depreciation, depletion and amortization related to oil and natural gas properties, asset retirement obligations and derivative instrument valuations. The Company evaluates its estimates and assumptions on a regular basis. Estimates are based on historical experience and various other assumptions that are believed to be reasonable under the circumstances. Actual results may differ from these estimates.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1" w:name="page162"/>
    <w:bookmarkEnd w:id="161"/>
    <w:p>
      <w:pPr>
        <w:jc w:val="center"/>
        <w:ind w:right="20"/>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ind w:right="20"/>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Oil and Natural Gas Reserves Estimates</w:t>
      </w:r>
    </w:p>
    <w:p>
      <w:pPr>
        <w:spacing w:after="0" w:line="202" w:lineRule="exact"/>
        <w:rPr>
          <w:sz w:val="20"/>
          <w:szCs w:val="20"/>
          <w:color w:val="auto"/>
        </w:rPr>
      </w:pPr>
    </w:p>
    <w:p>
      <w:pPr>
        <w:jc w:val="both"/>
        <w:ind w:right="20"/>
        <w:spacing w:after="0" w:line="236" w:lineRule="auto"/>
        <w:rPr>
          <w:sz w:val="20"/>
          <w:szCs w:val="20"/>
          <w:color w:val="auto"/>
        </w:rPr>
      </w:pPr>
      <w:r>
        <w:rPr>
          <w:rFonts w:ascii="Trebuchet MS" w:cs="Trebuchet MS" w:eastAsia="Trebuchet MS" w:hAnsi="Trebuchet MS"/>
          <w:sz w:val="19"/>
          <w:szCs w:val="19"/>
          <w:color w:val="auto"/>
        </w:rPr>
        <w:t>Independent petroleum and geological engineers prepare estimates of the Company’s oil and natural gas reserves. Proved reserves and the estimated future net revenues are estimated based upon a combination of historical data and estimates of future activity. Consistent with Topic 932 of the Codification, at September 30, 2018, the Company calculated its estimate of proved reserves using a twelve month average price, calculated as the unweighted arithmetic average of the first-day-of-the-month price for each period within the twelve-month period prior to the end of the reporting period. The reserve estimates are used in the assessment of the Company’s ceiling limitation and in calculating depreciation, depletion and amortization. Significant assumptions are required in the valuation of proved oil and natural gas reserves which, as described herein, may affect the amount at which oil and natural gas properties are recorded. Actual results could differ materially from these estimates.</w:t>
      </w:r>
    </w:p>
    <w:p>
      <w:pPr>
        <w:spacing w:after="0" w:line="191"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Asset Retirement Obligations</w:t>
      </w:r>
    </w:p>
    <w:p>
      <w:pPr>
        <w:spacing w:after="0" w:line="202" w:lineRule="exact"/>
        <w:rPr>
          <w:sz w:val="20"/>
          <w:szCs w:val="20"/>
          <w:color w:val="auto"/>
        </w:rPr>
      </w:pPr>
    </w:p>
    <w:p>
      <w:pPr>
        <w:jc w:val="both"/>
        <w:ind w:right="20"/>
        <w:spacing w:after="0" w:line="237" w:lineRule="auto"/>
        <w:rPr>
          <w:sz w:val="20"/>
          <w:szCs w:val="20"/>
          <w:color w:val="auto"/>
        </w:rPr>
      </w:pPr>
      <w:r>
        <w:rPr>
          <w:rFonts w:ascii="Trebuchet MS" w:cs="Trebuchet MS" w:eastAsia="Trebuchet MS" w:hAnsi="Trebuchet MS"/>
          <w:sz w:val="19"/>
          <w:szCs w:val="19"/>
          <w:color w:val="auto"/>
        </w:rPr>
        <w:t>The fair value of a liability for an asset retirement obligation is recognized in the period in which it is incurred if a reasonable estimate of fair value can be made, and the associated asset retirement costs are capitalized as part of the carrying amount of the long-lived asset. The Company determines its asset retirement obligations on its oil and natural gas properties by calculating the present value of the estimated cash flows related to the estimated liability. Periodic accretion of the discount of the estimated liability associated with the Company’s oil and natural gas properties is recorded in the consolidated statements of operations.</w:t>
      </w:r>
    </w:p>
    <w:p>
      <w:pPr>
        <w:spacing w:after="0" w:line="193"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 recorded the following activity related to the asset retirement obligations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i w:val="1"/>
                <w:iCs w:val="1"/>
                <w:color w:val="auto"/>
              </w:rPr>
              <w:t>Year Ended September 30,</w:t>
            </w:r>
          </w:p>
        </w:tc>
        <w:tc>
          <w:tcPr>
            <w:tcW w:w="5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90"/>
              <w:spacing w:after="0"/>
              <w:rPr>
                <w:sz w:val="20"/>
                <w:szCs w:val="20"/>
                <w:color w:val="auto"/>
              </w:rPr>
            </w:pPr>
            <w:r>
              <w:rPr>
                <w:rFonts w:ascii="Trebuchet MS" w:cs="Trebuchet MS" w:eastAsia="Trebuchet MS" w:hAnsi="Trebuchet MS"/>
                <w:sz w:val="18"/>
                <w:szCs w:val="18"/>
                <w:color w:val="auto"/>
              </w:rPr>
              <w:t>2018</w:t>
            </w:r>
          </w:p>
        </w:tc>
        <w:tc>
          <w:tcPr>
            <w:tcW w:w="20" w:type="dxa"/>
            <w:vAlign w:val="bottom"/>
          </w:tcPr>
          <w:p>
            <w:pPr>
              <w:spacing w:after="0"/>
              <w:rPr>
                <w:sz w:val="20"/>
                <w:szCs w:val="20"/>
                <w:color w:val="auto"/>
              </w:rPr>
            </w:pPr>
          </w:p>
        </w:tc>
      </w:tr>
      <w:tr>
        <w:trPr>
          <w:trHeight w:val="460"/>
        </w:trPr>
        <w:tc>
          <w:tcPr>
            <w:tcW w:w="4540" w:type="dxa"/>
            <w:vAlign w:val="bottom"/>
          </w:tcPr>
          <w:p>
            <w:pPr>
              <w:spacing w:after="0"/>
              <w:rPr>
                <w:sz w:val="20"/>
                <w:szCs w:val="20"/>
                <w:color w:val="auto"/>
              </w:rPr>
            </w:pPr>
            <w:r>
              <w:rPr>
                <w:rFonts w:ascii="Trebuchet MS" w:cs="Trebuchet MS" w:eastAsia="Trebuchet MS" w:hAnsi="Trebuchet MS"/>
                <w:sz w:val="18"/>
                <w:szCs w:val="18"/>
                <w:b w:val="1"/>
                <w:bCs w:val="1"/>
                <w:color w:val="auto"/>
              </w:rPr>
              <w:t>Liability for Asset Retirement Obligations,</w:t>
            </w:r>
          </w:p>
        </w:tc>
        <w:tc>
          <w:tcPr>
            <w:tcW w:w="5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540" w:type="dxa"/>
            <w:vAlign w:val="bottom"/>
          </w:tcPr>
          <w:p>
            <w:pPr>
              <w:ind w:left="180"/>
              <w:spacing w:after="0"/>
              <w:rPr>
                <w:sz w:val="20"/>
                <w:szCs w:val="20"/>
                <w:color w:val="auto"/>
              </w:rPr>
            </w:pPr>
            <w:r>
              <w:rPr>
                <w:rFonts w:ascii="Trebuchet MS" w:cs="Trebuchet MS" w:eastAsia="Trebuchet MS" w:hAnsi="Trebuchet MS"/>
                <w:sz w:val="18"/>
                <w:szCs w:val="18"/>
                <w:b w:val="1"/>
                <w:bCs w:val="1"/>
                <w:color w:val="auto"/>
              </w:rPr>
              <w:t>Beginning of Year</w:t>
            </w:r>
          </w:p>
        </w:tc>
        <w:tc>
          <w:tcPr>
            <w:tcW w:w="5120" w:type="dxa"/>
            <w:vAlign w:val="bottom"/>
          </w:tcPr>
          <w:p>
            <w:pPr>
              <w:jc w:val="right"/>
              <w:ind w:right="250"/>
              <w:spacing w:after="0"/>
              <w:rPr>
                <w:sz w:val="20"/>
                <w:szCs w:val="20"/>
                <w:color w:val="auto"/>
              </w:rPr>
            </w:pPr>
            <w:r>
              <w:rPr>
                <w:rFonts w:ascii="Trebuchet MS" w:cs="Trebuchet MS" w:eastAsia="Trebuchet MS" w:hAnsi="Trebuchet MS"/>
                <w:sz w:val="18"/>
                <w:szCs w:val="18"/>
                <w:color w:val="auto"/>
              </w:rPr>
              <w:t>$</w:t>
            </w:r>
          </w:p>
        </w:tc>
        <w:tc>
          <w:tcPr>
            <w:tcW w:w="158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5,955</w:t>
            </w:r>
          </w:p>
        </w:tc>
        <w:tc>
          <w:tcPr>
            <w:tcW w:w="20" w:type="dxa"/>
            <w:vAlign w:val="bottom"/>
          </w:tcPr>
          <w:p>
            <w:pPr>
              <w:spacing w:after="0"/>
              <w:rPr>
                <w:sz w:val="19"/>
                <w:szCs w:val="19"/>
                <w:color w:val="auto"/>
              </w:rPr>
            </w:pPr>
          </w:p>
        </w:tc>
      </w:tr>
      <w:tr>
        <w:trPr>
          <w:trHeight w:val="227"/>
        </w:trPr>
        <w:tc>
          <w:tcPr>
            <w:tcW w:w="4540" w:type="dxa"/>
            <w:vAlign w:val="bottom"/>
          </w:tcPr>
          <w:p>
            <w:pPr>
              <w:ind w:left="260"/>
              <w:spacing w:after="0"/>
              <w:rPr>
                <w:sz w:val="20"/>
                <w:szCs w:val="20"/>
                <w:color w:val="auto"/>
              </w:rPr>
            </w:pPr>
            <w:r>
              <w:rPr>
                <w:rFonts w:ascii="Trebuchet MS" w:cs="Trebuchet MS" w:eastAsia="Trebuchet MS" w:hAnsi="Trebuchet MS"/>
                <w:sz w:val="18"/>
                <w:szCs w:val="18"/>
                <w:color w:val="auto"/>
              </w:rPr>
              <w:t>Accretion expense</w:t>
            </w:r>
          </w:p>
        </w:tc>
        <w:tc>
          <w:tcPr>
            <w:tcW w:w="512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688</w:t>
            </w:r>
          </w:p>
        </w:tc>
        <w:tc>
          <w:tcPr>
            <w:tcW w:w="20" w:type="dxa"/>
            <w:vAlign w:val="bottom"/>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Trebuchet MS" w:cs="Trebuchet MS" w:eastAsia="Trebuchet MS" w:hAnsi="Trebuchet MS"/>
                <w:sz w:val="18"/>
                <w:szCs w:val="18"/>
                <w:color w:val="auto"/>
              </w:rPr>
              <w:t>Additions</w:t>
            </w:r>
          </w:p>
        </w:tc>
        <w:tc>
          <w:tcPr>
            <w:tcW w:w="512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53</w:t>
            </w:r>
          </w:p>
        </w:tc>
        <w:tc>
          <w:tcPr>
            <w:tcW w:w="20" w:type="dxa"/>
            <w:vAlign w:val="bottom"/>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Trebuchet MS" w:cs="Trebuchet MS" w:eastAsia="Trebuchet MS" w:hAnsi="Trebuchet MS"/>
                <w:sz w:val="18"/>
                <w:szCs w:val="18"/>
                <w:color w:val="auto"/>
              </w:rPr>
              <w:t>Obligations for wells sold and abandon</w:t>
            </w:r>
          </w:p>
        </w:tc>
        <w:tc>
          <w:tcPr>
            <w:tcW w:w="5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rebuchet MS" w:cs="Trebuchet MS" w:eastAsia="Trebuchet MS" w:hAnsi="Trebuchet MS"/>
                <w:sz w:val="18"/>
                <w:szCs w:val="18"/>
                <w:color w:val="auto"/>
              </w:rPr>
              <w:t>(1,431)</w:t>
            </w:r>
          </w:p>
        </w:tc>
        <w:tc>
          <w:tcPr>
            <w:tcW w:w="20" w:type="dxa"/>
            <w:vAlign w:val="bottom"/>
          </w:tcPr>
          <w:p>
            <w:pPr>
              <w:spacing w:after="0"/>
              <w:rPr>
                <w:sz w:val="19"/>
                <w:szCs w:val="19"/>
                <w:color w:val="auto"/>
              </w:rPr>
            </w:pPr>
          </w:p>
        </w:tc>
      </w:tr>
      <w:tr>
        <w:trPr>
          <w:trHeight w:val="231"/>
        </w:trPr>
        <w:tc>
          <w:tcPr>
            <w:tcW w:w="4540" w:type="dxa"/>
            <w:vAlign w:val="bottom"/>
            <w:tcBorders>
              <w:bottom w:val="single" w:sz="8" w:color="auto"/>
            </w:tcBorders>
          </w:tcPr>
          <w:p>
            <w:pPr>
              <w:ind w:left="260"/>
              <w:spacing w:after="0"/>
              <w:rPr>
                <w:sz w:val="20"/>
                <w:szCs w:val="20"/>
                <w:color w:val="auto"/>
              </w:rPr>
            </w:pPr>
            <w:r>
              <w:rPr>
                <w:rFonts w:ascii="Trebuchet MS" w:cs="Trebuchet MS" w:eastAsia="Trebuchet MS" w:hAnsi="Trebuchet MS"/>
                <w:sz w:val="18"/>
                <w:szCs w:val="18"/>
                <w:color w:val="auto"/>
              </w:rPr>
              <w:t>Changes in estimates</w:t>
            </w:r>
          </w:p>
        </w:tc>
        <w:tc>
          <w:tcPr>
            <w:tcW w:w="5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60</w:t>
            </w:r>
          </w:p>
        </w:tc>
        <w:tc>
          <w:tcPr>
            <w:tcW w:w="20" w:type="dxa"/>
            <w:vAlign w:val="bottom"/>
          </w:tcPr>
          <w:p>
            <w:pPr>
              <w:spacing w:after="0"/>
              <w:rPr>
                <w:sz w:val="20"/>
                <w:szCs w:val="20"/>
                <w:color w:val="auto"/>
              </w:rPr>
            </w:pPr>
          </w:p>
        </w:tc>
      </w:tr>
      <w:tr>
        <w:trPr>
          <w:trHeight w:val="460"/>
        </w:trPr>
        <w:tc>
          <w:tcPr>
            <w:tcW w:w="4540" w:type="dxa"/>
            <w:vAlign w:val="bottom"/>
          </w:tcPr>
          <w:p>
            <w:pPr>
              <w:spacing w:after="0"/>
              <w:rPr>
                <w:sz w:val="20"/>
                <w:szCs w:val="20"/>
                <w:color w:val="auto"/>
              </w:rPr>
            </w:pPr>
            <w:r>
              <w:rPr>
                <w:rFonts w:ascii="Trebuchet MS" w:cs="Trebuchet MS" w:eastAsia="Trebuchet MS" w:hAnsi="Trebuchet MS"/>
                <w:sz w:val="18"/>
                <w:szCs w:val="18"/>
                <w:b w:val="1"/>
                <w:bCs w:val="1"/>
                <w:color w:val="auto"/>
              </w:rPr>
              <w:t>Liability for Asset Retirement Obligations,</w:t>
            </w:r>
          </w:p>
        </w:tc>
        <w:tc>
          <w:tcPr>
            <w:tcW w:w="5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540" w:type="dxa"/>
            <w:vAlign w:val="bottom"/>
          </w:tcPr>
          <w:p>
            <w:pPr>
              <w:ind w:left="180"/>
              <w:spacing w:after="0"/>
              <w:rPr>
                <w:sz w:val="20"/>
                <w:szCs w:val="20"/>
                <w:color w:val="auto"/>
              </w:rPr>
            </w:pPr>
            <w:r>
              <w:rPr>
                <w:rFonts w:ascii="Trebuchet MS" w:cs="Trebuchet MS" w:eastAsia="Trebuchet MS" w:hAnsi="Trebuchet MS"/>
                <w:sz w:val="18"/>
                <w:szCs w:val="18"/>
                <w:b w:val="1"/>
                <w:bCs w:val="1"/>
                <w:color w:val="auto"/>
              </w:rPr>
              <w:t>End of Year</w:t>
            </w:r>
          </w:p>
        </w:tc>
        <w:tc>
          <w:tcPr>
            <w:tcW w:w="5120" w:type="dxa"/>
            <w:vAlign w:val="bottom"/>
          </w:tcPr>
          <w:p>
            <w:pPr>
              <w:spacing w:after="0"/>
              <w:rPr>
                <w:sz w:val="19"/>
                <w:szCs w:val="19"/>
                <w:color w:val="auto"/>
              </w:rPr>
            </w:pPr>
          </w:p>
        </w:tc>
        <w:tc>
          <w:tcPr>
            <w:tcW w:w="158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5,325</w:t>
            </w:r>
          </w:p>
        </w:tc>
        <w:tc>
          <w:tcPr>
            <w:tcW w:w="20" w:type="dxa"/>
            <w:vAlign w:val="bottom"/>
          </w:tcPr>
          <w:p>
            <w:pPr>
              <w:spacing w:after="0"/>
              <w:rPr>
                <w:sz w:val="19"/>
                <w:szCs w:val="19"/>
                <w:color w:val="auto"/>
              </w:rPr>
            </w:pPr>
          </w:p>
        </w:tc>
      </w:tr>
      <w:tr>
        <w:trPr>
          <w:trHeight w:val="459"/>
        </w:trPr>
        <w:tc>
          <w:tcPr>
            <w:tcW w:w="454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color w:val="auto"/>
              </w:rPr>
              <w:t>Less: current asset retirement obligations</w:t>
            </w:r>
          </w:p>
        </w:tc>
        <w:tc>
          <w:tcPr>
            <w:tcW w:w="5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427</w:t>
            </w:r>
          </w:p>
        </w:tc>
        <w:tc>
          <w:tcPr>
            <w:tcW w:w="20" w:type="dxa"/>
            <w:vAlign w:val="bottom"/>
          </w:tcPr>
          <w:p>
            <w:pPr>
              <w:spacing w:after="0"/>
              <w:rPr>
                <w:sz w:val="24"/>
                <w:szCs w:val="24"/>
                <w:color w:val="auto"/>
              </w:rPr>
            </w:pPr>
          </w:p>
        </w:tc>
      </w:tr>
      <w:tr>
        <w:trPr>
          <w:trHeight w:val="480"/>
        </w:trPr>
        <w:tc>
          <w:tcPr>
            <w:tcW w:w="454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Long-Term Asset Retirement Obligations</w:t>
            </w:r>
          </w:p>
        </w:tc>
        <w:tc>
          <w:tcPr>
            <w:tcW w:w="5120" w:type="dxa"/>
            <w:vAlign w:val="bottom"/>
            <w:tcBorders>
              <w:bottom w:val="single" w:sz="8" w:color="auto"/>
            </w:tcBorders>
          </w:tcPr>
          <w:p>
            <w:pPr>
              <w:jc w:val="right"/>
              <w:ind w:right="250"/>
              <w:spacing w:after="0"/>
              <w:rPr>
                <w:sz w:val="20"/>
                <w:szCs w:val="20"/>
                <w:color w:val="auto"/>
              </w:rPr>
            </w:pPr>
            <w:r>
              <w:rPr>
                <w:rFonts w:ascii="Trebuchet MS" w:cs="Trebuchet MS" w:eastAsia="Trebuchet MS" w:hAnsi="Trebuchet MS"/>
                <w:sz w:val="18"/>
                <w:szCs w:val="18"/>
                <w:color w:val="auto"/>
              </w:rPr>
              <w:t>$</w:t>
            </w:r>
          </w:p>
        </w:tc>
        <w:tc>
          <w:tcPr>
            <w:tcW w:w="158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4,898</w:t>
            </w:r>
          </w:p>
        </w:tc>
        <w:tc>
          <w:tcPr>
            <w:tcW w:w="20" w:type="dxa"/>
            <w:vAlign w:val="bottom"/>
          </w:tcPr>
          <w:p>
            <w:pPr>
              <w:spacing w:after="0"/>
              <w:rPr>
                <w:sz w:val="24"/>
                <w:szCs w:val="24"/>
                <w:color w:val="auto"/>
              </w:rPr>
            </w:pPr>
          </w:p>
        </w:tc>
      </w:tr>
      <w:tr>
        <w:trPr>
          <w:trHeight w:val="642"/>
        </w:trPr>
        <w:tc>
          <w:tcPr>
            <w:tcW w:w="4540" w:type="dxa"/>
            <w:vAlign w:val="bottom"/>
          </w:tcPr>
          <w:p>
            <w:pPr>
              <w:spacing w:after="0"/>
              <w:rPr>
                <w:sz w:val="24"/>
                <w:szCs w:val="24"/>
                <w:color w:val="auto"/>
              </w:rPr>
            </w:pPr>
          </w:p>
        </w:tc>
        <w:tc>
          <w:tcPr>
            <w:tcW w:w="5120" w:type="dxa"/>
            <w:vAlign w:val="bottom"/>
          </w:tcPr>
          <w:p>
            <w:pPr>
              <w:jc w:val="right"/>
              <w:ind w:right="3850"/>
              <w:spacing w:after="0"/>
              <w:rPr>
                <w:sz w:val="20"/>
                <w:szCs w:val="20"/>
                <w:color w:val="auto"/>
              </w:rPr>
            </w:pPr>
            <w:r>
              <w:rPr>
                <w:rFonts w:ascii="Trebuchet MS" w:cs="Trebuchet MS" w:eastAsia="Trebuchet MS" w:hAnsi="Trebuchet MS"/>
                <w:sz w:val="18"/>
                <w:szCs w:val="18"/>
                <w:b w:val="1"/>
                <w:bCs w:val="1"/>
                <w:color w:val="auto"/>
              </w:rPr>
              <w:t>12</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21"/>
        </w:trPr>
        <w:tc>
          <w:tcPr>
            <w:tcW w:w="4540" w:type="dxa"/>
            <w:vAlign w:val="bottom"/>
            <w:tcBorders>
              <w:bottom w:val="single" w:sz="8" w:color="9A9A9A"/>
            </w:tcBorders>
          </w:tcPr>
          <w:p>
            <w:pPr>
              <w:spacing w:after="0"/>
              <w:rPr>
                <w:sz w:val="10"/>
                <w:szCs w:val="10"/>
                <w:color w:val="auto"/>
              </w:rPr>
            </w:pPr>
          </w:p>
        </w:tc>
        <w:tc>
          <w:tcPr>
            <w:tcW w:w="51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36" w:right="319" w:bottom="1440" w:gutter="0" w:footer="0" w:header="0"/>
        </w:sectPr>
      </w:pPr>
    </w:p>
    <w:bookmarkStart w:id="162" w:name="page163"/>
    <w:bookmarkEnd w:id="162"/>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Revenue Recognition</w:t>
      </w:r>
    </w:p>
    <w:p>
      <w:pPr>
        <w:spacing w:after="0" w:line="202"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Oil and natural gas sales are recognized when production is sold to a purchaser at a fixed or determinable price, delivery has occurred, title has transferred, and collectability of the revenue is probable. Delivery occurs and title is transferred when production has been delivered to a pipeline, railcar or truck. The sales method of accounting is used for oil and natural gas sales such that revenues are recognized based on the Company’s share of actual proceeds from the oil and natural gas sold to purchasers. Oil and natural gas imbalances are generated on properties for which two or more owners have the right to take production “in-kind” and, in doing so take more or less than their respective entitled percentage. As of September 30, 2018, there were no significant oil and natural gas imbalances.</w:t>
      </w:r>
    </w:p>
    <w:p>
      <w:pPr>
        <w:spacing w:after="0" w:line="192"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Income Taxes</w:t>
      </w:r>
    </w:p>
    <w:p>
      <w:pPr>
        <w:spacing w:after="0" w:line="202"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RAM and its subsidiaries are disregarded subsidiaries of Holdings. As Holdings has elected to be classified as a corporation, a tax benefit has been calculated for the year ended September 30, 2018.</w:t>
      </w:r>
    </w:p>
    <w:p>
      <w:pPr>
        <w:spacing w:after="0" w:line="193"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The benefit for income taxes differs from the amount computed by applying the statutory federal income tax rate to loss before provision for income taxes. For the year ended September 30, 2018, the Company had a benefit for income taxes of $11.4 million, which was completely offset by a valuation allowance. The significant differences between pre-tax book income and taxable book income relate to non-deductible expenses, state income taxes, change in valuation allowance, the impact of 2018 tax reform, and other adjustments to deferred tax balances.</w:t>
      </w:r>
    </w:p>
    <w:p>
      <w:pPr>
        <w:spacing w:after="0" w:line="193"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sources and tax effects of the differences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0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i w:val="1"/>
                <w:iCs w:val="1"/>
                <w:color w:val="auto"/>
              </w:rPr>
              <w:t>Year Ended September 30,</w:t>
            </w:r>
          </w:p>
        </w:tc>
        <w:tc>
          <w:tcPr>
            <w:tcW w:w="2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690"/>
              <w:spacing w:after="0"/>
              <w:rPr>
                <w:sz w:val="20"/>
                <w:szCs w:val="20"/>
                <w:color w:val="auto"/>
              </w:rPr>
            </w:pPr>
            <w:r>
              <w:rPr>
                <w:rFonts w:ascii="Trebuchet MS" w:cs="Trebuchet MS" w:eastAsia="Trebuchet MS" w:hAnsi="Trebuchet MS"/>
                <w:sz w:val="18"/>
                <w:szCs w:val="18"/>
                <w:b w:val="1"/>
                <w:bCs w:val="1"/>
                <w:color w:val="auto"/>
              </w:rPr>
              <w:t>2018</w:t>
            </w:r>
          </w:p>
        </w:tc>
      </w:tr>
      <w:tr>
        <w:trPr>
          <w:trHeight w:val="464"/>
        </w:trPr>
        <w:tc>
          <w:tcPr>
            <w:tcW w:w="6800" w:type="dxa"/>
            <w:vAlign w:val="bottom"/>
          </w:tcPr>
          <w:p>
            <w:pPr>
              <w:spacing w:after="0"/>
              <w:rPr>
                <w:sz w:val="20"/>
                <w:szCs w:val="20"/>
                <w:color w:val="auto"/>
              </w:rPr>
            </w:pPr>
            <w:r>
              <w:rPr>
                <w:rFonts w:ascii="Trebuchet MS" w:cs="Trebuchet MS" w:eastAsia="Trebuchet MS" w:hAnsi="Trebuchet MS"/>
                <w:sz w:val="18"/>
                <w:szCs w:val="18"/>
                <w:color w:val="auto"/>
              </w:rPr>
              <w:t>Income tax benefit at the federal statutory rate (34%)</w:t>
            </w:r>
          </w:p>
        </w:tc>
        <w:tc>
          <w:tcPr>
            <w:tcW w:w="2880" w:type="dxa"/>
            <w:vAlign w:val="bottom"/>
          </w:tcPr>
          <w:p>
            <w:pPr>
              <w:jc w:val="right"/>
              <w:ind w:right="270"/>
              <w:spacing w:after="0"/>
              <w:rPr>
                <w:sz w:val="20"/>
                <w:szCs w:val="20"/>
                <w:color w:val="auto"/>
              </w:rPr>
            </w:pPr>
            <w:r>
              <w:rPr>
                <w:rFonts w:ascii="Trebuchet MS" w:cs="Trebuchet MS" w:eastAsia="Trebuchet MS" w:hAnsi="Trebuchet MS"/>
                <w:sz w:val="18"/>
                <w:szCs w:val="18"/>
                <w:color w:val="auto"/>
              </w:rPr>
              <w:t>$</w:t>
            </w:r>
          </w:p>
        </w:tc>
        <w:tc>
          <w:tcPr>
            <w:tcW w:w="1560" w:type="dxa"/>
            <w:vAlign w:val="bottom"/>
          </w:tcPr>
          <w:p>
            <w:pPr>
              <w:jc w:val="right"/>
              <w:ind w:right="10"/>
              <w:spacing w:after="0"/>
              <w:rPr>
                <w:sz w:val="20"/>
                <w:szCs w:val="20"/>
                <w:color w:val="auto"/>
              </w:rPr>
            </w:pPr>
            <w:r>
              <w:rPr>
                <w:rFonts w:ascii="Trebuchet MS" w:cs="Trebuchet MS" w:eastAsia="Trebuchet MS" w:hAnsi="Trebuchet MS"/>
                <w:sz w:val="18"/>
                <w:szCs w:val="18"/>
                <w:color w:val="auto"/>
              </w:rPr>
              <w:t>2,018</w:t>
            </w:r>
          </w:p>
        </w:tc>
      </w:tr>
      <w:tr>
        <w:trPr>
          <w:trHeight w:val="229"/>
        </w:trPr>
        <w:tc>
          <w:tcPr>
            <w:tcW w:w="6800" w:type="dxa"/>
            <w:vAlign w:val="bottom"/>
          </w:tcPr>
          <w:p>
            <w:pPr>
              <w:spacing w:after="0"/>
              <w:rPr>
                <w:sz w:val="20"/>
                <w:szCs w:val="20"/>
                <w:color w:val="auto"/>
              </w:rPr>
            </w:pPr>
            <w:r>
              <w:rPr>
                <w:rFonts w:ascii="Trebuchet MS" w:cs="Trebuchet MS" w:eastAsia="Trebuchet MS" w:hAnsi="Trebuchet MS"/>
                <w:sz w:val="18"/>
                <w:szCs w:val="18"/>
                <w:color w:val="auto"/>
              </w:rPr>
              <w:t>Impact of tax reform</w:t>
            </w:r>
          </w:p>
        </w:tc>
        <w:tc>
          <w:tcPr>
            <w:tcW w:w="28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rebuchet MS" w:cs="Trebuchet MS" w:eastAsia="Trebuchet MS" w:hAnsi="Trebuchet MS"/>
                <w:sz w:val="18"/>
                <w:szCs w:val="18"/>
                <w:color w:val="auto"/>
              </w:rPr>
              <w:t>(13,332)</w:t>
            </w:r>
          </w:p>
        </w:tc>
      </w:tr>
      <w:tr>
        <w:trPr>
          <w:trHeight w:val="230"/>
        </w:trPr>
        <w:tc>
          <w:tcPr>
            <w:tcW w:w="6800" w:type="dxa"/>
            <w:vAlign w:val="bottom"/>
          </w:tcPr>
          <w:p>
            <w:pPr>
              <w:spacing w:after="0"/>
              <w:rPr>
                <w:sz w:val="20"/>
                <w:szCs w:val="20"/>
                <w:color w:val="auto"/>
              </w:rPr>
            </w:pPr>
            <w:r>
              <w:rPr>
                <w:rFonts w:ascii="Trebuchet MS" w:cs="Trebuchet MS" w:eastAsia="Trebuchet MS" w:hAnsi="Trebuchet MS"/>
                <w:sz w:val="18"/>
                <w:szCs w:val="18"/>
                <w:color w:val="auto"/>
              </w:rPr>
              <w:t>Deferred tax true-ups</w:t>
            </w:r>
          </w:p>
        </w:tc>
        <w:tc>
          <w:tcPr>
            <w:tcW w:w="28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rebuchet MS" w:cs="Trebuchet MS" w:eastAsia="Trebuchet MS" w:hAnsi="Trebuchet MS"/>
                <w:sz w:val="18"/>
                <w:szCs w:val="18"/>
                <w:color w:val="auto"/>
              </w:rPr>
              <w:t>(141)</w:t>
            </w:r>
          </w:p>
        </w:tc>
      </w:tr>
      <w:tr>
        <w:trPr>
          <w:trHeight w:val="230"/>
        </w:trPr>
        <w:tc>
          <w:tcPr>
            <w:tcW w:w="6800" w:type="dxa"/>
            <w:vAlign w:val="bottom"/>
          </w:tcPr>
          <w:p>
            <w:pPr>
              <w:spacing w:after="0"/>
              <w:rPr>
                <w:sz w:val="20"/>
                <w:szCs w:val="20"/>
                <w:color w:val="auto"/>
              </w:rPr>
            </w:pPr>
            <w:r>
              <w:rPr>
                <w:rFonts w:ascii="Trebuchet MS" w:cs="Trebuchet MS" w:eastAsia="Trebuchet MS" w:hAnsi="Trebuchet MS"/>
                <w:sz w:val="18"/>
                <w:szCs w:val="18"/>
                <w:color w:val="auto"/>
              </w:rPr>
              <w:t>State income tax expense, net of federal benefit</w:t>
            </w:r>
          </w:p>
        </w:tc>
        <w:tc>
          <w:tcPr>
            <w:tcW w:w="2880" w:type="dxa"/>
            <w:vAlign w:val="bottom"/>
          </w:tcPr>
          <w:p>
            <w:pPr>
              <w:spacing w:after="0"/>
              <w:rPr>
                <w:sz w:val="19"/>
                <w:szCs w:val="19"/>
                <w:color w:val="auto"/>
              </w:rPr>
            </w:pPr>
          </w:p>
        </w:tc>
        <w:tc>
          <w:tcPr>
            <w:tcW w:w="1560" w:type="dxa"/>
            <w:vAlign w:val="bottom"/>
          </w:tcPr>
          <w:p>
            <w:pPr>
              <w:jc w:val="right"/>
              <w:ind w:right="10"/>
              <w:spacing w:after="0"/>
              <w:rPr>
                <w:sz w:val="20"/>
                <w:szCs w:val="20"/>
                <w:color w:val="auto"/>
              </w:rPr>
            </w:pPr>
            <w:r>
              <w:rPr>
                <w:rFonts w:ascii="Trebuchet MS" w:cs="Trebuchet MS" w:eastAsia="Trebuchet MS" w:hAnsi="Trebuchet MS"/>
                <w:sz w:val="18"/>
                <w:szCs w:val="18"/>
                <w:color w:val="auto"/>
              </w:rPr>
              <w:t>98</w:t>
            </w:r>
          </w:p>
        </w:tc>
      </w:tr>
      <w:tr>
        <w:trPr>
          <w:trHeight w:val="230"/>
        </w:trPr>
        <w:tc>
          <w:tcPr>
            <w:tcW w:w="6800" w:type="dxa"/>
            <w:vAlign w:val="bottom"/>
          </w:tcPr>
          <w:p>
            <w:pPr>
              <w:spacing w:after="0"/>
              <w:rPr>
                <w:sz w:val="20"/>
                <w:szCs w:val="20"/>
                <w:color w:val="auto"/>
              </w:rPr>
            </w:pPr>
            <w:r>
              <w:rPr>
                <w:rFonts w:ascii="Trebuchet MS" w:cs="Trebuchet MS" w:eastAsia="Trebuchet MS" w:hAnsi="Trebuchet MS"/>
                <w:sz w:val="18"/>
                <w:szCs w:val="18"/>
                <w:color w:val="auto"/>
              </w:rPr>
              <w:t>Other</w:t>
            </w:r>
          </w:p>
        </w:tc>
        <w:tc>
          <w:tcPr>
            <w:tcW w:w="28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rebuchet MS" w:cs="Trebuchet MS" w:eastAsia="Trebuchet MS" w:hAnsi="Trebuchet MS"/>
                <w:sz w:val="18"/>
                <w:szCs w:val="18"/>
                <w:color w:val="auto"/>
              </w:rPr>
              <w:t>(2)</w:t>
            </w:r>
          </w:p>
        </w:tc>
      </w:tr>
      <w:tr>
        <w:trPr>
          <w:trHeight w:val="231"/>
        </w:trPr>
        <w:tc>
          <w:tcPr>
            <w:tcW w:w="680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color w:val="auto"/>
              </w:rPr>
              <w:t>Valuation allowance</w:t>
            </w:r>
          </w:p>
        </w:tc>
        <w:tc>
          <w:tcPr>
            <w:tcW w:w="2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
              <w:spacing w:after="0"/>
              <w:rPr>
                <w:sz w:val="20"/>
                <w:szCs w:val="20"/>
                <w:color w:val="auto"/>
              </w:rPr>
            </w:pPr>
            <w:r>
              <w:rPr>
                <w:rFonts w:ascii="Trebuchet MS" w:cs="Trebuchet MS" w:eastAsia="Trebuchet MS" w:hAnsi="Trebuchet MS"/>
                <w:sz w:val="18"/>
                <w:szCs w:val="18"/>
                <w:color w:val="auto"/>
              </w:rPr>
              <w:t>11,359</w:t>
            </w:r>
          </w:p>
        </w:tc>
      </w:tr>
      <w:tr>
        <w:trPr>
          <w:trHeight w:val="480"/>
        </w:trPr>
        <w:tc>
          <w:tcPr>
            <w:tcW w:w="680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Income tax benefit</w:t>
            </w:r>
          </w:p>
        </w:tc>
        <w:tc>
          <w:tcPr>
            <w:tcW w:w="2880" w:type="dxa"/>
            <w:vAlign w:val="bottom"/>
            <w:tcBorders>
              <w:bottom w:val="single" w:sz="8" w:color="auto"/>
            </w:tcBorders>
          </w:tcPr>
          <w:p>
            <w:pPr>
              <w:jc w:val="right"/>
              <w:ind w:right="270"/>
              <w:spacing w:after="0"/>
              <w:rPr>
                <w:sz w:val="20"/>
                <w:szCs w:val="20"/>
                <w:color w:val="auto"/>
              </w:rPr>
            </w:pPr>
            <w:r>
              <w:rPr>
                <w:rFonts w:ascii="Trebuchet MS" w:cs="Trebuchet MS" w:eastAsia="Trebuchet MS" w:hAnsi="Trebuchet MS"/>
                <w:sz w:val="18"/>
                <w:szCs w:val="18"/>
                <w:color w:val="auto"/>
              </w:rPr>
              <w:t>$</w:t>
            </w:r>
          </w:p>
        </w:tc>
        <w:tc>
          <w:tcPr>
            <w:tcW w:w="1560" w:type="dxa"/>
            <w:vAlign w:val="bottom"/>
            <w:tcBorders>
              <w:bottom w:val="single" w:sz="8" w:color="auto"/>
            </w:tcBorders>
          </w:tcPr>
          <w:p>
            <w:pPr>
              <w:jc w:val="right"/>
              <w:ind w:right="10"/>
              <w:spacing w:after="0"/>
              <w:rPr>
                <w:sz w:val="20"/>
                <w:szCs w:val="20"/>
                <w:color w:val="auto"/>
              </w:rPr>
            </w:pPr>
            <w:r>
              <w:rPr>
                <w:rFonts w:ascii="Trebuchet MS" w:cs="Trebuchet MS" w:eastAsia="Trebuchet MS" w:hAnsi="Trebuchet MS"/>
                <w:sz w:val="18"/>
                <w:szCs w:val="18"/>
                <w:color w:val="auto"/>
              </w:rPr>
              <w:t>–</w:t>
            </w:r>
          </w:p>
        </w:tc>
      </w:tr>
    </w:tbl>
    <w:p>
      <w:pPr>
        <w:spacing w:after="0" w:line="201"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Company’s income tax benefit was computed based on the federal statutory rate and the average state statutory rates, net of the related federal benefit. Deferred income taxes reflect the net tax effects of temporary differences between the carrying amounts of assets and liabilities for financial reporting purposes and the amounts used for income tax purposes.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3" w:name="page164"/>
    <w:bookmarkEnd w:id="163"/>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Significant components of the Company’s deferred tax assets and liabilities are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4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i w:val="1"/>
                <w:iCs w:val="1"/>
                <w:color w:val="auto"/>
              </w:rPr>
              <w:t>Year Ended September 30,</w:t>
            </w:r>
          </w:p>
        </w:tc>
        <w:tc>
          <w:tcPr>
            <w:tcW w:w="2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rebuchet MS" w:cs="Trebuchet MS" w:eastAsia="Trebuchet MS" w:hAnsi="Trebuchet MS"/>
                <w:sz w:val="18"/>
                <w:szCs w:val="18"/>
                <w:b w:val="1"/>
                <w:bCs w:val="1"/>
                <w:color w:val="auto"/>
              </w:rPr>
              <w:t>2018</w:t>
            </w:r>
          </w:p>
        </w:tc>
      </w:tr>
      <w:tr>
        <w:trPr>
          <w:trHeight w:val="464"/>
        </w:trPr>
        <w:tc>
          <w:tcPr>
            <w:tcW w:w="6840" w:type="dxa"/>
            <w:vAlign w:val="bottom"/>
          </w:tcPr>
          <w:p>
            <w:pPr>
              <w:spacing w:after="0"/>
              <w:rPr>
                <w:sz w:val="20"/>
                <w:szCs w:val="20"/>
                <w:color w:val="auto"/>
              </w:rPr>
            </w:pPr>
            <w:r>
              <w:rPr>
                <w:rFonts w:ascii="Trebuchet MS" w:cs="Trebuchet MS" w:eastAsia="Trebuchet MS" w:hAnsi="Trebuchet MS"/>
                <w:sz w:val="18"/>
                <w:szCs w:val="18"/>
                <w:color w:val="auto"/>
              </w:rPr>
              <w:t>Depreciable/depletable property, plant and equipment</w:t>
            </w:r>
          </w:p>
        </w:tc>
        <w:tc>
          <w:tcPr>
            <w:tcW w:w="2800" w:type="dxa"/>
            <w:vAlign w:val="bottom"/>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9,444</w:t>
            </w:r>
          </w:p>
        </w:tc>
      </w:tr>
      <w:tr>
        <w:trPr>
          <w:trHeight w:val="229"/>
        </w:trPr>
        <w:tc>
          <w:tcPr>
            <w:tcW w:w="6840" w:type="dxa"/>
            <w:vAlign w:val="bottom"/>
          </w:tcPr>
          <w:p>
            <w:pPr>
              <w:spacing w:after="0"/>
              <w:rPr>
                <w:sz w:val="20"/>
                <w:szCs w:val="20"/>
                <w:color w:val="auto"/>
              </w:rPr>
            </w:pPr>
            <w:r>
              <w:rPr>
                <w:rFonts w:ascii="Trebuchet MS" w:cs="Trebuchet MS" w:eastAsia="Trebuchet MS" w:hAnsi="Trebuchet MS"/>
                <w:sz w:val="18"/>
                <w:szCs w:val="18"/>
                <w:color w:val="auto"/>
              </w:rPr>
              <w:t>Asset retirement obligation</w:t>
            </w:r>
          </w:p>
        </w:tc>
        <w:tc>
          <w:tcPr>
            <w:tcW w:w="280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1,654</w:t>
            </w:r>
          </w:p>
        </w:tc>
      </w:tr>
      <w:tr>
        <w:trPr>
          <w:trHeight w:val="230"/>
        </w:trPr>
        <w:tc>
          <w:tcPr>
            <w:tcW w:w="6840" w:type="dxa"/>
            <w:vAlign w:val="bottom"/>
          </w:tcPr>
          <w:p>
            <w:pPr>
              <w:spacing w:after="0"/>
              <w:rPr>
                <w:sz w:val="20"/>
                <w:szCs w:val="20"/>
                <w:color w:val="auto"/>
              </w:rPr>
            </w:pPr>
            <w:r>
              <w:rPr>
                <w:rFonts w:ascii="Trebuchet MS" w:cs="Trebuchet MS" w:eastAsia="Trebuchet MS" w:hAnsi="Trebuchet MS"/>
                <w:sz w:val="18"/>
                <w:szCs w:val="18"/>
                <w:color w:val="auto"/>
              </w:rPr>
              <w:t>Derivative assets</w:t>
            </w:r>
          </w:p>
        </w:tc>
        <w:tc>
          <w:tcPr>
            <w:tcW w:w="280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472</w:t>
            </w:r>
          </w:p>
        </w:tc>
      </w:tr>
      <w:tr>
        <w:trPr>
          <w:trHeight w:val="229"/>
        </w:trPr>
        <w:tc>
          <w:tcPr>
            <w:tcW w:w="6840" w:type="dxa"/>
            <w:vAlign w:val="bottom"/>
          </w:tcPr>
          <w:p>
            <w:pPr>
              <w:spacing w:after="0"/>
              <w:rPr>
                <w:sz w:val="20"/>
                <w:szCs w:val="20"/>
                <w:color w:val="auto"/>
              </w:rPr>
            </w:pPr>
            <w:r>
              <w:rPr>
                <w:rFonts w:ascii="Trebuchet MS" w:cs="Trebuchet MS" w:eastAsia="Trebuchet MS" w:hAnsi="Trebuchet MS"/>
                <w:sz w:val="18"/>
                <w:szCs w:val="18"/>
                <w:color w:val="auto"/>
              </w:rPr>
              <w:t>Reserves and other</w:t>
            </w:r>
          </w:p>
        </w:tc>
        <w:tc>
          <w:tcPr>
            <w:tcW w:w="2800" w:type="dxa"/>
            <w:vAlign w:val="bottom"/>
          </w:tcPr>
          <w:p>
            <w:pPr>
              <w:spacing w:after="0"/>
              <w:rPr>
                <w:sz w:val="19"/>
                <w:szCs w:val="19"/>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31</w:t>
            </w:r>
          </w:p>
        </w:tc>
      </w:tr>
      <w:tr>
        <w:trPr>
          <w:trHeight w:val="231"/>
        </w:trPr>
        <w:tc>
          <w:tcPr>
            <w:tcW w:w="684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color w:val="auto"/>
              </w:rPr>
              <w:t>Net operating loss carryforward</w:t>
            </w:r>
          </w:p>
        </w:tc>
        <w:tc>
          <w:tcPr>
            <w:tcW w:w="2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11,214</w:t>
            </w:r>
          </w:p>
        </w:tc>
      </w:tr>
      <w:tr>
        <w:trPr>
          <w:trHeight w:val="235"/>
        </w:trPr>
        <w:tc>
          <w:tcPr>
            <w:tcW w:w="6840" w:type="dxa"/>
            <w:vAlign w:val="bottom"/>
          </w:tcPr>
          <w:p>
            <w:pPr>
              <w:spacing w:after="0"/>
              <w:rPr>
                <w:sz w:val="20"/>
                <w:szCs w:val="20"/>
                <w:color w:val="auto"/>
              </w:rPr>
            </w:pPr>
            <w:r>
              <w:rPr>
                <w:rFonts w:ascii="Trebuchet MS" w:cs="Trebuchet MS" w:eastAsia="Trebuchet MS" w:hAnsi="Trebuchet MS"/>
                <w:sz w:val="18"/>
                <w:szCs w:val="18"/>
                <w:color w:val="auto"/>
              </w:rPr>
              <w:t>Total noncurrent deferred tax assets</w:t>
            </w:r>
          </w:p>
        </w:tc>
        <w:tc>
          <w:tcPr>
            <w:tcW w:w="2800" w:type="dxa"/>
            <w:vAlign w:val="bottom"/>
          </w:tcPr>
          <w:p>
            <w:pPr>
              <w:spacing w:after="0"/>
              <w:rPr>
                <w:sz w:val="20"/>
                <w:szCs w:val="20"/>
                <w:color w:val="auto"/>
              </w:rPr>
            </w:pP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22,815</w:t>
            </w:r>
          </w:p>
        </w:tc>
      </w:tr>
      <w:tr>
        <w:trPr>
          <w:trHeight w:val="231"/>
        </w:trPr>
        <w:tc>
          <w:tcPr>
            <w:tcW w:w="684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color w:val="auto"/>
              </w:rPr>
              <w:t>Valuation allowance</w:t>
            </w:r>
          </w:p>
        </w:tc>
        <w:tc>
          <w:tcPr>
            <w:tcW w:w="28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rebuchet MS" w:cs="Trebuchet MS" w:eastAsia="Trebuchet MS" w:hAnsi="Trebuchet MS"/>
                <w:sz w:val="18"/>
                <w:szCs w:val="18"/>
                <w:color w:val="auto"/>
              </w:rPr>
              <w:t>(22,815)</w:t>
            </w:r>
          </w:p>
        </w:tc>
      </w:tr>
      <w:tr>
        <w:trPr>
          <w:trHeight w:val="479"/>
        </w:trPr>
        <w:tc>
          <w:tcPr>
            <w:tcW w:w="684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b w:val="1"/>
                <w:bCs w:val="1"/>
                <w:color w:val="auto"/>
              </w:rPr>
              <w:t>Net noncurrent deferred tax assets</w:t>
            </w:r>
          </w:p>
        </w:tc>
        <w:tc>
          <w:tcPr>
            <w:tcW w:w="2800" w:type="dxa"/>
            <w:vAlign w:val="bottom"/>
            <w:tcBorders>
              <w:bottom w:val="single" w:sz="8" w:color="auto"/>
            </w:tcBorders>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w:t>
            </w:r>
          </w:p>
        </w:tc>
      </w:tr>
    </w:tbl>
    <w:p>
      <w:pPr>
        <w:spacing w:after="0" w:line="201"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As of September 30, 2018, the Company has a net operating loss carryforward of approximately $50 million for federal income tax reporting purposes. Of this amount, $31.4 million will begin to expire in 2036 and $18.6 million has an indefinite carryforward period, but only has the availability to offset future income of up to 80% in any single year. The 2018 Tax Cuts and Jobs Act changed the rules related to uses and limitations of net operating loss carryforwards created in tax years beginning after December 31, 2017. Based on the history of losses of the predecessor entity and the continued depression of oil and gas prices, the Company concluded it was not more likely than not that the net operating loss carryforwards would be utilized; accordingly, a valuation allowance was recorded. In addition, the Company has generated a net operating loss carryforward for state income tax purposes, which the Company believes will not be realized during the relevant carryforward periods; however, such amounts have not been separately disclosed in the consolidated financial statements as the Company does not believe that these net operating losses are material to the amounts presented herein.</w:t>
      </w:r>
    </w:p>
    <w:p>
      <w:pPr>
        <w:spacing w:after="0" w:line="193"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A valuation allowance has been established with respect to the portion of the deferred tax asset associated with tax basis in excess of carrying value of the Company’s assets for which the Company currently does not reasonably believe under the deferred tax asset realization criteria set forth in Topic 740 that it will more likely than not realize a benefit in future periods. During the year ended September 30, 2018, the Company recorded a valuation allowance of $22.8 million.</w:t>
      </w:r>
    </w:p>
    <w:p>
      <w:pPr>
        <w:spacing w:after="0" w:line="195"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Each income tax position is assessed using a two-step process. A determination is first made as to whether it is more likely than not that the income tax position will be sustained, based upon technical merits, upon examination by the taxing authorities. If the income tax position is expected to meet the more likely than not criteria, the benefit recorded in the consolidated financial statements equals the largest amount that is greater than 50 percent likely to be realized upon its ultimate settlement. The Company had no uncertain tax positions as of September 30, 2018.</w:t>
      </w:r>
    </w:p>
    <w:p>
      <w:pPr>
        <w:spacing w:after="0" w:line="193"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The Company’s federal and state tax returns from its inception remain subject to examination by the applicable tax authorities.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4" w:name="page165"/>
    <w:bookmarkEnd w:id="164"/>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65" w:lineRule="exact"/>
        <w:rPr>
          <w:sz w:val="20"/>
          <w:szCs w:val="20"/>
          <w:color w:val="auto"/>
        </w:rPr>
      </w:pPr>
    </w:p>
    <w:p>
      <w:pPr>
        <w:ind w:left="860" w:hanging="852"/>
        <w:spacing w:after="0"/>
        <w:tabs>
          <w:tab w:leader="none" w:pos="860" w:val="left"/>
        </w:tabs>
        <w:numPr>
          <w:ilvl w:val="0"/>
          <w:numId w:val="149"/>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Fair Value Measurements</w:t>
      </w:r>
    </w:p>
    <w:p>
      <w:pPr>
        <w:spacing w:after="0" w:line="210"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There is a three-level valuation hierarchy for disclosure of fair value measurements. The valuation hierarchy categorizes assets and liabilities measured at fair value into one of three different levels depending on the observability of the inputs employed in the measurement. The three levels are defined as follows:</w:t>
      </w:r>
    </w:p>
    <w:p>
      <w:pPr>
        <w:spacing w:after="0" w:line="188" w:lineRule="exact"/>
        <w:rPr>
          <w:sz w:val="20"/>
          <w:szCs w:val="20"/>
          <w:color w:val="auto"/>
        </w:rPr>
      </w:pPr>
    </w:p>
    <w:p>
      <w:pPr>
        <w:jc w:val="both"/>
        <w:ind w:left="880"/>
        <w:spacing w:after="0" w:line="246" w:lineRule="auto"/>
        <w:rPr>
          <w:sz w:val="20"/>
          <w:szCs w:val="20"/>
          <w:color w:val="auto"/>
        </w:rPr>
      </w:pPr>
      <w:r>
        <w:rPr>
          <w:rFonts w:ascii="Trebuchet MS" w:cs="Trebuchet MS" w:eastAsia="Trebuchet MS" w:hAnsi="Trebuchet MS"/>
          <w:sz w:val="19"/>
          <w:szCs w:val="19"/>
          <w:b w:val="1"/>
          <w:bCs w:val="1"/>
          <w:color w:val="auto"/>
        </w:rPr>
        <w:t xml:space="preserve">Level 1 </w:t>
      </w:r>
      <w:r>
        <w:rPr>
          <w:rFonts w:ascii="Trebuchet MS" w:cs="Trebuchet MS" w:eastAsia="Trebuchet MS" w:hAnsi="Trebuchet MS"/>
          <w:sz w:val="19"/>
          <w:szCs w:val="19"/>
          <w:color w:val="auto"/>
        </w:rPr>
        <w:t>- inputs to the valuation methodology are quoted prices (unadjusted) for identical assets or liabilities in</w:t>
      </w:r>
      <w:r>
        <w:rPr>
          <w:rFonts w:ascii="Trebuchet MS" w:cs="Trebuchet MS" w:eastAsia="Trebuchet MS" w:hAnsi="Trebuchet MS"/>
          <w:sz w:val="19"/>
          <w:szCs w:val="19"/>
          <w:b w:val="1"/>
          <w:bCs w:val="1"/>
          <w:color w:val="auto"/>
        </w:rPr>
        <w:t xml:space="preserve"> </w:t>
      </w:r>
      <w:r>
        <w:rPr>
          <w:rFonts w:ascii="Trebuchet MS" w:cs="Trebuchet MS" w:eastAsia="Trebuchet MS" w:hAnsi="Trebuchet MS"/>
          <w:sz w:val="19"/>
          <w:szCs w:val="19"/>
          <w:color w:val="auto"/>
        </w:rPr>
        <w:t>active markets.</w:t>
      </w:r>
    </w:p>
    <w:p>
      <w:pPr>
        <w:spacing w:after="0" w:line="182" w:lineRule="exact"/>
        <w:rPr>
          <w:sz w:val="20"/>
          <w:szCs w:val="20"/>
          <w:color w:val="auto"/>
        </w:rPr>
      </w:pPr>
    </w:p>
    <w:p>
      <w:pPr>
        <w:jc w:val="both"/>
        <w:ind w:left="880"/>
        <w:spacing w:after="0"/>
        <w:rPr>
          <w:sz w:val="20"/>
          <w:szCs w:val="20"/>
          <w:color w:val="auto"/>
        </w:rPr>
      </w:pPr>
      <w:r>
        <w:rPr>
          <w:rFonts w:ascii="Trebuchet MS" w:cs="Trebuchet MS" w:eastAsia="Trebuchet MS" w:hAnsi="Trebuchet MS"/>
          <w:sz w:val="19"/>
          <w:szCs w:val="19"/>
          <w:b w:val="1"/>
          <w:bCs w:val="1"/>
          <w:color w:val="auto"/>
        </w:rPr>
        <w:t xml:space="preserve">Level 2 </w:t>
      </w:r>
      <w:r>
        <w:rPr>
          <w:rFonts w:ascii="Trebuchet MS" w:cs="Trebuchet MS" w:eastAsia="Trebuchet MS" w:hAnsi="Trebuchet MS"/>
          <w:sz w:val="19"/>
          <w:szCs w:val="19"/>
          <w:color w:val="auto"/>
        </w:rPr>
        <w:t>- inputs to the valuation methodology include quoted prices for similar assets and liabilities in active</w:t>
      </w:r>
      <w:r>
        <w:rPr>
          <w:rFonts w:ascii="Trebuchet MS" w:cs="Trebuchet MS" w:eastAsia="Trebuchet MS" w:hAnsi="Trebuchet MS"/>
          <w:sz w:val="19"/>
          <w:szCs w:val="19"/>
          <w:b w:val="1"/>
          <w:bCs w:val="1"/>
          <w:color w:val="auto"/>
        </w:rPr>
        <w:t xml:space="preserve"> </w:t>
      </w:r>
      <w:r>
        <w:rPr>
          <w:rFonts w:ascii="Trebuchet MS" w:cs="Trebuchet MS" w:eastAsia="Trebuchet MS" w:hAnsi="Trebuchet MS"/>
          <w:sz w:val="19"/>
          <w:szCs w:val="19"/>
          <w:color w:val="auto"/>
        </w:rPr>
        <w:t>markets, and inputs that are observable for the asset or liability, either directly or indirectly, for substantially the full term of the financial instrument.</w:t>
      </w:r>
    </w:p>
    <w:p>
      <w:pPr>
        <w:spacing w:after="0" w:line="189" w:lineRule="exact"/>
        <w:rPr>
          <w:sz w:val="20"/>
          <w:szCs w:val="20"/>
          <w:color w:val="auto"/>
        </w:rPr>
      </w:pPr>
    </w:p>
    <w:p>
      <w:pPr>
        <w:ind w:left="880"/>
        <w:spacing w:after="0"/>
        <w:rPr>
          <w:sz w:val="20"/>
          <w:szCs w:val="20"/>
          <w:color w:val="auto"/>
        </w:rPr>
      </w:pPr>
      <w:r>
        <w:rPr>
          <w:rFonts w:ascii="Trebuchet MS" w:cs="Trebuchet MS" w:eastAsia="Trebuchet MS" w:hAnsi="Trebuchet MS"/>
          <w:sz w:val="19"/>
          <w:szCs w:val="19"/>
          <w:b w:val="1"/>
          <w:bCs w:val="1"/>
          <w:color w:val="auto"/>
        </w:rPr>
        <w:t xml:space="preserve">Level 3 </w:t>
      </w:r>
      <w:r>
        <w:rPr>
          <w:rFonts w:ascii="Trebuchet MS" w:cs="Trebuchet MS" w:eastAsia="Trebuchet MS" w:hAnsi="Trebuchet MS"/>
          <w:sz w:val="19"/>
          <w:szCs w:val="19"/>
          <w:color w:val="auto"/>
        </w:rPr>
        <w:t>- inputs to the valuation methodology are unobservable and significant to the fair  value measurement.</w:t>
      </w:r>
    </w:p>
    <w:p>
      <w:pPr>
        <w:spacing w:after="0" w:line="204"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judgment and considers factors specific to the asset or liability.</w:t>
      </w:r>
    </w:p>
    <w:p>
      <w:pPr>
        <w:spacing w:after="0" w:line="194"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At September 30, 2018, the carrying value of cash, restricted cash, receivables and payables reflected in the Company’s consolidated financial statements approximates fair value due to their short-term nature. Additionally, we believe that the carrying value of the Company’s long-term debt under the credit facility approximates fair value because the credit facility carries an interest rate that approximate current market rates. The long-term debt is classified as Level 2.</w:t>
      </w:r>
    </w:p>
    <w:p>
      <w:pPr>
        <w:spacing w:after="0" w:line="391" w:lineRule="exact"/>
        <w:rPr>
          <w:sz w:val="20"/>
          <w:szCs w:val="20"/>
          <w:color w:val="auto"/>
        </w:rPr>
      </w:pPr>
    </w:p>
    <w:p>
      <w:pPr>
        <w:ind w:left="860" w:hanging="852"/>
        <w:spacing w:after="0"/>
        <w:tabs>
          <w:tab w:leader="none" w:pos="860" w:val="left"/>
        </w:tabs>
        <w:numPr>
          <w:ilvl w:val="0"/>
          <w:numId w:val="150"/>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Acquisitions and Divestitures</w:t>
      </w:r>
    </w:p>
    <w:p>
      <w:pPr>
        <w:spacing w:after="0" w:line="206"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Fayette Acquisition</w:t>
      </w:r>
    </w:p>
    <w:p>
      <w:pPr>
        <w:spacing w:after="0" w:line="202"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The Company closed on the purchase of additional acreage in Fayette County, Texas for $0.8 million and $2.0 million in October 2017 and June 2018, respectively. The acreage will be used in the new drilling program. See Note 5.</w:t>
      </w:r>
    </w:p>
    <w:p>
      <w:pPr>
        <w:spacing w:after="0" w:line="189"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Logansport Dispositions</w:t>
      </w:r>
    </w:p>
    <w:p>
      <w:pPr>
        <w:spacing w:after="0" w:line="202"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In March 2018, the Company closed on the sale of certain operated crude oil and natural gas property located in the DeSoto parish of Louisiana for $3.2 million net proceeds (prior to closing adjustments). In June 2018, the Company closed on the sale of certain mineral interests located in the DeSoto parish of Louisiana for $0.6 million. Both transactions reduced the full cost pool by the net proceeds in accordance with the full cost method of accounting. The proceeds were used for general corporate purposes.</w:t>
      </w:r>
    </w:p>
    <w:p>
      <w:pPr>
        <w:spacing w:after="0" w:line="191"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Dull Knife Disposition</w:t>
      </w:r>
    </w:p>
    <w:p>
      <w:pPr>
        <w:spacing w:after="0" w:line="202"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In March 2018, the Company closed on the sale of certain oil and natural gas properties located in Winkler County, Texas for $240 thousand. The full cost pool was reduced by the net proceeds in accordance with the full cost method of accounting.</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5" w:name="page166"/>
    <w:bookmarkEnd w:id="165"/>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Yoakum County Disposition</w:t>
      </w:r>
    </w:p>
    <w:p>
      <w:pPr>
        <w:spacing w:after="0" w:line="202"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In March 2018, the Company leased mineral interest properties located in Yoakum County, Texas for $40 thousand. The full cost pool was reduced by the net proceeds in accordance with the full cost method of accounting.</w:t>
      </w:r>
    </w:p>
    <w:p>
      <w:pPr>
        <w:spacing w:after="0" w:line="189"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Harris County Disposition</w:t>
      </w:r>
    </w:p>
    <w:p>
      <w:pPr>
        <w:spacing w:after="0" w:line="202"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In March 2018, the Company closed on the sale of certain oil and natural gas properties located in Harris County, Texas for $100 thousand. The full cost pool was reduced by the net proceeds in accordance with the full cost method of accounting.</w:t>
      </w:r>
    </w:p>
    <w:p>
      <w:pPr>
        <w:spacing w:after="0" w:line="389" w:lineRule="exact"/>
        <w:rPr>
          <w:sz w:val="20"/>
          <w:szCs w:val="20"/>
          <w:color w:val="auto"/>
        </w:rPr>
      </w:pPr>
    </w:p>
    <w:p>
      <w:pPr>
        <w:ind w:left="860" w:hanging="852"/>
        <w:spacing w:after="0"/>
        <w:tabs>
          <w:tab w:leader="none" w:pos="860" w:val="left"/>
        </w:tabs>
        <w:numPr>
          <w:ilvl w:val="0"/>
          <w:numId w:val="151"/>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Drilling Activity</w:t>
      </w:r>
    </w:p>
    <w:p>
      <w:pPr>
        <w:spacing w:after="0" w:line="210" w:lineRule="exact"/>
        <w:rPr>
          <w:sz w:val="20"/>
          <w:szCs w:val="20"/>
          <w:color w:val="auto"/>
        </w:rPr>
      </w:pPr>
    </w:p>
    <w:p>
      <w:pPr>
        <w:jc w:val="both"/>
        <w:spacing w:after="0" w:line="237" w:lineRule="auto"/>
        <w:rPr>
          <w:sz w:val="20"/>
          <w:szCs w:val="20"/>
          <w:color w:val="auto"/>
        </w:rPr>
      </w:pPr>
      <w:r>
        <w:rPr>
          <w:rFonts w:ascii="Trebuchet MS" w:cs="Trebuchet MS" w:eastAsia="Trebuchet MS" w:hAnsi="Trebuchet MS"/>
          <w:sz w:val="19"/>
          <w:szCs w:val="19"/>
          <w:color w:val="auto"/>
        </w:rPr>
        <w:t>In July 2018, the Company began a program to drill four new wells in the Austin Chalk formation, two of which began producing in September and October 2018. Fayette was formed in September 2017 and is an owner in the new wells drilled, and Service was formed in June 2018 to invest in gathering and facilities infrastructure. RAM (dba RAMTex Energy LLC) is the operator of the Fayette wells. As operator, RAM collects revenue and pays expenses for the Fayette wells. RAM also distributes revenue and provides joint interest billings to Fayette and any non-operating partners for their interest in the Fayette wells.</w:t>
      </w:r>
    </w:p>
    <w:p>
      <w:pPr>
        <w:spacing w:after="0" w:line="193"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Fayette holds various ownership interests in the new wells. The joint operating agreements allow for prebilling partners for 100% of their share of the total AFE. Drilling advances received were $3.4 million as of September 30, 2018. Funding for the drilling program will be provided by borrowings on the revolving loan agreement, joint interest billings and production from the new wells.</w:t>
      </w:r>
    </w:p>
    <w:p>
      <w:pPr>
        <w:spacing w:after="0" w:line="194" w:lineRule="exact"/>
        <w:rPr>
          <w:sz w:val="20"/>
          <w:szCs w:val="20"/>
          <w:color w:val="auto"/>
        </w:rPr>
      </w:pPr>
    </w:p>
    <w:p>
      <w:pPr>
        <w:jc w:val="both"/>
        <w:ind w:right="20"/>
        <w:spacing w:after="0"/>
        <w:rPr>
          <w:sz w:val="20"/>
          <w:szCs w:val="20"/>
          <w:color w:val="auto"/>
        </w:rPr>
      </w:pPr>
      <w:r>
        <w:rPr>
          <w:rFonts w:ascii="Trebuchet MS" w:cs="Trebuchet MS" w:eastAsia="Trebuchet MS" w:hAnsi="Trebuchet MS"/>
          <w:sz w:val="19"/>
          <w:szCs w:val="19"/>
          <w:color w:val="auto"/>
        </w:rPr>
        <w:t>The first Fayette well, the Super T, was completed and producing the last 5 days in September 2018. The second Fayette well, the Tango, was spud August 25, 2018 and was producing in October 2018.</w:t>
      </w:r>
    </w:p>
    <w:p>
      <w:pPr>
        <w:spacing w:after="0" w:line="389" w:lineRule="exact"/>
        <w:rPr>
          <w:sz w:val="20"/>
          <w:szCs w:val="20"/>
          <w:color w:val="auto"/>
        </w:rPr>
      </w:pPr>
    </w:p>
    <w:p>
      <w:pPr>
        <w:ind w:left="860" w:hanging="852"/>
        <w:spacing w:after="0"/>
        <w:tabs>
          <w:tab w:leader="none" w:pos="860" w:val="left"/>
        </w:tabs>
        <w:numPr>
          <w:ilvl w:val="0"/>
          <w:numId w:val="152"/>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Long-Term Debt - Affiliate</w:t>
      </w:r>
    </w:p>
    <w:p>
      <w:pPr>
        <w:spacing w:after="0" w:line="210"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Long-term debt - affiliate consists of the following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40" w:type="dxa"/>
            <w:vAlign w:val="bottom"/>
            <w:tcBorders>
              <w:bottom w:val="single" w:sz="8" w:color="auto"/>
            </w:tcBorders>
            <w:gridSpan w:val="2"/>
          </w:tcPr>
          <w:p>
            <w:pPr>
              <w:spacing w:after="0"/>
              <w:rPr>
                <w:sz w:val="20"/>
                <w:szCs w:val="20"/>
                <w:color w:val="auto"/>
              </w:rPr>
            </w:pPr>
            <w:r>
              <w:rPr>
                <w:rFonts w:ascii="Trebuchet MS" w:cs="Trebuchet MS" w:eastAsia="Trebuchet MS" w:hAnsi="Trebuchet MS"/>
                <w:sz w:val="18"/>
                <w:szCs w:val="18"/>
                <w:b w:val="1"/>
                <w:bCs w:val="1"/>
                <w:i w:val="1"/>
                <w:iCs w:val="1"/>
                <w:color w:val="auto"/>
              </w:rPr>
              <w:t>September 30,</w:t>
            </w:r>
          </w:p>
        </w:tc>
        <w:tc>
          <w:tcPr>
            <w:tcW w:w="4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rebuchet MS" w:cs="Trebuchet MS" w:eastAsia="Trebuchet MS" w:hAnsi="Trebuchet MS"/>
                <w:sz w:val="18"/>
                <w:szCs w:val="18"/>
                <w:b w:val="1"/>
                <w:bCs w:val="1"/>
                <w:color w:val="auto"/>
              </w:rPr>
              <w:t>2018</w:t>
            </w:r>
          </w:p>
        </w:tc>
      </w:tr>
      <w:tr>
        <w:trPr>
          <w:trHeight w:val="465"/>
        </w:trPr>
        <w:tc>
          <w:tcPr>
            <w:tcW w:w="420" w:type="dxa"/>
            <w:vAlign w:val="bottom"/>
          </w:tcPr>
          <w:p>
            <w:pPr>
              <w:spacing w:after="0"/>
              <w:rPr>
                <w:sz w:val="20"/>
                <w:szCs w:val="20"/>
                <w:color w:val="auto"/>
              </w:rPr>
            </w:pPr>
            <w:r>
              <w:rPr>
                <w:rFonts w:ascii="Trebuchet MS" w:cs="Trebuchet MS" w:eastAsia="Trebuchet MS" w:hAnsi="Trebuchet MS"/>
                <w:sz w:val="18"/>
                <w:szCs w:val="18"/>
                <w:color w:val="auto"/>
              </w:rPr>
              <w:t>2017</w:t>
            </w:r>
          </w:p>
        </w:tc>
        <w:tc>
          <w:tcPr>
            <w:tcW w:w="5020" w:type="dxa"/>
            <w:vAlign w:val="bottom"/>
          </w:tcPr>
          <w:p>
            <w:pPr>
              <w:ind w:left="20"/>
              <w:spacing w:after="0"/>
              <w:rPr>
                <w:sz w:val="20"/>
                <w:szCs w:val="20"/>
                <w:color w:val="auto"/>
              </w:rPr>
            </w:pPr>
            <w:r>
              <w:rPr>
                <w:rFonts w:ascii="Trebuchet MS" w:cs="Trebuchet MS" w:eastAsia="Trebuchet MS" w:hAnsi="Trebuchet MS"/>
                <w:sz w:val="18"/>
                <w:szCs w:val="18"/>
                <w:color w:val="auto"/>
              </w:rPr>
              <w:t>Term Loan</w:t>
            </w:r>
          </w:p>
        </w:tc>
        <w:tc>
          <w:tcPr>
            <w:tcW w:w="4200" w:type="dxa"/>
            <w:vAlign w:val="bottom"/>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35,000</w:t>
            </w:r>
          </w:p>
        </w:tc>
      </w:tr>
      <w:tr>
        <w:trPr>
          <w:trHeight w:val="231"/>
        </w:trPr>
        <w:tc>
          <w:tcPr>
            <w:tcW w:w="420" w:type="dxa"/>
            <w:vAlign w:val="bottom"/>
            <w:tcBorders>
              <w:bottom w:val="single" w:sz="8" w:color="auto"/>
            </w:tcBorders>
          </w:tcPr>
          <w:p>
            <w:pPr>
              <w:spacing w:after="0"/>
              <w:rPr>
                <w:sz w:val="20"/>
                <w:szCs w:val="20"/>
                <w:color w:val="auto"/>
              </w:rPr>
            </w:pPr>
            <w:r>
              <w:rPr>
                <w:rFonts w:ascii="Trebuchet MS" w:cs="Trebuchet MS" w:eastAsia="Trebuchet MS" w:hAnsi="Trebuchet MS"/>
                <w:sz w:val="18"/>
                <w:szCs w:val="18"/>
                <w:color w:val="auto"/>
              </w:rPr>
              <w:t>2018</w:t>
            </w:r>
          </w:p>
        </w:tc>
        <w:tc>
          <w:tcPr>
            <w:tcW w:w="5020" w:type="dxa"/>
            <w:vAlign w:val="bottom"/>
            <w:tcBorders>
              <w:bottom w:val="single" w:sz="8" w:color="auto"/>
            </w:tcBorders>
          </w:tcPr>
          <w:p>
            <w:pPr>
              <w:ind w:left="20"/>
              <w:spacing w:after="0"/>
              <w:rPr>
                <w:sz w:val="20"/>
                <w:szCs w:val="20"/>
                <w:color w:val="auto"/>
              </w:rPr>
            </w:pPr>
            <w:r>
              <w:rPr>
                <w:rFonts w:ascii="Trebuchet MS" w:cs="Trebuchet MS" w:eastAsia="Trebuchet MS" w:hAnsi="Trebuchet MS"/>
                <w:sz w:val="18"/>
                <w:szCs w:val="18"/>
                <w:color w:val="auto"/>
              </w:rPr>
              <w:t>Revolving Loan</w:t>
            </w:r>
          </w:p>
        </w:tc>
        <w:tc>
          <w:tcPr>
            <w:tcW w:w="4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10,000</w:t>
            </w:r>
          </w:p>
        </w:tc>
      </w:tr>
      <w:tr>
        <w:trPr>
          <w:trHeight w:val="479"/>
        </w:trPr>
        <w:tc>
          <w:tcPr>
            <w:tcW w:w="4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right"/>
              <w:ind w:right="230"/>
              <w:spacing w:after="0"/>
              <w:rPr>
                <w:sz w:val="20"/>
                <w:szCs w:val="20"/>
                <w:color w:val="auto"/>
              </w:rPr>
            </w:pPr>
            <w:r>
              <w:rPr>
                <w:rFonts w:ascii="Trebuchet MS" w:cs="Trebuchet MS" w:eastAsia="Trebuchet MS" w:hAnsi="Trebuchet MS"/>
                <w:sz w:val="18"/>
                <w:szCs w:val="18"/>
                <w:color w:val="auto"/>
              </w:rPr>
              <w:t>$</w:t>
            </w:r>
          </w:p>
        </w:tc>
        <w:tc>
          <w:tcPr>
            <w:tcW w:w="160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45,000</w:t>
            </w:r>
          </w:p>
        </w:tc>
      </w:tr>
    </w:tbl>
    <w:p>
      <w:pPr>
        <w:spacing w:after="0" w:line="201"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On September 29, 2017, the Company entered into a term loan of $35 million under a loan agreement with PennantPark. The loan agreement was made effective July 1, 2017 and matures on July 2, 2022. The term loan carries an interest rate of 8% with a 50% paid-in-kind interest election.</w:t>
      </w:r>
    </w:p>
    <w:p>
      <w:pPr>
        <w:spacing w:after="0" w:line="194"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On June 5, 2018, the loan agreement was amended to add a revolving loan with a total commitment of $15 million. Borrowings on the revolving loan must be at a minimum of $1 million and in $1 million increments, and carries an interest rate of 8%.</w:t>
      </w:r>
    </w:p>
    <w:p>
      <w:pPr>
        <w:spacing w:after="0" w:line="209"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6" w:name="page167"/>
    <w:bookmarkEnd w:id="166"/>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71"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loan agreement includes representations, warranties, and customary covenants, including certain financial covenants for minimum liquidity and maximum annual capital expenditures. As of September 30, 2018, the Company was in compliance with its covenants.</w:t>
      </w:r>
    </w:p>
    <w:p>
      <w:pPr>
        <w:spacing w:after="0" w:line="390" w:lineRule="exact"/>
        <w:rPr>
          <w:sz w:val="20"/>
          <w:szCs w:val="20"/>
          <w:color w:val="auto"/>
        </w:rPr>
      </w:pPr>
    </w:p>
    <w:p>
      <w:pPr>
        <w:ind w:left="860" w:hanging="852"/>
        <w:spacing w:after="0"/>
        <w:tabs>
          <w:tab w:leader="none" w:pos="860" w:val="left"/>
        </w:tabs>
        <w:numPr>
          <w:ilvl w:val="0"/>
          <w:numId w:val="153"/>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Member’s Deficit</w:t>
      </w:r>
    </w:p>
    <w:p>
      <w:pPr>
        <w:spacing w:after="0" w:line="210" w:lineRule="exact"/>
        <w:rPr>
          <w:sz w:val="20"/>
          <w:szCs w:val="20"/>
          <w:color w:val="auto"/>
        </w:rPr>
      </w:pPr>
    </w:p>
    <w:p>
      <w:pPr>
        <w:jc w:val="both"/>
        <w:spacing w:after="0" w:line="236" w:lineRule="auto"/>
        <w:rPr>
          <w:sz w:val="20"/>
          <w:szCs w:val="20"/>
          <w:color w:val="auto"/>
        </w:rPr>
      </w:pPr>
      <w:r>
        <w:rPr>
          <w:rFonts w:ascii="Trebuchet MS" w:cs="Trebuchet MS" w:eastAsia="Trebuchet MS" w:hAnsi="Trebuchet MS"/>
          <w:sz w:val="19"/>
          <w:szCs w:val="19"/>
          <w:color w:val="auto"/>
        </w:rPr>
        <w:t>PennantPark holds all units in Holdings. A debt restructuring in September 2017 included PennantPark contributing the then outstanding Tranche A term loan to Holdings, effectively extinguishing the debt. In exchange, Holdings issued PennantPark 61,606 common units and Holdings entered into a new $35 million term loan with PennantPark. As PennantPark is the sole owner of Holdings, the debt restructuring was deemed a capital transaction at cost basis with no gain or loss recorded. The cost basis of the debt plus interest paid-in-kind immediately prior to the extinguishment was $88 million, resulting in a net equity contribution of approximately $54 million on the conversion of debt.</w:t>
      </w:r>
    </w:p>
    <w:p>
      <w:pPr>
        <w:spacing w:after="0" w:line="393" w:lineRule="exact"/>
        <w:rPr>
          <w:sz w:val="20"/>
          <w:szCs w:val="20"/>
          <w:color w:val="auto"/>
        </w:rPr>
      </w:pPr>
    </w:p>
    <w:p>
      <w:pPr>
        <w:ind w:left="860" w:hanging="852"/>
        <w:spacing w:after="0"/>
        <w:tabs>
          <w:tab w:leader="none" w:pos="860" w:val="left"/>
        </w:tabs>
        <w:numPr>
          <w:ilvl w:val="0"/>
          <w:numId w:val="154"/>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Commitments and Contingencies</w:t>
      </w:r>
    </w:p>
    <w:p>
      <w:pPr>
        <w:spacing w:after="0" w:line="210"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From time to time the Company may be involved in claims and litigation arising in the ordinary course of business. In the opinion of management, the outcome of all existing matters will not have a material adverse effect on the Company’s financial position or results of operations.</w:t>
      </w:r>
    </w:p>
    <w:p>
      <w:pPr>
        <w:spacing w:after="0" w:line="190" w:lineRule="exact"/>
        <w:rPr>
          <w:sz w:val="20"/>
          <w:szCs w:val="20"/>
          <w:color w:val="auto"/>
        </w:rPr>
      </w:pPr>
    </w:p>
    <w:p>
      <w:pPr>
        <w:spacing w:after="0"/>
        <w:rPr>
          <w:sz w:val="20"/>
          <w:szCs w:val="20"/>
          <w:color w:val="auto"/>
        </w:rPr>
      </w:pPr>
      <w:r>
        <w:rPr>
          <w:rFonts w:ascii="Trebuchet MS" w:cs="Trebuchet MS" w:eastAsia="Trebuchet MS" w:hAnsi="Trebuchet MS"/>
          <w:sz w:val="19"/>
          <w:szCs w:val="19"/>
          <w:b w:val="1"/>
          <w:bCs w:val="1"/>
          <w:i w:val="1"/>
          <w:iCs w:val="1"/>
          <w:color w:val="auto"/>
        </w:rPr>
        <w:t>Leases</w:t>
      </w:r>
    </w:p>
    <w:p>
      <w:pPr>
        <w:spacing w:after="0" w:line="202"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RAM leases office space and certain equipment under non-cancelable operating lease agreements that expire on various dates through 2020. Approximate future minimum lease payments as of September 30, 2018 are as follows (in thousands):</w:t>
      </w:r>
    </w:p>
    <w:p>
      <w:pPr>
        <w:spacing w:after="0" w:line="211" w:lineRule="exact"/>
        <w:rPr>
          <w:sz w:val="20"/>
          <w:szCs w:val="20"/>
          <w:color w:val="auto"/>
        </w:rPr>
      </w:pPr>
    </w:p>
    <w:p>
      <w:pPr>
        <w:spacing w:after="0"/>
        <w:rPr>
          <w:sz w:val="20"/>
          <w:szCs w:val="20"/>
          <w:color w:val="auto"/>
        </w:rPr>
      </w:pPr>
      <w:r>
        <w:rPr>
          <w:rFonts w:ascii="Trebuchet MS" w:cs="Trebuchet MS" w:eastAsia="Trebuchet MS" w:hAnsi="Trebuchet MS"/>
          <w:sz w:val="18"/>
          <w:szCs w:val="18"/>
          <w:b w:val="1"/>
          <w:bCs w:val="1"/>
          <w:i w:val="1"/>
          <w:iCs w:val="1"/>
          <w:color w:val="auto"/>
        </w:rPr>
        <w:t>Year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jc w:val="right"/>
              <w:ind w:right="4090"/>
              <w:spacing w:after="0"/>
              <w:rPr>
                <w:sz w:val="20"/>
                <w:szCs w:val="20"/>
                <w:color w:val="auto"/>
              </w:rPr>
            </w:pPr>
            <w:r>
              <w:rPr>
                <w:rFonts w:ascii="Trebuchet MS" w:cs="Trebuchet MS" w:eastAsia="Trebuchet MS" w:hAnsi="Trebuchet MS"/>
                <w:sz w:val="18"/>
                <w:szCs w:val="18"/>
                <w:color w:val="auto"/>
              </w:rPr>
              <w:t>2019</w:t>
            </w:r>
          </w:p>
        </w:tc>
        <w:tc>
          <w:tcPr>
            <w:tcW w:w="5020" w:type="dxa"/>
            <w:vAlign w:val="bottom"/>
          </w:tcPr>
          <w:p>
            <w:pPr>
              <w:jc w:val="right"/>
              <w:ind w:right="670"/>
              <w:spacing w:after="0"/>
              <w:rPr>
                <w:sz w:val="20"/>
                <w:szCs w:val="20"/>
                <w:color w:val="auto"/>
              </w:rPr>
            </w:pPr>
            <w:r>
              <w:rPr>
                <w:rFonts w:ascii="Trebuchet MS" w:cs="Trebuchet MS" w:eastAsia="Trebuchet MS" w:hAnsi="Trebuchet MS"/>
                <w:sz w:val="18"/>
                <w:szCs w:val="18"/>
                <w:color w:val="auto"/>
              </w:rPr>
              <w:t>$</w:t>
            </w:r>
          </w:p>
        </w:tc>
        <w:tc>
          <w:tcPr>
            <w:tcW w:w="1160" w:type="dxa"/>
            <w:vAlign w:val="bottom"/>
          </w:tcPr>
          <w:p>
            <w:pPr>
              <w:jc w:val="right"/>
              <w:ind w:right="50"/>
              <w:spacing w:after="0"/>
              <w:rPr>
                <w:sz w:val="20"/>
                <w:szCs w:val="20"/>
                <w:color w:val="auto"/>
              </w:rPr>
            </w:pPr>
            <w:r>
              <w:rPr>
                <w:rFonts w:ascii="Trebuchet MS" w:cs="Trebuchet MS" w:eastAsia="Trebuchet MS" w:hAnsi="Trebuchet MS"/>
                <w:sz w:val="18"/>
                <w:szCs w:val="18"/>
                <w:color w:val="auto"/>
              </w:rPr>
              <w:t>530</w:t>
            </w:r>
          </w:p>
        </w:tc>
      </w:tr>
      <w:tr>
        <w:trPr>
          <w:trHeight w:val="231"/>
        </w:trPr>
        <w:tc>
          <w:tcPr>
            <w:tcW w:w="5060" w:type="dxa"/>
            <w:vAlign w:val="bottom"/>
            <w:tcBorders>
              <w:bottom w:val="single" w:sz="8" w:color="auto"/>
            </w:tcBorders>
          </w:tcPr>
          <w:p>
            <w:pPr>
              <w:jc w:val="right"/>
              <w:ind w:right="4090"/>
              <w:spacing w:after="0"/>
              <w:rPr>
                <w:sz w:val="20"/>
                <w:szCs w:val="20"/>
                <w:color w:val="auto"/>
              </w:rPr>
            </w:pPr>
            <w:r>
              <w:rPr>
                <w:rFonts w:ascii="Trebuchet MS" w:cs="Trebuchet MS" w:eastAsia="Trebuchet MS" w:hAnsi="Trebuchet MS"/>
                <w:sz w:val="18"/>
                <w:szCs w:val="18"/>
                <w:color w:val="auto"/>
              </w:rPr>
              <w:t>2020</w:t>
            </w:r>
          </w:p>
        </w:tc>
        <w:tc>
          <w:tcPr>
            <w:tcW w:w="50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177</w:t>
            </w:r>
          </w:p>
        </w:tc>
      </w:tr>
      <w:tr>
        <w:trPr>
          <w:trHeight w:val="480"/>
        </w:trPr>
        <w:tc>
          <w:tcPr>
            <w:tcW w:w="50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right"/>
              <w:ind w:right="670"/>
              <w:spacing w:after="0"/>
              <w:rPr>
                <w:sz w:val="20"/>
                <w:szCs w:val="20"/>
                <w:color w:val="auto"/>
              </w:rPr>
            </w:pPr>
            <w:r>
              <w:rPr>
                <w:rFonts w:ascii="Trebuchet MS" w:cs="Trebuchet MS" w:eastAsia="Trebuchet MS" w:hAnsi="Trebuchet MS"/>
                <w:sz w:val="18"/>
                <w:szCs w:val="18"/>
                <w:color w:val="auto"/>
              </w:rPr>
              <w:t>$</w:t>
            </w:r>
          </w:p>
        </w:tc>
        <w:tc>
          <w:tcPr>
            <w:tcW w:w="1160" w:type="dxa"/>
            <w:vAlign w:val="bottom"/>
            <w:tcBorders>
              <w:bottom w:val="single" w:sz="8" w:color="auto"/>
            </w:tcBorders>
          </w:tcPr>
          <w:p>
            <w:pPr>
              <w:jc w:val="right"/>
              <w:ind w:right="50"/>
              <w:spacing w:after="0"/>
              <w:rPr>
                <w:sz w:val="20"/>
                <w:szCs w:val="20"/>
                <w:color w:val="auto"/>
              </w:rPr>
            </w:pPr>
            <w:r>
              <w:rPr>
                <w:rFonts w:ascii="Trebuchet MS" w:cs="Trebuchet MS" w:eastAsia="Trebuchet MS" w:hAnsi="Trebuchet MS"/>
                <w:sz w:val="18"/>
                <w:szCs w:val="18"/>
                <w:color w:val="auto"/>
              </w:rPr>
              <w:t>707</w:t>
            </w:r>
          </w:p>
        </w:tc>
      </w:tr>
    </w:tbl>
    <w:p>
      <w:pPr>
        <w:spacing w:after="0" w:line="201"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Rent expense of approximately $0.5 million was incurred under operating leases for the year ended September 30, 2018.</w:t>
      </w:r>
    </w:p>
    <w:p>
      <w:pPr>
        <w:spacing w:after="0" w:line="394" w:lineRule="exact"/>
        <w:rPr>
          <w:sz w:val="20"/>
          <w:szCs w:val="20"/>
          <w:color w:val="auto"/>
        </w:rPr>
      </w:pPr>
    </w:p>
    <w:p>
      <w:pPr>
        <w:ind w:left="860" w:hanging="852"/>
        <w:spacing w:after="0"/>
        <w:tabs>
          <w:tab w:leader="none" w:pos="860" w:val="left"/>
        </w:tabs>
        <w:numPr>
          <w:ilvl w:val="0"/>
          <w:numId w:val="155"/>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Related Party Transactions</w:t>
      </w:r>
    </w:p>
    <w:p>
      <w:pPr>
        <w:spacing w:after="0" w:line="210" w:lineRule="exact"/>
        <w:rPr>
          <w:sz w:val="20"/>
          <w:szCs w:val="20"/>
          <w:color w:val="auto"/>
        </w:rPr>
      </w:pPr>
    </w:p>
    <w:p>
      <w:pPr>
        <w:spacing w:after="0"/>
        <w:rPr>
          <w:sz w:val="20"/>
          <w:szCs w:val="20"/>
          <w:color w:val="auto"/>
        </w:rPr>
      </w:pPr>
      <w:r>
        <w:rPr>
          <w:rFonts w:ascii="Trebuchet MS" w:cs="Trebuchet MS" w:eastAsia="Trebuchet MS" w:hAnsi="Trebuchet MS"/>
          <w:sz w:val="19"/>
          <w:szCs w:val="19"/>
          <w:color w:val="auto"/>
        </w:rPr>
        <w:t>RAM made certain payments on behalf of an officer totaling $52 thousand in 2018, which is due to the Company as of September 30, 2018.</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6" w:right="339" w:bottom="1440" w:gutter="0" w:footer="0" w:header="0"/>
        </w:sectPr>
      </w:pPr>
    </w:p>
    <w:bookmarkStart w:id="167" w:name="page168"/>
    <w:bookmarkEnd w:id="167"/>
    <w:p>
      <w:pPr>
        <w:jc w:val="center"/>
        <w:spacing w:after="0"/>
        <w:rPr>
          <w:sz w:val="20"/>
          <w:szCs w:val="20"/>
          <w:color w:val="auto"/>
        </w:rPr>
      </w:pPr>
      <w:r>
        <w:rPr>
          <w:rFonts w:ascii="Trebuchet MS" w:cs="Trebuchet MS" w:eastAsia="Trebuchet MS" w:hAnsi="Trebuchet MS"/>
          <w:sz w:val="25"/>
          <w:szCs w:val="25"/>
          <w:b w:val="1"/>
          <w:bCs w:val="1"/>
          <w:color w:val="auto"/>
        </w:rPr>
        <w:t>RAM Energy Holdings LLC and Subsidiaries</w:t>
      </w:r>
    </w:p>
    <w:p>
      <w:pPr>
        <w:spacing w:after="0" w:line="123"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rebuchet MS" w:cs="Trebuchet MS" w:eastAsia="Trebuchet MS" w:hAnsi="Trebuchet MS"/>
          <w:sz w:val="22"/>
          <w:szCs w:val="22"/>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342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65" w:lineRule="exact"/>
        <w:rPr>
          <w:sz w:val="20"/>
          <w:szCs w:val="20"/>
          <w:color w:val="auto"/>
        </w:rPr>
      </w:pPr>
    </w:p>
    <w:p>
      <w:pPr>
        <w:ind w:left="980" w:hanging="972"/>
        <w:spacing w:after="0"/>
        <w:tabs>
          <w:tab w:leader="none" w:pos="980" w:val="left"/>
        </w:tabs>
        <w:numPr>
          <w:ilvl w:val="0"/>
          <w:numId w:val="156"/>
        </w:numPr>
        <w:rPr>
          <w:rFonts w:ascii="Trebuchet MS" w:cs="Trebuchet MS" w:eastAsia="Trebuchet MS" w:hAnsi="Trebuchet MS"/>
          <w:sz w:val="22"/>
          <w:szCs w:val="22"/>
          <w:b w:val="1"/>
          <w:bCs w:val="1"/>
          <w:color w:val="auto"/>
        </w:rPr>
      </w:pPr>
      <w:r>
        <w:rPr>
          <w:rFonts w:ascii="Trebuchet MS" w:cs="Trebuchet MS" w:eastAsia="Trebuchet MS" w:hAnsi="Trebuchet MS"/>
          <w:sz w:val="22"/>
          <w:szCs w:val="22"/>
          <w:b w:val="1"/>
          <w:bCs w:val="1"/>
          <w:color w:val="auto"/>
        </w:rPr>
        <w:t>Subsequent Events</w:t>
      </w:r>
    </w:p>
    <w:p>
      <w:pPr>
        <w:spacing w:after="0" w:line="210"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The Company evaluates events and transactions occurring after the balance sheet date and before the consolidated financial statements are available for issuance. Such events and transactions have been evaluated through November 13, 2018, the date the consolidated financial statements were available to be issued.</w:t>
      </w:r>
    </w:p>
    <w:p>
      <w:pPr>
        <w:spacing w:after="0" w:line="194" w:lineRule="exact"/>
        <w:rPr>
          <w:sz w:val="20"/>
          <w:szCs w:val="20"/>
          <w:color w:val="auto"/>
        </w:rPr>
      </w:pPr>
    </w:p>
    <w:p>
      <w:pPr>
        <w:jc w:val="both"/>
        <w:spacing w:after="0"/>
        <w:rPr>
          <w:sz w:val="20"/>
          <w:szCs w:val="20"/>
          <w:color w:val="auto"/>
        </w:rPr>
      </w:pPr>
      <w:r>
        <w:rPr>
          <w:rFonts w:ascii="Trebuchet MS" w:cs="Trebuchet MS" w:eastAsia="Trebuchet MS" w:hAnsi="Trebuchet MS"/>
          <w:sz w:val="19"/>
          <w:szCs w:val="19"/>
          <w:color w:val="auto"/>
        </w:rPr>
        <w:t>On October 12, 2018, the Company borrowed an additional $5 million, bringing the total borrowings on the revolving loan to $15 million.</w:t>
      </w:r>
    </w:p>
    <w:p>
      <w:pPr>
        <w:spacing w:after="0" w:line="193" w:lineRule="exact"/>
        <w:rPr>
          <w:sz w:val="20"/>
          <w:szCs w:val="20"/>
          <w:color w:val="auto"/>
        </w:rPr>
      </w:pPr>
    </w:p>
    <w:p>
      <w:pPr>
        <w:jc w:val="both"/>
        <w:spacing w:after="0" w:line="238" w:lineRule="auto"/>
        <w:rPr>
          <w:sz w:val="20"/>
          <w:szCs w:val="20"/>
          <w:color w:val="auto"/>
        </w:rPr>
      </w:pPr>
      <w:r>
        <w:rPr>
          <w:rFonts w:ascii="Trebuchet MS" w:cs="Trebuchet MS" w:eastAsia="Trebuchet MS" w:hAnsi="Trebuchet MS"/>
          <w:sz w:val="19"/>
          <w:szCs w:val="19"/>
          <w:color w:val="auto"/>
        </w:rPr>
        <w:t>On November 1, 2018, the Company closed on the sale of certain oil and gas properties in Lea County, New Mexico for $228 thousand. The buyer also assumed plugging liability and joint interest billings accounts payable of $8 thousand. The full cost pool was reduced by the net proceeds in accordance with the full cost method of accounting.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rebuchet MS" w:cs="Trebuchet MS" w:eastAsia="Trebuchet MS" w:hAnsi="Trebuchet MS"/>
          <w:sz w:val="18"/>
          <w:szCs w:val="18"/>
          <w:b w:val="1"/>
          <w:bCs w:val="1"/>
          <w:color w:val="auto"/>
        </w:rPr>
        <w:t>18</w:t>
      </w:r>
    </w:p>
    <w:p>
      <w:pPr>
        <w:sectPr>
          <w:pgSz w:w="11900" w:h="16838" w:orient="portrait"/>
          <w:cols w:equalWidth="0" w:num="1">
            <w:col w:w="11240"/>
          </w:cols>
          <w:pgMar w:left="320" w:top="136"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4"/>
          <w:szCs w:val="14"/>
          <w:b w:val="1"/>
          <w:bCs w:val="1"/>
          <w:color w:val="auto"/>
        </w:rPr>
        <w:t>EXHIBIT 99.5</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Stockholders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PennantPark Investment Corporation and its Subsidiaries</w:t>
      </w:r>
    </w:p>
    <w:p>
      <w:pPr>
        <w:spacing w:after="0" w:line="269"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4"/>
          <w:szCs w:val="14"/>
          <w:color w:val="auto"/>
        </w:rPr>
        <w:t>Our audits of the consolidated financial statements and internal control over financial reporting referred to in our reports dated November 19, 2020, (appearing in the accompanying Form 10-K) also included an audit of the senior securities table of PennantPark Investment Corporation and its Subsidiaries (the Company) appearing in Part II, Item 7 in this Form 10-K. This table is the responsibility of the Company’s management. Our responsibility is to express an opinion based on our audits of the consolidated financial statements.</w:t>
      </w:r>
    </w:p>
    <w:p>
      <w:pPr>
        <w:spacing w:after="0" w:line="10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4"/>
          <w:szCs w:val="14"/>
          <w:color w:val="auto"/>
        </w:rPr>
        <w:t>In our opinion, the senior securities table, when considered in relation to the basic consolidated financial statements taken as a whole, presents fairly in all material respects the information set forth therein.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November 19, 2020</w:t>
      </w:r>
    </w:p>
    <w:sectPr>
      <w:pgSz w:w="11900" w:h="16838" w:orient="portrait"/>
      <w:cols w:equalWidth="0" w:num="1">
        <w:col w:w="11240"/>
      </w:cols>
      <w:pgMar w:left="320" w:top="34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1)"/>
      <w:numFmt w:val="lowerLetter"/>
      <w:start w:val="1"/>
    </w:lvl>
  </w:abstractNum>
  <w:abstractNum w:abstractNumId="6">
    <w:nsid w:val="6A5EE64"/>
    <w:multiLevelType w:val="hybridMultilevel"/>
    <w:lvl w:ilvl="0">
      <w:lvlJc w:val="left"/>
      <w:lvlText w:val="%1)"/>
      <w:numFmt w:val="lowerLetter"/>
      <w:start w:val="2"/>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1)"/>
      <w:numFmt w:val="lowerLetter"/>
      <w:start w:val="3"/>
    </w:lvl>
  </w:abstractNum>
  <w:abstractNum w:abstractNumId="9">
    <w:nsid w:val="1A27709E"/>
    <w:multiLevelType w:val="hybridMultilevel"/>
    <w:lvl w:ilvl="0">
      <w:lvlJc w:val="left"/>
      <w:lvlText w:val="%1)"/>
      <w:numFmt w:val="lowerLetter"/>
      <w:start w:val="4"/>
    </w:lvl>
  </w:abstractNum>
  <w:abstractNum w:abstractNumId="10">
    <w:nsid w:val="71EA1109"/>
    <w:multiLevelType w:val="hybridMultilevel"/>
    <w:lvl w:ilvl="0">
      <w:lvlJc w:val="left"/>
      <w:lvlText w:val="%1)"/>
      <w:numFmt w:val="lowerLetter"/>
      <w:start w:val="1"/>
    </w:lvl>
  </w:abstractNum>
  <w:abstractNum w:abstractNumId="11">
    <w:nsid w:val="100F59DC"/>
    <w:multiLevelType w:val="hybridMultilevel"/>
    <w:lvl w:ilvl="0">
      <w:lvlJc w:val="left"/>
      <w:lvlText w:val="%1)"/>
      <w:numFmt w:val="lowerLetter"/>
      <w:start w:val="2"/>
    </w:lvl>
  </w:abstractNum>
  <w:abstractNum w:abstractNumId="12">
    <w:nsid w:val="7FB7E0AA"/>
    <w:multiLevelType w:val="hybridMultilevel"/>
    <w:lvl w:ilvl="0">
      <w:lvlJc w:val="left"/>
      <w:lvlText w:val="%1)"/>
      <w:numFmt w:val="lowerLetter"/>
      <w:start w:val="3"/>
    </w:lvl>
  </w:abstractNum>
  <w:abstractNum w:abstractNumId="13">
    <w:nsid w:val="6EB5BD4"/>
    <w:multiLevelType w:val="hybridMultilevel"/>
    <w:lvl w:ilvl="0">
      <w:lvlJc w:val="left"/>
      <w:lvlText w:val="%1)"/>
      <w:numFmt w:val="lowerLetter"/>
      <w:start w:val="4"/>
    </w:lvl>
  </w:abstractNum>
  <w:abstractNum w:abstractNumId="14">
    <w:nsid w:val="6F6DD9AC"/>
    <w:multiLevelType w:val="hybridMultilevel"/>
    <w:lvl w:ilvl="0">
      <w:lvlJc w:val="left"/>
      <w:lvlText w:val="%1)"/>
      <w:numFmt w:val="lowerLetter"/>
      <w:start w:val="5"/>
    </w:lvl>
  </w:abstractNum>
  <w:abstractNum w:abstractNumId="15">
    <w:nsid w:val="94211F2"/>
    <w:multiLevelType w:val="hybridMultilevel"/>
    <w:lvl w:ilvl="0">
      <w:lvlJc w:val="left"/>
      <w:lvlText w:val="%1)"/>
      <w:numFmt w:val="lowerLetter"/>
      <w:start w:val="6"/>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1)"/>
      <w:numFmt w:val="decimal"/>
      <w:start w:val="4"/>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1)"/>
      <w:numFmt w:val="decimal"/>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1)"/>
      <w:numFmt w:val="decimal"/>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lvl w:ilvl="1">
      <w:lvlJc w:val="left"/>
      <w:lvlText w:val="="/>
      <w:numFmt w:val="bullet"/>
      <w:start w:val="1"/>
    </w:lvl>
  </w:abstractNum>
  <w:abstractNum w:abstractNumId="26">
    <w:nsid w:val="4A2AC315"/>
    <w:multiLevelType w:val="hybridMultilevel"/>
    <w:lvl w:ilvl="0">
      <w:lvlJc w:val="left"/>
      <w:lvlText w:val="(%1)"/>
      <w:numFmt w:val="decimal"/>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
    <w:nsid w:val="43F18422"/>
    <w:multiLevelType w:val="hybridMultilevel"/>
    <w:lvl w:ilvl="0">
      <w:lvlJc w:val="left"/>
      <w:lvlText w:val="(%1)"/>
      <w:numFmt w:val="decimal"/>
      <w:start w:val="4"/>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lvl w:ilvl="1">
      <w:lvlJc w:val="left"/>
      <w:lvlText w:val="%2)"/>
      <w:numFmt w:val="decimal"/>
      <w:start w:val="1"/>
    </w:lvl>
  </w:abstractNum>
  <w:abstractNum w:abstractNumId="33">
    <w:nsid w:val="7F01579B"/>
    <w:multiLevelType w:val="hybridMultilevel"/>
    <w:lvl w:ilvl="0">
      <w:lvlJc w:val="left"/>
      <w:lvlText w:val="(%1)"/>
      <w:numFmt w:val="decimal"/>
      <w:start w:val="2"/>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1)"/>
      <w:numFmt w:val="decimal"/>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1."/>
      <w:numFmt w:val="decimal"/>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1)"/>
      <w:numFmt w:val="decimal"/>
      <w:start w:val="1"/>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1)"/>
      <w:numFmt w:val="decimal"/>
      <w:start w:val="1"/>
    </w:lvl>
  </w:abstractNum>
  <w:abstractNum w:abstractNumId="53">
    <w:nsid w:val="9DAF632"/>
    <w:multiLevelType w:val="hybridMultilevel"/>
    <w:lvl w:ilvl="0">
      <w:lvlJc w:val="left"/>
      <w:lvlText w:val="%1."/>
      <w:numFmt w:val="decimal"/>
      <w:start w:val="1"/>
    </w:lvl>
  </w:abstractNum>
  <w:abstractNum w:abstractNumId="54">
    <w:nsid w:val="53299938"/>
    <w:multiLevelType w:val="hybridMultilevel"/>
    <w:lvl w:ilvl="0">
      <w:lvlJc w:val="left"/>
      <w:lvlText w:val="(%1)"/>
      <w:numFmt w:val="decimal"/>
      <w:start w:val="1"/>
    </w:lvl>
  </w:abstractNum>
  <w:abstractNum w:abstractNumId="55">
    <w:nsid w:val="1FBFE8E0"/>
    <w:multiLevelType w:val="hybridMultilevel"/>
    <w:lvl w:ilvl="0">
      <w:lvlJc w:val="left"/>
      <w:lvlText w:val="(%1)"/>
      <w:numFmt w:val="decimal"/>
      <w:start w:val="1"/>
    </w:lvl>
  </w:abstractNum>
  <w:abstractNum w:abstractNumId="56">
    <w:nsid w:val="5092CA79"/>
    <w:multiLevelType w:val="hybridMultilevel"/>
    <w:lvl w:ilvl="0">
      <w:lvlJc w:val="left"/>
      <w:lvlText w:val="(%1)"/>
      <w:numFmt w:val="decimal"/>
      <w:start w:val="1"/>
    </w:lvl>
  </w:abstractNum>
  <w:abstractNum w:abstractNumId="57">
    <w:nsid w:val="1D545C4D"/>
    <w:multiLevelType w:val="hybridMultilevel"/>
    <w:lvl w:ilvl="0">
      <w:lvlJc w:val="left"/>
      <w:lvlText w:val="(%1)"/>
      <w:numFmt w:val="decimal"/>
      <w:start w:val="1"/>
    </w:lvl>
  </w:abstractNum>
  <w:abstractNum w:abstractNumId="58">
    <w:nsid w:val="59ADEA3D"/>
    <w:multiLevelType w:val="hybridMultilevel"/>
    <w:lvl w:ilvl="0">
      <w:lvlJc w:val="left"/>
      <w:lvlText w:val="(%1)"/>
      <w:numFmt w:val="decimal"/>
      <w:start w:val="1"/>
    </w:lvl>
  </w:abstractNum>
  <w:abstractNum w:abstractNumId="59">
    <w:nsid w:val="288F1A34"/>
    <w:multiLevelType w:val="hybridMultilevel"/>
    <w:lvl w:ilvl="0">
      <w:lvlJc w:val="left"/>
      <w:lvlText w:val="(%1)"/>
      <w:numFmt w:val="decimal"/>
      <w:start w:val="1"/>
    </w:lvl>
  </w:abstractNum>
  <w:abstractNum w:abstractNumId="60">
    <w:nsid w:val="2A155DBC"/>
    <w:multiLevelType w:val="hybridMultilevel"/>
    <w:lvl w:ilvl="0">
      <w:lvlJc w:val="left"/>
      <w:lvlText w:val="(%1)"/>
      <w:numFmt w:val="decimal"/>
      <w:start w:val="1"/>
    </w:lvl>
  </w:abstractNum>
  <w:abstractNum w:abstractNumId="61">
    <w:nsid w:val="1D9F6E5F"/>
    <w:multiLevelType w:val="hybridMultilevel"/>
    <w:lvl w:ilvl="0">
      <w:lvlJc w:val="left"/>
      <w:lvlText w:val="(%1)"/>
      <w:numFmt w:val="decimal"/>
      <w:start w:val="1"/>
    </w:lvl>
  </w:abstractNum>
  <w:abstractNum w:abstractNumId="62">
    <w:nsid w:val="97E1B4E"/>
    <w:multiLevelType w:val="hybridMultilevel"/>
    <w:lvl w:ilvl="0">
      <w:lvlJc w:val="left"/>
      <w:lvlText w:val="(%1)"/>
      <w:numFmt w:val="decimal"/>
      <w:start w:val="7"/>
    </w:lvl>
  </w:abstractNum>
  <w:abstractNum w:abstractNumId="63">
    <w:nsid w:val="51088277"/>
    <w:multiLevelType w:val="hybridMultilevel"/>
    <w:lvl w:ilvl="0">
      <w:lvlJc w:val="left"/>
      <w:lvlText w:val="(%1)"/>
      <w:numFmt w:val="decimal"/>
      <w:start w:val="1"/>
    </w:lvl>
  </w:abstractNum>
  <w:abstractNum w:abstractNumId="64">
    <w:nsid w:val="1CA0C5FA"/>
    <w:multiLevelType w:val="hybridMultilevel"/>
    <w:lvl w:ilvl="0">
      <w:lvlJc w:val="left"/>
      <w:lvlText w:val="(%1)"/>
      <w:numFmt w:val="lowerLetter"/>
      <w:start w:val="1"/>
    </w:lvl>
  </w:abstractNum>
  <w:abstractNum w:abstractNumId="65">
    <w:nsid w:val="53584BCB"/>
    <w:multiLevelType w:val="hybridMultilevel"/>
    <w:lvl w:ilvl="0">
      <w:lvlJc w:val="left"/>
      <w:lvlText w:val="(%1)"/>
      <w:numFmt w:val="decimal"/>
      <w:start w:val="1"/>
    </w:lvl>
  </w:abstractNum>
  <w:abstractNum w:abstractNumId="66">
    <w:nsid w:val="415E286C"/>
    <w:multiLevelType w:val="hybridMultilevel"/>
    <w:lvl w:ilvl="0">
      <w:lvlJc w:val="left"/>
      <w:lvlText w:val="(%1)"/>
      <w:numFmt w:val="decimal"/>
      <w:start w:val="3"/>
    </w:lvl>
  </w:abstractNum>
  <w:abstractNum w:abstractNumId="67">
    <w:nsid w:val="7C58FD05"/>
    <w:multiLevelType w:val="hybridMultilevel"/>
    <w:lvl w:ilvl="0">
      <w:lvlJc w:val="left"/>
      <w:lvlText w:val="(%1)"/>
      <w:numFmt w:val="lowerLetter"/>
      <w:start w:val="2"/>
    </w:lvl>
  </w:abstractNum>
  <w:abstractNum w:abstractNumId="68">
    <w:nsid w:val="23D86AAC"/>
    <w:multiLevelType w:val="hybridMultilevel"/>
    <w:lvl w:ilvl="0">
      <w:lvlJc w:val="left"/>
      <w:lvlText w:val="(%1)"/>
      <w:numFmt w:val="lowerLetter"/>
      <w:start w:val="3"/>
    </w:lvl>
  </w:abstractNum>
  <w:abstractNum w:abstractNumId="69">
    <w:nsid w:val="45E6D486"/>
    <w:multiLevelType w:val="hybridMultilevel"/>
    <w:lvl w:ilvl="0">
      <w:lvlJc w:val="left"/>
      <w:lvlText w:val="(%1)"/>
      <w:numFmt w:val="lowerLetter"/>
      <w:start w:val="4"/>
    </w:lvl>
  </w:abstractNum>
  <w:abstractNum w:abstractNumId="70">
    <w:nsid w:val="5C10FE21"/>
    <w:multiLevelType w:val="hybridMultilevel"/>
    <w:lvl w:ilvl="0">
      <w:lvlJc w:val="left"/>
      <w:lvlText w:val="(%1)"/>
      <w:numFmt w:val="lowerLetter"/>
      <w:start w:val="5"/>
    </w:lvl>
  </w:abstractNum>
  <w:abstractNum w:abstractNumId="71">
    <w:nsid w:val="E7FFA2B"/>
    <w:multiLevelType w:val="hybridMultilevel"/>
    <w:lvl w:ilvl="0">
      <w:lvlJc w:val="left"/>
      <w:lvlText w:val="%1."/>
      <w:numFmt w:val="decimal"/>
      <w:start w:val="1"/>
    </w:lvl>
  </w:abstractNum>
  <w:abstractNum w:abstractNumId="72">
    <w:nsid w:val="3C5991AA"/>
    <w:multiLevelType w:val="hybridMultilevel"/>
    <w:lvl w:ilvl="0">
      <w:lvlJc w:val="left"/>
      <w:lvlText w:val="(%1)"/>
      <w:numFmt w:val="lowerLetter"/>
      <w:start w:val="6"/>
    </w:lvl>
  </w:abstractNum>
  <w:abstractNum w:abstractNumId="73">
    <w:nsid w:val="4BD8591A"/>
    <w:multiLevelType w:val="hybridMultilevel"/>
    <w:lvl w:ilvl="0">
      <w:lvlJc w:val="left"/>
      <w:lvlText w:val="(%1)"/>
      <w:numFmt w:val="lowerLetter"/>
      <w:start w:val="7"/>
    </w:lvl>
  </w:abstractNum>
  <w:abstractNum w:abstractNumId="74">
    <w:nsid w:val="78DF6A55"/>
    <w:multiLevelType w:val="hybridMultilevel"/>
    <w:lvl w:ilvl="0">
      <w:lvlJc w:val="left"/>
      <w:lvlText w:val="(%1)"/>
      <w:numFmt w:val="lowerLetter"/>
      <w:start w:val="8"/>
    </w:lvl>
  </w:abstractNum>
  <w:abstractNum w:abstractNumId="75">
    <w:nsid w:val="39B7AAA2"/>
    <w:multiLevelType w:val="hybridMultilevel"/>
    <w:lvl w:ilvl="0">
      <w:lvlJc w:val="left"/>
      <w:lvlText w:val="(%1)"/>
      <w:numFmt w:val="decimal"/>
      <w:start w:val="1"/>
    </w:lvl>
  </w:abstractNum>
  <w:abstractNum w:abstractNumId="76">
    <w:nsid w:val="2B0D8DBE"/>
    <w:multiLevelType w:val="hybridMultilevel"/>
    <w:lvl w:ilvl="0">
      <w:lvlJc w:val="left"/>
      <w:lvlText w:val="(%1)"/>
      <w:numFmt w:val="decimal"/>
      <w:start w:val="1"/>
    </w:lvl>
  </w:abstractNum>
  <w:abstractNum w:abstractNumId="77">
    <w:nsid w:val="6C80EC70"/>
    <w:multiLevelType w:val="hybridMultilevel"/>
    <w:lvl w:ilvl="0">
      <w:lvlJc w:val="left"/>
      <w:lvlText w:val="(%1)"/>
      <w:numFmt w:val="decimal"/>
      <w:start w:val="1"/>
    </w:lvl>
  </w:abstractNum>
  <w:abstractNum w:abstractNumId="78">
    <w:nsid w:val="379E21B5"/>
    <w:multiLevelType w:val="hybridMultilevel"/>
    <w:lvl w:ilvl="0">
      <w:lvlJc w:val="left"/>
      <w:lvlText w:val="(%1)"/>
      <w:numFmt w:val="decimal"/>
      <w:start w:val="1"/>
    </w:lvl>
  </w:abstractNum>
  <w:abstractNum w:abstractNumId="79">
    <w:nsid w:val="69E373"/>
    <w:multiLevelType w:val="hybridMultilevel"/>
    <w:lvl w:ilvl="0">
      <w:lvlJc w:val="left"/>
      <w:lvlText w:val="(%1)"/>
      <w:numFmt w:val="decimal"/>
      <w:start w:val="1"/>
    </w:lvl>
  </w:abstractNum>
  <w:abstractNum w:abstractNumId="80">
    <w:nsid w:val="2C27173B"/>
    <w:multiLevelType w:val="hybridMultilevel"/>
    <w:lvl w:ilvl="0">
      <w:lvlJc w:val="left"/>
      <w:lvlText w:val="(%1)"/>
      <w:numFmt w:val="decimal"/>
      <w:start w:val="1"/>
    </w:lvl>
  </w:abstractNum>
  <w:abstractNum w:abstractNumId="81">
    <w:nsid w:val="4C9B0904"/>
    <w:multiLevelType w:val="hybridMultilevel"/>
    <w:lvl w:ilvl="0">
      <w:lvlJc w:val="left"/>
      <w:lvlText w:val="(%1)"/>
      <w:numFmt w:val="decimal"/>
      <w:start w:val="1"/>
    </w:lvl>
  </w:abstractNum>
  <w:abstractNum w:abstractNumId="82">
    <w:nsid w:val="6AA7B75C"/>
    <w:multiLevelType w:val="hybridMultilevel"/>
    <w:lvl w:ilvl="0">
      <w:lvlJc w:val="left"/>
      <w:lvlText w:val="(%1)"/>
      <w:numFmt w:val="decimal"/>
      <w:start w:val="1"/>
    </w:lvl>
  </w:abstractNum>
  <w:abstractNum w:abstractNumId="83">
    <w:nsid w:val="1DF029D3"/>
    <w:multiLevelType w:val="hybridMultilevel"/>
    <w:lvl w:ilvl="0">
      <w:lvlJc w:val="left"/>
      <w:lvlText w:val="(%1)"/>
      <w:numFmt w:val="decimal"/>
      <w:start w:val="1"/>
    </w:lvl>
  </w:abstractNum>
  <w:abstractNum w:abstractNumId="84">
    <w:nsid w:val="5675FF36"/>
    <w:multiLevelType w:val="hybridMultilevel"/>
    <w:lvl w:ilvl="0">
      <w:lvlJc w:val="left"/>
      <w:lvlText w:val="*"/>
      <w:numFmt w:val="bullet"/>
      <w:start w:val="1"/>
    </w:lvl>
  </w:abstractNum>
  <w:abstractNum w:abstractNumId="85">
    <w:nsid w:val="3DD15094"/>
    <w:multiLevelType w:val="hybridMultilevel"/>
    <w:lvl w:ilvl="0">
      <w:lvlJc w:val="left"/>
      <w:lvlText w:val="(%1)"/>
      <w:numFmt w:val="decimal"/>
      <w:start w:val="1"/>
    </w:lvl>
  </w:abstractNum>
  <w:abstractNum w:abstractNumId="86">
    <w:nsid w:val="3DB012B3"/>
    <w:multiLevelType w:val="hybridMultilevel"/>
    <w:lvl w:ilvl="0">
      <w:lvlJc w:val="left"/>
      <w:lvlText w:val="(%1)"/>
      <w:numFmt w:val="decimal"/>
      <w:start w:val="1"/>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
      <w:numFmt w:val="bullet"/>
      <w:start w:val="1"/>
    </w:lvl>
  </w:abstractNum>
  <w:abstractNum w:abstractNumId="89">
    <w:nsid w:val="175DFCF0"/>
    <w:multiLevelType w:val="hybridMultilevel"/>
    <w:lvl w:ilvl="0">
      <w:lvlJc w:val="left"/>
      <w:lvlText w:val="(%1)"/>
      <w:numFmt w:val="decimal"/>
      <w:start w:val="1"/>
    </w:lvl>
  </w:abstractNum>
  <w:abstractNum w:abstractNumId="90">
    <w:nsid w:val="4F97E3E4"/>
    <w:multiLevelType w:val="hybridMultilevel"/>
    <w:lvl w:ilvl="0">
      <w:lvlJc w:val="left"/>
      <w:lvlText w:val="*"/>
      <w:numFmt w:val="bullet"/>
      <w:start w:val="1"/>
    </w:lvl>
  </w:abstractNum>
  <w:abstractNum w:abstractNumId="91">
    <w:nsid w:val="53B0A9E"/>
    <w:multiLevelType w:val="hybridMultilevel"/>
    <w:lvl w:ilvl="0">
      <w:lvlJc w:val="left"/>
      <w:lvlText w:val="%1"/>
      <w:numFmt w:val="upperLetter"/>
      <w:start w:val="1"/>
    </w:lvl>
    <w:lvl w:ilvl="1">
      <w:lvlJc w:val="left"/>
      <w:lvlText w:val="%2."/>
      <w:numFmt w:val="decimal"/>
      <w:start w:val="1"/>
    </w:lvl>
  </w:abstractNum>
  <w:abstractNum w:abstractNumId="92">
    <w:nsid w:val="34FD6B4F"/>
    <w:multiLevelType w:val="hybridMultilevel"/>
    <w:lvl w:ilvl="0">
      <w:lvlJc w:val="left"/>
      <w:lvlText w:val="%1."/>
      <w:numFmt w:val="decimal"/>
      <w:start w:val="7"/>
    </w:lvl>
  </w:abstractNum>
  <w:abstractNum w:abstractNumId="93">
    <w:nsid w:val="5915FF32"/>
    <w:multiLevelType w:val="hybridMultilevel"/>
    <w:lvl w:ilvl="0">
      <w:lvlJc w:val="left"/>
      <w:lvlText w:val="(%1)"/>
      <w:numFmt w:val="upperLetter"/>
      <w:start w:val="1"/>
    </w:lvl>
  </w:abstractNum>
  <w:abstractNum w:abstractNumId="94">
    <w:nsid w:val="56438D15"/>
    <w:multiLevelType w:val="hybridMultilevel"/>
    <w:lvl w:ilvl="0">
      <w:lvlJc w:val="left"/>
      <w:lvlText w:val="(%1)"/>
      <w:numFmt w:val="upperLetter"/>
      <w:start w:val="10"/>
    </w:lvl>
    <w:lvl w:ilvl="1">
      <w:lvlJc w:val="left"/>
      <w:lvlText w:val="(%2)"/>
      <w:numFmt w:val="upperLetter"/>
      <w:start w:val="2"/>
    </w:lvl>
  </w:abstractNum>
  <w:abstractNum w:abstractNumId="95">
    <w:nsid w:val="519E3149"/>
    <w:multiLevelType w:val="hybridMultilevel"/>
    <w:lvl w:ilvl="0">
      <w:lvlJc w:val="left"/>
      <w:lvlText w:val="(%1)"/>
      <w:numFmt w:val="lowerRoman"/>
      <w:start w:val="1"/>
    </w:lvl>
  </w:abstractNum>
  <w:abstractNum w:abstractNumId="96">
    <w:nsid w:val="2C6E4AFD"/>
    <w:multiLevelType w:val="hybridMultilevel"/>
    <w:lvl w:ilvl="0">
      <w:lvlJc w:val="left"/>
      <w:lvlText w:val="(%1)"/>
      <w:numFmt w:val="upperLetter"/>
      <w:start w:val="1"/>
    </w:lvl>
  </w:abstractNum>
  <w:abstractNum w:abstractNumId="97">
    <w:nsid w:val="17A1B582"/>
    <w:multiLevelType w:val="hybridMultilevel"/>
    <w:lvl w:ilvl="0">
      <w:lvlJc w:val="left"/>
      <w:lvlText w:val="(%1)"/>
      <w:numFmt w:val="upperLetter"/>
      <w:start w:val="1"/>
    </w:lvl>
  </w:abstractNum>
  <w:abstractNum w:abstractNumId="98">
    <w:nsid w:val="4DF72E4E"/>
    <w:multiLevelType w:val="hybridMultilevel"/>
    <w:lvl w:ilvl="0">
      <w:lvlJc w:val="left"/>
      <w:lvlText w:val="(%1)"/>
      <w:numFmt w:val="upperLetter"/>
      <w:start w:val="2"/>
    </w:lvl>
  </w:abstractNum>
  <w:abstractNum w:abstractNumId="99">
    <w:nsid w:val="5046B5A9"/>
    <w:multiLevelType w:val="hybridMultilevel"/>
    <w:lvl w:ilvl="0">
      <w:lvlJc w:val="left"/>
      <w:lvlText w:val="(%1)"/>
      <w:numFmt w:val="decimal"/>
      <w:start w:val="1"/>
    </w:lvl>
  </w:abstractNum>
  <w:abstractNum w:abstractNumId="100">
    <w:nsid w:val="5D888A08"/>
    <w:multiLevelType w:val="hybridMultilevel"/>
    <w:lvl w:ilvl="0">
      <w:lvlJc w:val="left"/>
      <w:lvlText w:val="(%1)"/>
      <w:numFmt w:val="upperLetter"/>
      <w:start w:val="3"/>
    </w:lvl>
  </w:abstractNum>
  <w:abstractNum w:abstractNumId="101">
    <w:nsid w:val="2A082C70"/>
    <w:multiLevelType w:val="hybridMultilevel"/>
    <w:lvl w:ilvl="0">
      <w:lvlJc w:val="left"/>
      <w:lvlText w:val="(%1)"/>
      <w:numFmt w:val="upperLetter"/>
      <w:start w:val="4"/>
    </w:lvl>
  </w:abstractNum>
  <w:abstractNum w:abstractNumId="102">
    <w:nsid w:val="5EC6AFD4"/>
    <w:multiLevelType w:val="hybridMultilevel"/>
    <w:lvl w:ilvl="0">
      <w:lvlJc w:val="left"/>
      <w:lvlText w:val="(%1)"/>
      <w:numFmt w:val="upperLetter"/>
      <w:start w:val="5"/>
    </w:lvl>
  </w:abstractNum>
  <w:abstractNum w:abstractNumId="103">
    <w:nsid w:val="19E21BB2"/>
    <w:multiLevelType w:val="hybridMultilevel"/>
    <w:lvl w:ilvl="0">
      <w:lvlJc w:val="left"/>
      <w:lvlText w:val="(%1)"/>
      <w:numFmt w:val="decimal"/>
      <w:start w:val="1"/>
    </w:lvl>
  </w:abstractNum>
  <w:abstractNum w:abstractNumId="104">
    <w:nsid w:val="75E0858A"/>
    <w:multiLevelType w:val="hybridMultilevel"/>
    <w:lvl w:ilvl="0">
      <w:lvlJc w:val="left"/>
      <w:lvlText w:val="(%1)"/>
      <w:numFmt w:val="upperLetter"/>
      <w:start w:val="6"/>
    </w:lvl>
  </w:abstractNum>
  <w:abstractNum w:abstractNumId="105">
    <w:nsid w:val="57A61A29"/>
    <w:multiLevelType w:val="hybridMultilevel"/>
    <w:lvl w:ilvl="0">
      <w:lvlJc w:val="left"/>
      <w:lvlText w:val="(%1)"/>
      <w:numFmt w:val="upperLetter"/>
      <w:start w:val="7"/>
    </w:lvl>
  </w:abstractNum>
  <w:abstractNum w:abstractNumId="106">
    <w:nsid w:val="5399C654"/>
    <w:multiLevelType w:val="hybridMultilevel"/>
    <w:lvl w:ilvl="0">
      <w:lvlJc w:val="left"/>
      <w:lvlText w:val="(%1)"/>
      <w:numFmt w:val="upperLetter"/>
      <w:start w:val="8"/>
    </w:lvl>
  </w:abstractNum>
  <w:abstractNum w:abstractNumId="107">
    <w:nsid w:val="20EE1348"/>
    <w:multiLevelType w:val="hybridMultilevel"/>
    <w:lvl w:ilvl="0">
      <w:lvlJc w:val="left"/>
      <w:lvlText w:val="(%1)"/>
      <w:numFmt w:val="upperLetter"/>
      <w:start w:val="9"/>
    </w:lvl>
  </w:abstractNum>
  <w:abstractNum w:abstractNumId="108">
    <w:nsid w:val="4427069A"/>
    <w:multiLevelType w:val="hybridMultilevel"/>
    <w:lvl w:ilvl="0">
      <w:lvlJc w:val="left"/>
      <w:lvlText w:val="(%1)"/>
      <w:numFmt w:val="upperLetter"/>
      <w:start w:val="10"/>
    </w:lvl>
  </w:abstractNum>
  <w:abstractNum w:abstractNumId="109">
    <w:nsid w:val="B37E80A"/>
    <w:multiLevelType w:val="hybridMultilevel"/>
    <w:lvl w:ilvl="0">
      <w:lvlJc w:val="left"/>
      <w:lvlText w:val="(%1)"/>
      <w:numFmt w:val="upperLetter"/>
      <w:start w:val="11"/>
    </w:lvl>
  </w:abstractNum>
  <w:abstractNum w:abstractNumId="110">
    <w:nsid w:val="2157F6BC"/>
    <w:multiLevelType w:val="hybridMultilevel"/>
    <w:lvl w:ilvl="0">
      <w:lvlJc w:val="left"/>
      <w:lvlText w:val="(%1)"/>
      <w:numFmt w:val="decimal"/>
      <w:start w:val="1"/>
    </w:lvl>
  </w:abstractNum>
  <w:abstractNum w:abstractNumId="111">
    <w:nsid w:val="704E1DD5"/>
    <w:multiLevelType w:val="hybridMultilevel"/>
    <w:lvl w:ilvl="0">
      <w:lvlJc w:val="left"/>
      <w:lvlText w:val="(%1)"/>
      <w:numFmt w:val="upperLetter"/>
      <w:start w:val="1"/>
    </w:lvl>
  </w:abstractNum>
  <w:abstractNum w:abstractNumId="112">
    <w:nsid w:val="57D2F10E"/>
    <w:multiLevelType w:val="hybridMultilevel"/>
    <w:lvl w:ilvl="0">
      <w:lvlJc w:val="left"/>
      <w:lvlText w:val="(%1)"/>
      <w:numFmt w:val="upperLetter"/>
      <w:start w:val="2"/>
    </w:lvl>
  </w:abstractNum>
  <w:abstractNum w:abstractNumId="113">
    <w:nsid w:val="BFFAE18"/>
    <w:multiLevelType w:val="hybridMultilevel"/>
    <w:lvl w:ilvl="0">
      <w:lvlJc w:val="left"/>
      <w:lvlText w:val="(%1)"/>
      <w:numFmt w:val="upperLetter"/>
      <w:start w:val="3"/>
    </w:lvl>
  </w:abstractNum>
  <w:abstractNum w:abstractNumId="114">
    <w:nsid w:val="E3E47A8"/>
    <w:multiLevelType w:val="hybridMultilevel"/>
    <w:lvl w:ilvl="0">
      <w:lvlJc w:val="left"/>
      <w:lvlText w:val="(%1)"/>
      <w:numFmt w:val="upperLetter"/>
      <w:start w:val="1"/>
    </w:lvl>
    <w:lvl w:ilvl="1">
      <w:lvlJc w:val="left"/>
      <w:lvlText w:val="(%2)"/>
      <w:numFmt w:val="decimal"/>
      <w:start w:val="1"/>
    </w:lvl>
  </w:abstractNum>
  <w:abstractNum w:abstractNumId="115">
    <w:nsid w:val="2E48F044"/>
    <w:multiLevelType w:val="hybridMultilevel"/>
    <w:lvl w:ilvl="0">
      <w:lvlJc w:val="left"/>
      <w:lvlText w:val="(%1)"/>
      <w:numFmt w:val="upperLetter"/>
      <w:start w:val="5"/>
    </w:lvl>
  </w:abstractNum>
  <w:abstractNum w:abstractNumId="116">
    <w:nsid w:val="49D0FEAC"/>
    <w:multiLevelType w:val="hybridMultilevel"/>
    <w:lvl w:ilvl="0">
      <w:lvlJc w:val="left"/>
      <w:lvlText w:val="(%1)"/>
      <w:numFmt w:val="upperLetter"/>
      <w:start w:val="1"/>
    </w:lvl>
  </w:abstractNum>
  <w:abstractNum w:abstractNumId="117">
    <w:nsid w:val="4BEE5A5B"/>
    <w:multiLevelType w:val="hybridMultilevel"/>
    <w:lvl w:ilvl="0">
      <w:lvlJc w:val="left"/>
      <w:lvlText w:val="(%1)"/>
      <w:numFmt w:val="upperLetter"/>
      <w:start w:val="2"/>
    </w:lvl>
  </w:abstractNum>
  <w:abstractNum w:abstractNumId="118">
    <w:nsid w:val="5551B9F3"/>
    <w:multiLevelType w:val="hybridMultilevel"/>
    <w:lvl w:ilvl="0">
      <w:lvlJc w:val="left"/>
      <w:lvlText w:val="(%1)"/>
      <w:numFmt w:val="upperLetter"/>
      <w:start w:val="1"/>
    </w:lvl>
  </w:abstractNum>
  <w:abstractNum w:abstractNumId="119">
    <w:nsid w:val="24F6AB8E"/>
    <w:multiLevelType w:val="hybridMultilevel"/>
    <w:lvl w:ilvl="0">
      <w:lvlJc w:val="left"/>
      <w:lvlText w:val="(%1)"/>
      <w:numFmt w:val="decimal"/>
      <w:start w:val="1"/>
    </w:lvl>
  </w:abstractNum>
  <w:abstractNum w:abstractNumId="120">
    <w:nsid w:val="634C574C"/>
    <w:multiLevelType w:val="hybridMultilevel"/>
    <w:lvl w:ilvl="0">
      <w:lvlJc w:val="left"/>
      <w:lvlText w:val="(%1)"/>
      <w:numFmt w:val="upperLetter"/>
      <w:start w:val="3"/>
    </w:lvl>
  </w:abstractNum>
  <w:abstractNum w:abstractNumId="121">
    <w:nsid w:val="24E99DD7"/>
    <w:multiLevelType w:val="hybridMultilevel"/>
    <w:lvl w:ilvl="0">
      <w:lvlJc w:val="left"/>
      <w:lvlText w:val="(%1)"/>
      <w:numFmt w:val="decimal"/>
      <w:start w:val="1"/>
    </w:lvl>
  </w:abstractNum>
  <w:abstractNum w:abstractNumId="122">
    <w:nsid w:val="2A31B62D"/>
    <w:multiLevelType w:val="hybridMultilevel"/>
    <w:lvl w:ilvl="0">
      <w:lvlJc w:val="left"/>
      <w:lvlText w:val="(%1)"/>
      <w:numFmt w:val="upperLetter"/>
      <w:start w:val="4"/>
    </w:lvl>
  </w:abstractNum>
  <w:abstractNum w:abstractNumId="123">
    <w:nsid w:val="1849C29B"/>
    <w:multiLevelType w:val="hybridMultilevel"/>
    <w:lvl w:ilvl="0">
      <w:lvlJc w:val="left"/>
      <w:lvlText w:val="(%1)"/>
      <w:numFmt w:val="decimal"/>
      <w:start w:val="1"/>
    </w:lvl>
  </w:abstractNum>
  <w:abstractNum w:abstractNumId="124">
    <w:nsid w:val="7DFF9D09"/>
    <w:multiLevelType w:val="hybridMultilevel"/>
    <w:lvl w:ilvl="0">
      <w:lvlJc w:val="left"/>
      <w:lvlText w:val="%1."/>
      <w:numFmt w:val="decimal"/>
      <w:start w:val="1"/>
    </w:lvl>
    <w:lvl w:ilvl="1">
      <w:lvlJc w:val="left"/>
      <w:lvlText w:val="%2)"/>
      <w:numFmt w:val="lowerLetter"/>
      <w:start w:val="1"/>
    </w:lvl>
  </w:abstractNum>
  <w:abstractNum w:abstractNumId="125">
    <w:nsid w:val="754342"/>
    <w:multiLevelType w:val="hybridMultilevel"/>
    <w:lvl w:ilvl="0">
      <w:lvlJc w:val="left"/>
      <w:lvlText w:val="%1."/>
      <w:numFmt w:val="decimal"/>
      <w:start w:val="1"/>
    </w:lvl>
    <w:lvl w:ilvl="1">
      <w:lvlJc w:val="left"/>
      <w:lvlText w:val="%2)"/>
      <w:numFmt w:val="lowerLetter"/>
      <w:start w:val="1"/>
    </w:lvl>
  </w:abstractNum>
  <w:abstractNum w:abstractNumId="126">
    <w:nsid w:val="69E7F3E5"/>
    <w:multiLevelType w:val="hybridMultilevel"/>
    <w:lvl w:ilvl="0">
      <w:lvlJc w:val="left"/>
      <w:lvlText w:val="(%1)"/>
      <w:numFmt w:val="decimal"/>
      <w:start w:val="1"/>
    </w:lvl>
  </w:abstractNum>
  <w:abstractNum w:abstractNumId="127">
    <w:nsid w:val="2A6DE806"/>
    <w:multiLevelType w:val="hybridMultilevel"/>
    <w:lvl w:ilvl="0">
      <w:lvlJc w:val="left"/>
      <w:lvlText w:val="(%1)"/>
      <w:numFmt w:val="decimal"/>
      <w:start w:val="1"/>
    </w:lvl>
  </w:abstractNum>
  <w:abstractNum w:abstractNumId="128">
    <w:nsid w:val="1816F8C4"/>
    <w:multiLevelType w:val="hybridMultilevel"/>
    <w:lvl w:ilvl="0">
      <w:lvlJc w:val="left"/>
      <w:lvlText w:val="%1."/>
      <w:numFmt w:val="decimal"/>
      <w:start w:val="1"/>
    </w:lvl>
  </w:abstractNum>
  <w:abstractNum w:abstractNumId="129">
    <w:nsid w:val="37DF2233"/>
    <w:multiLevelType w:val="hybridMultilevel"/>
    <w:lvl w:ilvl="0">
      <w:lvlJc w:val="left"/>
      <w:lvlText w:val="%1."/>
      <w:numFmt w:val="decimal"/>
      <w:start w:val="2"/>
    </w:lvl>
  </w:abstractNum>
  <w:abstractNum w:abstractNumId="130">
    <w:nsid w:val="7AB49DAF"/>
    <w:multiLevelType w:val="hybridMultilevel"/>
    <w:lvl w:ilvl="0">
      <w:lvlJc w:val="left"/>
      <w:lvlText w:val="%1."/>
      <w:numFmt w:val="decimal"/>
      <w:start w:val="3"/>
    </w:lvl>
  </w:abstractNum>
  <w:abstractNum w:abstractNumId="131">
    <w:nsid w:val="759F82CD"/>
    <w:multiLevelType w:val="hybridMultilevel"/>
    <w:lvl w:ilvl="0">
      <w:lvlJc w:val="left"/>
      <w:lvlText w:val="%1."/>
      <w:numFmt w:val="decimal"/>
      <w:start w:val="4"/>
    </w:lvl>
  </w:abstractNum>
  <w:abstractNum w:abstractNumId="132">
    <w:nsid w:val="61E74EA3"/>
    <w:multiLevelType w:val="hybridMultilevel"/>
    <w:lvl w:ilvl="0">
      <w:lvlJc w:val="left"/>
      <w:lvlText w:val="%1."/>
      <w:numFmt w:val="decimal"/>
      <w:start w:val="5"/>
    </w:lvl>
  </w:abstractNum>
  <w:abstractNum w:abstractNumId="133">
    <w:nsid w:val="597B4D84"/>
    <w:multiLevelType w:val="hybridMultilevel"/>
    <w:lvl w:ilvl="0">
      <w:lvlJc w:val="left"/>
      <w:lvlText w:val="%1."/>
      <w:numFmt w:val="decimal"/>
      <w:start w:val="6"/>
    </w:lvl>
  </w:abstractNum>
  <w:abstractNum w:abstractNumId="134">
    <w:nsid w:val="F819E7F"/>
    <w:multiLevelType w:val="hybridMultilevel"/>
    <w:lvl w:ilvl="0">
      <w:lvlJc w:val="left"/>
      <w:lvlText w:val="%1."/>
      <w:numFmt w:val="decimal"/>
      <w:start w:val="7"/>
    </w:lvl>
  </w:abstractNum>
  <w:abstractNum w:abstractNumId="135">
    <w:nsid w:val="57C7D42D"/>
    <w:multiLevelType w:val="hybridMultilevel"/>
    <w:lvl w:ilvl="0">
      <w:lvlJc w:val="left"/>
      <w:lvlText w:val="%1."/>
      <w:numFmt w:val="decimal"/>
      <w:start w:val="8"/>
    </w:lvl>
  </w:abstractNum>
  <w:abstractNum w:abstractNumId="136">
    <w:nsid w:val="312167AD"/>
    <w:multiLevelType w:val="hybridMultilevel"/>
    <w:lvl w:ilvl="0">
      <w:lvlJc w:val="left"/>
      <w:lvlText w:val="%1."/>
      <w:numFmt w:val="decimal"/>
      <w:start w:val="9"/>
    </w:lvl>
  </w:abstractNum>
  <w:abstractNum w:abstractNumId="137">
    <w:nsid w:val="631B64D4"/>
    <w:multiLevelType w:val="hybridMultilevel"/>
    <w:lvl w:ilvl="0">
      <w:lvlJc w:val="left"/>
      <w:lvlText w:val="%1."/>
      <w:numFmt w:val="decimal"/>
      <w:start w:val="1"/>
    </w:lvl>
  </w:abstractNum>
  <w:abstractNum w:abstractNumId="138">
    <w:nsid w:val="78B5E776"/>
    <w:multiLevelType w:val="hybridMultilevel"/>
    <w:lvl w:ilvl="0">
      <w:lvlJc w:val="left"/>
      <w:lvlText w:val="%1."/>
      <w:numFmt w:val="decimal"/>
      <w:start w:val="2"/>
    </w:lvl>
  </w:abstractNum>
  <w:abstractNum w:abstractNumId="139">
    <w:nsid w:val="75486E47"/>
    <w:multiLevelType w:val="hybridMultilevel"/>
    <w:lvl w:ilvl="0">
      <w:lvlJc w:val="left"/>
      <w:lvlText w:val="%1."/>
      <w:numFmt w:val="decimal"/>
      <w:start w:val="3"/>
    </w:lvl>
  </w:abstractNum>
  <w:abstractNum w:abstractNumId="140">
    <w:nsid w:val="6E534CDE"/>
    <w:multiLevelType w:val="hybridMultilevel"/>
    <w:lvl w:ilvl="0">
      <w:lvlJc w:val="left"/>
      <w:lvlText w:val="%1."/>
      <w:numFmt w:val="decimal"/>
      <w:start w:val="4"/>
    </w:lvl>
  </w:abstractNum>
  <w:abstractNum w:abstractNumId="141">
    <w:nsid w:val="1A0DDE32"/>
    <w:multiLevelType w:val="hybridMultilevel"/>
    <w:lvl w:ilvl="0">
      <w:lvlJc w:val="left"/>
      <w:lvlText w:val="%1."/>
      <w:numFmt w:val="decimal"/>
      <w:start w:val="5"/>
    </w:lvl>
  </w:abstractNum>
  <w:abstractNum w:abstractNumId="142">
    <w:nsid w:val="65968C1C"/>
    <w:multiLevelType w:val="hybridMultilevel"/>
    <w:lvl w:ilvl="0">
      <w:lvlJc w:val="left"/>
      <w:lvlText w:val="%1."/>
      <w:numFmt w:val="decimal"/>
      <w:start w:val="6"/>
    </w:lvl>
  </w:abstractNum>
  <w:abstractNum w:abstractNumId="143">
    <w:nsid w:val="46263DEC"/>
    <w:multiLevelType w:val="hybridMultilevel"/>
    <w:lvl w:ilvl="0">
      <w:lvlJc w:val="left"/>
      <w:lvlText w:val="%1."/>
      <w:numFmt w:val="decimal"/>
      <w:start w:val="7"/>
    </w:lvl>
  </w:abstractNum>
  <w:abstractNum w:abstractNumId="144">
    <w:nsid w:val="260D8C4A"/>
    <w:multiLevelType w:val="hybridMultilevel"/>
    <w:lvl w:ilvl="0">
      <w:lvlJc w:val="left"/>
      <w:lvlText w:val="%1."/>
      <w:numFmt w:val="decimal"/>
      <w:start w:val="8"/>
    </w:lvl>
  </w:abstractNum>
  <w:abstractNum w:abstractNumId="145">
    <w:nsid w:val="73D4D3C4"/>
    <w:multiLevelType w:val="hybridMultilevel"/>
    <w:lvl w:ilvl="0">
      <w:lvlJc w:val="left"/>
      <w:lvlText w:val="%1."/>
      <w:numFmt w:val="decimal"/>
      <w:start w:val="9"/>
    </w:lvl>
  </w:abstractNum>
  <w:abstractNum w:abstractNumId="146">
    <w:nsid w:val="746F2E30"/>
    <w:multiLevelType w:val="hybridMultilevel"/>
    <w:lvl w:ilvl="0">
      <w:lvlJc w:val="left"/>
      <w:lvlText w:val="%1."/>
      <w:numFmt w:val="decimal"/>
      <w:start w:val="1"/>
    </w:lvl>
  </w:abstractNum>
  <w:abstractNum w:abstractNumId="147">
    <w:nsid w:val="6FDE8AF6"/>
    <w:multiLevelType w:val="hybridMultilevel"/>
    <w:lvl w:ilvl="0">
      <w:lvlJc w:val="left"/>
      <w:lvlText w:val="%1."/>
      <w:numFmt w:val="decimal"/>
      <w:start w:val="2"/>
    </w:lvl>
  </w:abstractNum>
  <w:abstractNum w:abstractNumId="148">
    <w:nsid w:val="3FC32E20"/>
    <w:multiLevelType w:val="hybridMultilevel"/>
    <w:lvl w:ilvl="0">
      <w:lvlJc w:val="left"/>
      <w:lvlText w:val="%1."/>
      <w:numFmt w:val="decimal"/>
      <w:start w:val="3"/>
    </w:lvl>
  </w:abstractNum>
  <w:abstractNum w:abstractNumId="149">
    <w:nsid w:val="49C0E823"/>
    <w:multiLevelType w:val="hybridMultilevel"/>
    <w:lvl w:ilvl="0">
      <w:lvlJc w:val="left"/>
      <w:lvlText w:val="%1."/>
      <w:numFmt w:val="decimal"/>
      <w:start w:val="4"/>
    </w:lvl>
  </w:abstractNum>
  <w:abstractNum w:abstractNumId="150">
    <w:nsid w:val="14D53685"/>
    <w:multiLevelType w:val="hybridMultilevel"/>
    <w:lvl w:ilvl="0">
      <w:lvlJc w:val="left"/>
      <w:lvlText w:val="%1."/>
      <w:numFmt w:val="decimal"/>
      <w:start w:val="5"/>
    </w:lvl>
  </w:abstractNum>
  <w:abstractNum w:abstractNumId="151">
    <w:nsid w:val="230F856C"/>
    <w:multiLevelType w:val="hybridMultilevel"/>
    <w:lvl w:ilvl="0">
      <w:lvlJc w:val="left"/>
      <w:lvlText w:val="%1."/>
      <w:numFmt w:val="decimal"/>
      <w:start w:val="6"/>
    </w:lvl>
  </w:abstractNum>
  <w:abstractNum w:abstractNumId="152">
    <w:nsid w:val="6EAA85FB"/>
    <w:multiLevelType w:val="hybridMultilevel"/>
    <w:lvl w:ilvl="0">
      <w:lvlJc w:val="left"/>
      <w:lvlText w:val="%1."/>
      <w:numFmt w:val="decimal"/>
      <w:start w:val="7"/>
    </w:lvl>
  </w:abstractNum>
  <w:abstractNum w:abstractNumId="153">
    <w:nsid w:val="3F06ECB2"/>
    <w:multiLevelType w:val="hybridMultilevel"/>
    <w:lvl w:ilvl="0">
      <w:lvlJc w:val="left"/>
      <w:lvlText w:val="%1."/>
      <w:numFmt w:val="decimal"/>
      <w:start w:val="8"/>
    </w:lvl>
  </w:abstractNum>
  <w:abstractNum w:abstractNumId="154">
    <w:nsid w:val="3B594807"/>
    <w:multiLevelType w:val="hybridMultilevel"/>
    <w:lvl w:ilvl="0">
      <w:lvlJc w:val="left"/>
      <w:lvlText w:val="%1."/>
      <w:numFmt w:val="decimal"/>
      <w:start w:val="9"/>
    </w:lvl>
  </w:abstractNum>
  <w:abstractNum w:abstractNumId="155">
    <w:nsid w:val="6CAA2304"/>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43" Type="http://schemas.openxmlformats.org/officeDocument/2006/relationships/image" Target="media/image116.png"/><Relationship Id="rId144" Type="http://schemas.openxmlformats.org/officeDocument/2006/relationships/image" Target="media/image117.png"/><Relationship Id="rId145" Type="http://schemas.openxmlformats.org/officeDocument/2006/relationships/image" Target="media/image118.png"/><Relationship Id="rId146" Type="http://schemas.openxmlformats.org/officeDocument/2006/relationships/image" Target="media/image119.png"/><Relationship Id="rId147" Type="http://schemas.openxmlformats.org/officeDocument/2006/relationships/image" Target="media/image120.png"/><Relationship Id="rId148" Type="http://schemas.openxmlformats.org/officeDocument/2006/relationships/image" Target="media/image121.png"/><Relationship Id="rId149" Type="http://schemas.openxmlformats.org/officeDocument/2006/relationships/image" Target="media/image122.png"/><Relationship Id="rId150" Type="http://schemas.openxmlformats.org/officeDocument/2006/relationships/image" Target="media/image123.png"/><Relationship Id="rId151" Type="http://schemas.openxmlformats.org/officeDocument/2006/relationships/image" Target="media/image124.png"/><Relationship Id="rId152" Type="http://schemas.openxmlformats.org/officeDocument/2006/relationships/image" Target="media/image125.png"/><Relationship Id="rId153" Type="http://schemas.openxmlformats.org/officeDocument/2006/relationships/image" Target="media/image126.png"/><Relationship Id="rId154" Type="http://schemas.openxmlformats.org/officeDocument/2006/relationships/image" Target="media/image127.png"/><Relationship Id="rId155" Type="http://schemas.openxmlformats.org/officeDocument/2006/relationships/image" Target="media/image128.png"/><Relationship Id="rId156" Type="http://schemas.openxmlformats.org/officeDocument/2006/relationships/image" Target="media/image129.png"/><Relationship Id="rId157" Type="http://schemas.openxmlformats.org/officeDocument/2006/relationships/image" Target="media/image130.png"/><Relationship Id="rId158" Type="http://schemas.openxmlformats.org/officeDocument/2006/relationships/image" Target="media/image131.png"/><Relationship Id="rId159" Type="http://schemas.openxmlformats.org/officeDocument/2006/relationships/image" Target="media/image132.png"/><Relationship Id="rId160"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4" Type="http://schemas.openxmlformats.org/officeDocument/2006/relationships/image" Target="media/image137.png"/><Relationship Id="rId165" Type="http://schemas.openxmlformats.org/officeDocument/2006/relationships/image" Target="media/image138.png"/><Relationship Id="rId166" Type="http://schemas.openxmlformats.org/officeDocument/2006/relationships/image" Target="media/image139.png"/><Relationship Id="rId167" Type="http://schemas.openxmlformats.org/officeDocument/2006/relationships/image" Target="media/image140.png"/><Relationship Id="rId168" Type="http://schemas.openxmlformats.org/officeDocument/2006/relationships/image" Target="media/image141.png"/><Relationship Id="rId169" Type="http://schemas.openxmlformats.org/officeDocument/2006/relationships/image" Target="media/image142.png"/><Relationship Id="rId170" Type="http://schemas.openxmlformats.org/officeDocument/2006/relationships/image" Target="media/image143.png"/><Relationship Id="rId171" Type="http://schemas.openxmlformats.org/officeDocument/2006/relationships/image" Target="media/image144.png"/><Relationship Id="rId172" Type="http://schemas.openxmlformats.org/officeDocument/2006/relationships/image" Target="media/image145.png"/><Relationship Id="rId173" Type="http://schemas.openxmlformats.org/officeDocument/2006/relationships/image" Target="media/image146.png"/><Relationship Id="rId174" Type="http://schemas.openxmlformats.org/officeDocument/2006/relationships/image" Target="media/image147.png"/><Relationship Id="rId175" Type="http://schemas.openxmlformats.org/officeDocument/2006/relationships/image" Target="media/image148.png"/><Relationship Id="rId176" Type="http://schemas.openxmlformats.org/officeDocument/2006/relationships/image" Target="media/image149.png"/><Relationship Id="rId177" Type="http://schemas.openxmlformats.org/officeDocument/2006/relationships/image" Target="media/image150.png"/><Relationship Id="rId178" Type="http://schemas.openxmlformats.org/officeDocument/2006/relationships/image" Target="media/image151.png"/><Relationship Id="rId179" Type="http://schemas.openxmlformats.org/officeDocument/2006/relationships/image" Target="media/image152.png"/><Relationship Id="rId180" Type="http://schemas.openxmlformats.org/officeDocument/2006/relationships/image" Target="media/image153.png"/><Relationship Id="rId181" Type="http://schemas.openxmlformats.org/officeDocument/2006/relationships/image" Target="media/image154.png"/><Relationship Id="rId182" Type="http://schemas.openxmlformats.org/officeDocument/2006/relationships/image" Target="media/image155.png"/><Relationship Id="rId18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86" Type="http://schemas.openxmlformats.org/officeDocument/2006/relationships/image" Target="media/image159.png"/><Relationship Id="rId187" Type="http://schemas.openxmlformats.org/officeDocument/2006/relationships/image" Target="media/image160.png"/><Relationship Id="rId188" Type="http://schemas.openxmlformats.org/officeDocument/2006/relationships/image" Target="media/image161.png"/><Relationship Id="rId189" Type="http://schemas.openxmlformats.org/officeDocument/2006/relationships/image" Target="media/image162.png"/><Relationship Id="rId190" Type="http://schemas.openxmlformats.org/officeDocument/2006/relationships/image" Target="media/image163.png"/><Relationship Id="rId191" Type="http://schemas.openxmlformats.org/officeDocument/2006/relationships/image" Target="media/image164.png"/><Relationship Id="rId192" Type="http://schemas.openxmlformats.org/officeDocument/2006/relationships/image" Target="media/image165.png"/><Relationship Id="rId193" Type="http://schemas.openxmlformats.org/officeDocument/2006/relationships/image" Target="media/image166.png"/><Relationship Id="rId194" Type="http://schemas.openxmlformats.org/officeDocument/2006/relationships/image" Target="media/image167.png"/><Relationship Id="rId195" Type="http://schemas.openxmlformats.org/officeDocument/2006/relationships/image" Target="media/image168.png"/><Relationship Id="rId196" Type="http://schemas.openxmlformats.org/officeDocument/2006/relationships/image" Target="media/image169.png"/><Relationship Id="rId197" Type="http://schemas.openxmlformats.org/officeDocument/2006/relationships/image" Target="media/image170.png"/><Relationship Id="rId198" Type="http://schemas.openxmlformats.org/officeDocument/2006/relationships/image" Target="media/image171.png"/><Relationship Id="rId199" Type="http://schemas.openxmlformats.org/officeDocument/2006/relationships/image" Target="media/image172.jpeg"/><Relationship Id="rId200"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jpe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212" Type="http://schemas.openxmlformats.org/officeDocument/2006/relationships/image" Target="media/image185.png"/><Relationship Id="rId213" Type="http://schemas.openxmlformats.org/officeDocument/2006/relationships/image" Target="media/image186.png"/><Relationship Id="rId214" Type="http://schemas.openxmlformats.org/officeDocument/2006/relationships/image" Target="media/image187.png"/><Relationship Id="rId215" Type="http://schemas.openxmlformats.org/officeDocument/2006/relationships/image" Target="media/image188.png"/><Relationship Id="rId216" Type="http://schemas.openxmlformats.org/officeDocument/2006/relationships/image" Target="media/image189.png"/><Relationship Id="rId217" Type="http://schemas.openxmlformats.org/officeDocument/2006/relationships/image" Target="media/image190.png"/><Relationship Id="rId218" Type="http://schemas.openxmlformats.org/officeDocument/2006/relationships/image" Target="media/image191.png"/><Relationship Id="rId219" Type="http://schemas.openxmlformats.org/officeDocument/2006/relationships/image" Target="media/image192.png"/><Relationship Id="rId220" Type="http://schemas.openxmlformats.org/officeDocument/2006/relationships/image" Target="media/image193.png"/><Relationship Id="rId221" Type="http://schemas.openxmlformats.org/officeDocument/2006/relationships/image" Target="media/image194.png"/><Relationship Id="rId222" Type="http://schemas.openxmlformats.org/officeDocument/2006/relationships/image" Target="media/image195.png"/><Relationship Id="rId223" Type="http://schemas.openxmlformats.org/officeDocument/2006/relationships/image" Target="media/image196.png"/><Relationship Id="rId224" Type="http://schemas.openxmlformats.org/officeDocument/2006/relationships/image" Target="media/image197.png"/><Relationship Id="rId225" Type="http://schemas.openxmlformats.org/officeDocument/2006/relationships/image" Target="media/image198.png"/><Relationship Id="rId226" Type="http://schemas.openxmlformats.org/officeDocument/2006/relationships/image" Target="media/image199.png"/><Relationship Id="rId227" Type="http://schemas.openxmlformats.org/officeDocument/2006/relationships/image" Target="media/image200.png"/><Relationship Id="rId228" Type="http://schemas.openxmlformats.org/officeDocument/2006/relationships/image" Target="media/image201.png"/><Relationship Id="rId229" Type="http://schemas.openxmlformats.org/officeDocument/2006/relationships/image" Target="media/image202.png"/><Relationship Id="rId230" Type="http://schemas.openxmlformats.org/officeDocument/2006/relationships/image" Target="media/image203.png"/><Relationship Id="rId231" Type="http://schemas.openxmlformats.org/officeDocument/2006/relationships/image" Target="media/image204.png"/><Relationship Id="rId232" Type="http://schemas.openxmlformats.org/officeDocument/2006/relationships/image" Target="media/image205.png"/><Relationship Id="rId233" Type="http://schemas.openxmlformats.org/officeDocument/2006/relationships/image" Target="media/image206.png"/><Relationship Id="rId234" Type="http://schemas.openxmlformats.org/officeDocument/2006/relationships/image" Target="media/image207.png"/><Relationship Id="rId235" Type="http://schemas.openxmlformats.org/officeDocument/2006/relationships/image" Target="media/image208.png"/><Relationship Id="rId23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121" Type="http://schemas.openxmlformats.org/officeDocument/2006/relationships/hyperlink" Target="http://www.sec.gov/Archives/edgar/data/1383414/000119312507075646/dex99a.htm" TargetMode="External"/><Relationship Id="rId122" Type="http://schemas.openxmlformats.org/officeDocument/2006/relationships/hyperlink" Target="http://www.sec.gov/Archives/edgar/data/1383414/000156459020024172/pnnt-ex32_163.htm" TargetMode="External"/><Relationship Id="rId123" Type="http://schemas.openxmlformats.org/officeDocument/2006/relationships/hyperlink" Target="http://www.sec.gov/Archives/edgar/data/1383414/000119312508072557/dex99d1.htm" TargetMode="External"/><Relationship Id="rId124" Type="http://schemas.openxmlformats.org/officeDocument/2006/relationships/hyperlink" Target="http://www.sec.gov/Archives/edgar/data/1383414/000119312513018556/d470556dex99d8.htm" TargetMode="External"/><Relationship Id="rId125" Type="http://schemas.openxmlformats.org/officeDocument/2006/relationships/hyperlink" Target="http://www.sec.gov/Archives/edgar/data/1383414/000119312514349933/d793312dex99d11.htm" TargetMode="External"/><Relationship Id="rId126" Type="http://schemas.openxmlformats.org/officeDocument/2006/relationships/hyperlink" Target="http://www.sec.gov/Archives/edgar/data/1383414/000119312519257341/d812658dex41.htm" TargetMode="External"/><Relationship Id="rId127" Type="http://schemas.openxmlformats.org/officeDocument/2006/relationships/hyperlink" Target="http://www.sec.gov/Archives/edgar/data/1383414/000156459019044110/pnnt-ex47_7.htm" TargetMode="External"/><Relationship Id="rId128" Type="http://schemas.openxmlformats.org/officeDocument/2006/relationships/hyperlink" Target="http://www.sec.gov/Archives/edgar/data/1383414/000119312508072557/dex99k1.htm" TargetMode="External"/><Relationship Id="rId129" Type="http://schemas.openxmlformats.org/officeDocument/2006/relationships/hyperlink" Target="http://www.sec.gov/Archives/edgar/data/1383414/000119312508072557/dex99e.htm" TargetMode="External"/><Relationship Id="rId130" Type="http://schemas.openxmlformats.org/officeDocument/2006/relationships/hyperlink" Target="http://www.sec.gov/Archives/edgar/data/1383414/000156459017015976/pnnt-ex101_12.htm" TargetMode="External"/><Relationship Id="rId131" Type="http://schemas.openxmlformats.org/officeDocument/2006/relationships/hyperlink" Target="http://www.sec.gov/Archives/edgar/data/1383414/000119312516773701/d285279dex105.htm" TargetMode="External"/><Relationship Id="rId132" Type="http://schemas.openxmlformats.org/officeDocument/2006/relationships/hyperlink" Target="http://www.sec.gov/Archives/edgar/data/1383414/000119312519052085/d704263dex101.htm" TargetMode="External"/><Relationship Id="rId133" Type="http://schemas.openxmlformats.org/officeDocument/2006/relationships/hyperlink" Target="http://www.sec.gov/Archives/edgar/data/1383414/000119312519052085/d704263dex102.htm" TargetMode="External"/><Relationship Id="rId134" Type="http://schemas.openxmlformats.org/officeDocument/2006/relationships/hyperlink" Target="http://www.sec.gov/Archives/edgar/data/1383414/000119312519052085/d704263dex103.htm" TargetMode="External"/><Relationship Id="rId135" Type="http://schemas.openxmlformats.org/officeDocument/2006/relationships/hyperlink" Target="http://www.sec.gov/Archives/edgar/data/1383414/000119312519052085/d704263dex104.htm" TargetMode="External"/><Relationship Id="rId136" Type="http://schemas.openxmlformats.org/officeDocument/2006/relationships/hyperlink" Target="http://www.sec.gov/Archives/edgar/data/1383414/000119312519105161/d630383dex99g3.htm" TargetMode="External"/><Relationship Id="rId139" Type="http://schemas.openxmlformats.org/officeDocument/2006/relationships/hyperlink" Target="http://www.sec.gov/Archives/edgar/data/1383414/000119312519240958/d761962dex101.htm" TargetMode="External"/><Relationship Id="rId140" Type="http://schemas.openxmlformats.org/officeDocument/2006/relationships/hyperlink" Target="http://www.sec.gov/Archives/edgar/data/1383414/000119312520208851/d41849dex101.htm" TargetMode="External"/><Relationship Id="rId141" Type="http://schemas.openxmlformats.org/officeDocument/2006/relationships/hyperlink" Target="http://www.sec.gov/Archives/edgar/data/1383414/000119312520208851/d41849dex102.htm" TargetMode="External"/><Relationship Id="rId142"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2020-11-19T15:10:24Z</dcterms:created>
  <dcterms:modified xsi:type="dcterms:W3CDTF">2020-11-19T15:10:24Z</dcterms:modified>
</cp:coreProperties>
</file>