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08, 2017</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jc w:val="both"/>
        <w:ind w:left="40" w:right="20"/>
        <w:spacing w:after="0"/>
        <w:rPr>
          <w:sz w:val="20"/>
          <w:szCs w:val="20"/>
          <w:color w:val="auto"/>
        </w:rPr>
      </w:pPr>
      <w:r>
        <w:rPr>
          <w:rFonts w:ascii="Arial" w:cs="Arial" w:eastAsia="Arial" w:hAnsi="Arial"/>
          <w:sz w:val="22"/>
          <w:szCs w:val="22"/>
          <w:color w:val="auto"/>
        </w:rPr>
        <w:t>On February 8, 2017, PennantPark Investment Corporation issued a press release announcing financial results for the first fiscal quarter ended December 31, 2016.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2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spacing w:after="0" w:line="252" w:lineRule="auto"/>
        <w:rPr>
          <w:sz w:val="20"/>
          <w:szCs w:val="20"/>
          <w:color w:val="auto"/>
        </w:rPr>
      </w:pPr>
      <w:r>
        <w:rPr>
          <w:rFonts w:ascii="Arial" w:cs="Arial" w:eastAsia="Arial" w:hAnsi="Arial"/>
          <w:sz w:val="21"/>
          <w:szCs w:val="21"/>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February 08,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08, 2017</w:t>
            </w:r>
          </w:p>
        </w:tc>
        <w:tc>
          <w:tcPr>
            <w:tcW w:w="6520" w:type="dxa"/>
            <w:vAlign w:val="bottom"/>
            <w:gridSpan w:val="3"/>
          </w:tcPr>
          <w:p>
            <w:pPr>
              <w:ind w:left="17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920" w:type="dxa"/>
            <w:vAlign w:val="bottom"/>
          </w:tcPr>
          <w:p>
            <w:pPr>
              <w:spacing w:after="0"/>
              <w:rPr>
                <w:sz w:val="24"/>
                <w:szCs w:val="24"/>
                <w:color w:val="auto"/>
              </w:rPr>
            </w:pPr>
          </w:p>
        </w:tc>
        <w:tc>
          <w:tcPr>
            <w:tcW w:w="652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52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52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February 08, 2017</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361" w:right="459" w:bottom="1440" w:gutter="0" w:footer="0" w:header="0"/>
        </w:sectPr>
      </w:pPr>
    </w:p>
    <w:bookmarkStart w:id="2" w:name="page3"/>
    <w:bookmarkEnd w:id="2"/>
    <w:p>
      <w:pPr>
        <w:spacing w:after="0" w:line="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PennantPark Investment Corporation Announces Financial Results for the Quarter Ended December 31, 2016</w:t>
      </w:r>
    </w:p>
    <w:p>
      <w:pPr>
        <w:spacing w:after="0" w:line="224"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NEW YORK, NY -- (Marketwired - February 08, 2017) - PennantPark Investment Corporation (NASDAQ: PNNT) announces today financial results for the first fiscal quarter ended December 31, 2016.</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December 31, 2016</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1,325.5</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647.5</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9.11</w:t>
            </w:r>
          </w:p>
        </w:tc>
      </w:tr>
      <w:tr>
        <w:trPr>
          <w:trHeight w:val="405"/>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Credit Facility</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136.1</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2019 Notes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250.6</w:t>
            </w:r>
          </w:p>
        </w:tc>
      </w:tr>
      <w:tr>
        <w:trPr>
          <w:trHeight w:val="202"/>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SBA debentures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193.4</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2025 Notes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71.5</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11.9%</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229.2</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64.2</w:t>
            </w:r>
          </w:p>
        </w:tc>
      </w:tr>
      <w:tr>
        <w:trPr>
          <w:trHeight w:val="405"/>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04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104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 at quarter-end</w:t>
            </w:r>
          </w:p>
        </w:tc>
        <w:tc>
          <w:tcPr>
            <w:tcW w:w="104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9, 2017</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Investment Corporation ("we," "our," "us" or "Company") will host a conference call at 10:00 a.m. (Eastern Time) on Thursday, February 9, 2017 to discuss its financial results. All interested parties are welcome to participate. You can access the conference call by dialing (877) 627-6590 approximately 5-10 minutes prior to the call. International callers should dial (719)</w:t>
      </w:r>
    </w:p>
    <w:p>
      <w:pPr>
        <w:spacing w:after="0" w:line="1" w:lineRule="exact"/>
        <w:rPr>
          <w:sz w:val="20"/>
          <w:szCs w:val="20"/>
          <w:color w:val="auto"/>
        </w:rPr>
      </w:pPr>
    </w:p>
    <w:p>
      <w:pPr>
        <w:jc w:val="both"/>
        <w:ind w:right="420"/>
        <w:spacing w:after="0" w:line="234" w:lineRule="auto"/>
        <w:rPr>
          <w:sz w:val="20"/>
          <w:szCs w:val="20"/>
          <w:color w:val="auto"/>
        </w:rPr>
      </w:pPr>
      <w:r>
        <w:rPr>
          <w:rFonts w:ascii="Arial" w:cs="Arial" w:eastAsia="Arial" w:hAnsi="Arial"/>
          <w:sz w:val="22"/>
          <w:szCs w:val="22"/>
          <w:color w:val="auto"/>
        </w:rPr>
        <w:t>325-4790. All callers should reference PennantPark Investment Corporation. An archived replay of the call will be available through February 23, 2017 by calling (888) 203-1112. International callers please dial (719) 457-0820. For all phone replays, please reference conference ID #4503840.</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As of December 31, 2016, our portfolio totaled $1,325.5 million and consisted of $522.2 million of senior secured debt, $442.9 million of second lien secured debt, $206.7 million of subordinated debt and $153.7 million of preferred and common equity. Our debt portfolio consisted of 81% variable-rate investments (including 74% with a floor) and 19% fixed-rate investments. As of December 31, 2016, we had two companies on non-accrual, representing 1.1% and 0.3% of our overall portfolio on a cost and fair value basis, respectively. Overall, the portfolio had net unrealized depreciation of $74.9 million as of December 31, 2016. Our overall portfolio consisted of 60 companies with an average investment size of $22.1 million, had a weighted average yield on interest bearing debt investments of 11.9% and was invested 39% in senior secured debt, 33% in second lien secured debt, 16% in subordinated debt and 12% in preferred and common equity.</w:t>
      </w:r>
    </w:p>
    <w:p>
      <w:pPr>
        <w:spacing w:after="0" w:line="157"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As of September 30, 2016, our portfolio totaled $1,153.7 million and consisted of $397.1 million of senior secured debt, $425.4 million of second lien secured debt, $177.6 million of subordinated debt and $153.6 million of preferred and common equity. Our debt portfolio consisted of 78% variable-rate investments (including 72% a floor) and 22% fixed-rate investments. As of September 30, 2016, we had four companies on non-accrual, representing 5.3% and 2.8% of our overall portfolio on a cost and fair value basis, respectively. Overall, the portfolio had net unrealized depreciation of $100.3 million as of September 30, 2016. Our overall portfolio consisted of 56 companies with an average investment size of $20.6 million, had a weighted average yield on interest bearing debt investments of 11.9% and was invested 35% in senior secured debt, 37% in second lien secured debt, 15% in subordinated debt and 13% in preferred and common equity.</w:t>
      </w:r>
    </w:p>
    <w:p>
      <w:pPr>
        <w:spacing w:after="0" w:line="157"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For the three months ended December 31, 2016, we invested $229.2 million in nine new and seven existing portfolio companies with a weighted average yield on debt investments of 11.2%. Sales and repayments of investments for the three months ended December 31, 2016 totaled $64.2 million.</w:t>
      </w:r>
    </w:p>
    <w:p>
      <w:pPr>
        <w:spacing w:after="0" w:line="186" w:lineRule="exact"/>
        <w:rPr>
          <w:sz w:val="20"/>
          <w:szCs w:val="20"/>
          <w:color w:val="auto"/>
        </w:rPr>
      </w:pPr>
    </w:p>
    <w:p>
      <w:pPr>
        <w:jc w:val="both"/>
        <w:ind w:right="360"/>
        <w:spacing w:after="0"/>
        <w:rPr>
          <w:sz w:val="20"/>
          <w:szCs w:val="20"/>
          <w:color w:val="auto"/>
        </w:rPr>
      </w:pPr>
      <w:r>
        <w:rPr>
          <w:rFonts w:ascii="Arial" w:cs="Arial" w:eastAsia="Arial" w:hAnsi="Arial"/>
          <w:sz w:val="22"/>
          <w:szCs w:val="22"/>
          <w:color w:val="auto"/>
        </w:rPr>
        <w:t>For the three months ended December 31, 2015, we invested $130.3 million in four new and six existing portfolio companies with a weighted average yield on debt investments of 11.9%. Sales and repayments of investments for the three months ended December 31, 2015 totaled $108.1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2016 and 2015.</w:t>
      </w:r>
    </w:p>
    <w:p>
      <w:pPr>
        <w:sectPr>
          <w:pgSz w:w="11900" w:h="16880" w:orient="portrait"/>
          <w:cols w:equalWidth="0" w:num="1">
            <w:col w:w="11240"/>
          </w:cols>
          <w:pgMar w:left="320" w:top="111" w:right="339" w:bottom="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Investment Income</w:t>
      </w:r>
    </w:p>
    <w:p>
      <w:pPr>
        <w:spacing w:after="0" w:line="213"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Investment income for the three months ended December 31, 2016 was $31.9 million and was attributable to $13.2 million from senior secured debt, $12.7 million from second lien secured debt, $4.9 million from subordinated debt and $1.1 million from preferred and common equity, respectively. Investment income for the three months ended December 31, 2015 was $35.3 million and was attributable to $12.9 million from senior secured debt, $17.4 million from second lien secured debt and $5.0 million from subordinated debt, respectively. The decrease in investment income compared with the same period in the prior year was primarily due to a lower yielding portfolio.</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280"/>
        <w:spacing w:after="0" w:line="275" w:lineRule="auto"/>
        <w:rPr>
          <w:sz w:val="20"/>
          <w:szCs w:val="20"/>
          <w:color w:val="auto"/>
        </w:rPr>
      </w:pPr>
      <w:r>
        <w:rPr>
          <w:rFonts w:ascii="Arial" w:cs="Arial" w:eastAsia="Arial" w:hAnsi="Arial"/>
          <w:sz w:val="19"/>
          <w:szCs w:val="19"/>
          <w:color w:val="auto"/>
        </w:rPr>
        <w:t>Net expenses for the three months ended December 31, 2016 totaled $16.8 million. Base management fee for the same period totaled $5.3 million (after a base management fee waiver of $1.0 million), incentive fee totaled $2.9 million (after an incentive fee waiver of $0.5 million), debt related interest and expenses totaled $6.7 million, general and administrative expenses totaled $1.5 million and provision for taxes totaled $0.4 million. Net expenses for the three months ended December 31, 2015 totaled $18.4 million. Base management fee for the same period totaled $5.5 million (after a base management fee waiver of $1.0 million), incentive fee totaled $3.2 million (after an incentive fee waiver of $0.6 million), debt related interest and expenses totaled $6.7 million, general and administrative expenses totaled $1.7 million and provision for taxes totaled $1.3 million. The decrease in expenses compared with the same period in the prior year was primarily due to lower taxes.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Net investment income totaled $15.0 million, or $0.21 per share, for the three months ended December 31, 2016, and $16.8 million, or $0.23 per share, for the three months ended December 31, 2015. The decrease in net investment income compared to the same period in the prior year was primarily due to the lower yielding portfolio.</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Sales and repayments of investments for the three months ended December 31, 2016 totaled $64.2 million and realized losses totaled $22.2 million. Sales and repayments of investments totaled $108.1 million and realized losses totaled $25.4 million for the three months ended December 31, 2015. The change in realized gains/losses was primarily due to changes in the market conditions of our investments and the values at which they were realized.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2019 Notes and 2025 Notes</w:t>
      </w:r>
    </w:p>
    <w:p>
      <w:pPr>
        <w:spacing w:after="0" w:line="212"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For the three months ended December 31, 2016 and 2015, we reported net unrealized appreciation (depreciation) on investments of $25.4 million and $(39.9) million, respectively. As of December 31, 2016 and September 30, 2016, our net unrealized depreciation on investments totaled $74.9 million and $100.3 million, respectively. The net change in unrealized appreciation (depreciation) on our investments was driven primarily by changes in the capital market conditions, the financial performance of certain portfolio companies and the reversal of unrealized depreciation (appreciation) of investments that were realized.</w:t>
      </w:r>
    </w:p>
    <w:p>
      <w:pPr>
        <w:spacing w:after="0" w:line="147"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For the three months ended December 31, 2016 and 2015, we reported net unrealized depreciation on our multi-currency, senior secured revolving credit facility, as amended and restated, or the Credit Facility, our 4.50% senior notes due 2019, or 2019 Notes, and our 6.25% senior notes due 2025, or 2025 Notes, of $5.8 million and $7.7 million, respectively. The change compared with the same period in the prior year was primarily due to changes in the capital markets.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Net change in net assets resulting from operations totaled $24.0 million, or $0.34 per share, for the three months ended December 31, 2016. This compares to a net change in net assets resulting from operations of $(40.8) million, or $(0.56) per share, for the three months ended December 31, 2015. The increase in the net change in net assets from operations compared with the same period in the prior year was primarily due to the continued growth of our portfolio and appreciation of our investments.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As of December 31, 2016 and September 30, 2016, there was $148.1 million and $50.3 million, respectively, in outstanding borrowings under the Credit Facility. The Credit Facility had a weighted average interest rate of 2.63% and 2.76%, as of December 31, 2016 and September 30, 2016, respectively, excluding the undrawn commitments fees of 0.375%. The annualized weighted average cost of debt for the three months ended December 31, 2016 and 2015, inclusive of the fee on the undrawn commitment on the Credit Facility and upfront fees on SBA debentures, was 4.51% and 4.50%, respectively. The Credit Facility is a five-year revolving facility with a stated maturity date of June 25, 2019, a one-year term-out period following its fourth year and pricing is set at 225 basis points over LIBOR. As of December 31, 2016 and September 30, 2016, we had $396.9 million and $494.7 million of unused borrowing capacity under our Credit Facility, respectively, subject to the regulatory restrictions.</w:t>
      </w:r>
    </w:p>
    <w:p>
      <w:pPr>
        <w:sectPr>
          <w:pgSz w:w="11900" w:h="16838" w:orient="portrait"/>
          <w:cols w:equalWidth="0" w:num="1">
            <w:col w:w="11240"/>
          </w:cols>
          <w:pgMar w:left="320" w:top="112" w:right="339" w:bottom="0" w:gutter="0" w:footer="0" w:header="0"/>
        </w:sectPr>
      </w:pPr>
    </w:p>
    <w:bookmarkStart w:id="4" w:name="page5"/>
    <w:bookmarkEnd w:id="4"/>
    <w:p>
      <w:pPr>
        <w:spacing w:after="0" w:line="10"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As of December 31, 2016 and September 30, 2016, we had $250.0 million in aggregate principal amount of 2019 Notes outstanding, with a fixed interest rate of 4.50% per year. As of December 31, 2016 and September 30, 2016, we had $71.3 million in aggregate principal amount of 2025 Notes outstanding, with a fixed interest rate of 6.25% per year. As of December 31, 2016 and September 30, 2016, our SBIC Funds had $225.0 million in debt commitments, of which $197.5 million was drawn, respectively.</w:t>
      </w:r>
    </w:p>
    <w:p>
      <w:pPr>
        <w:spacing w:after="0" w:line="188"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At December 31, 2016 and September 30, 2016, we had cash and cash equivalents of $45.3 million and $75.6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ind w:right="100"/>
        <w:spacing w:after="0" w:line="257" w:lineRule="auto"/>
        <w:rPr>
          <w:sz w:val="20"/>
          <w:szCs w:val="20"/>
          <w:color w:val="auto"/>
        </w:rPr>
      </w:pPr>
      <w:r>
        <w:rPr>
          <w:rFonts w:ascii="Arial" w:cs="Arial" w:eastAsia="Arial" w:hAnsi="Arial"/>
          <w:sz w:val="21"/>
          <w:szCs w:val="21"/>
          <w:color w:val="auto"/>
        </w:rPr>
        <w:t>Our operating activities used cash of $108.3 million for the three months ended December 31, 2016, and our financing activities provided cash of $77.9 million for the same period. Our operating activities used cash primarily for our investment activities and our financing activities provided cash primarily for net borrowings under our Credit Facility.</w:t>
      </w:r>
    </w:p>
    <w:p>
      <w:pPr>
        <w:spacing w:after="0" w:line="169"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Our operating activities used cash of $0.9 million for the three months ended December 31, 2015, and our financing activities used cash of $22.7 million for the same period. Our operating activities used cash primarily for our investment activities and our financing activities used cash primarily for our stock repurchase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During the three months ended December 31, 2016 and 2015, we declared distributions of $0.28 per share for each period for total distributions of $19.9 million and $20.1 million, respectively. We monitor available net investment income to determine if a return of capital for taxation purposes may occur for the fiscal year. To the extent our taxable earnings fall below the total amount of our distributions for any given fiscal year, common stockholders will be notified of the portion of those distributions deemed to be a return of capital. Tax characteristics of all distributions will be reported to stockholders subject to information reporting on Form 1099-DIV after the end of the calendar year and in our periodic reports filed with the Securities and Exchange Commission, or the SEC.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200" w:lineRule="exact"/>
        <w:rPr>
          <w:sz w:val="20"/>
          <w:szCs w:val="20"/>
          <w:color w:val="auto"/>
        </w:rPr>
      </w:pPr>
    </w:p>
    <w:p>
      <w:pPr>
        <w:spacing w:after="0" w:line="398"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332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1840" w:type="dxa"/>
            <w:vAlign w:val="bottom"/>
          </w:tcPr>
          <w:p>
            <w:pPr>
              <w:ind w:left="360"/>
              <w:spacing w:after="0"/>
              <w:rPr>
                <w:sz w:val="20"/>
                <w:szCs w:val="20"/>
                <w:color w:val="auto"/>
              </w:rPr>
            </w:pPr>
            <w:r>
              <w:rPr>
                <w:rFonts w:ascii="Courier New" w:cs="Courier New" w:eastAsia="Courier New" w:hAnsi="Courier New"/>
                <w:sz w:val="18"/>
                <w:szCs w:val="18"/>
                <w:color w:val="auto"/>
              </w:rPr>
              <w:t>December 31,</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380" w:type="dxa"/>
            <w:vAlign w:val="bottom"/>
          </w:tcPr>
          <w:p>
            <w:pPr>
              <w:spacing w:after="0"/>
              <w:rPr>
                <w:sz w:val="17"/>
                <w:szCs w:val="17"/>
                <w:color w:val="auto"/>
              </w:rPr>
            </w:pP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2016</w:t>
            </w:r>
          </w:p>
        </w:tc>
        <w:tc>
          <w:tcPr>
            <w:tcW w:w="2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September 30,</w:t>
            </w:r>
          </w:p>
        </w:tc>
      </w:tr>
      <w:tr>
        <w:trPr>
          <w:trHeight w:val="203"/>
        </w:trPr>
        <w:tc>
          <w:tcPr>
            <w:tcW w:w="4380" w:type="dxa"/>
            <w:vAlign w:val="bottom"/>
          </w:tcPr>
          <w:p>
            <w:pPr>
              <w:spacing w:after="0"/>
              <w:rPr>
                <w:sz w:val="17"/>
                <w:szCs w:val="17"/>
                <w:color w:val="auto"/>
              </w:rPr>
            </w:pPr>
          </w:p>
        </w:tc>
        <w:tc>
          <w:tcPr>
            <w:tcW w:w="1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17"/>
                <w:szCs w:val="17"/>
                <w:color w:val="auto"/>
              </w:rPr>
            </w:pP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2016</w:t>
            </w:r>
          </w:p>
        </w:tc>
      </w:tr>
      <w:tr>
        <w:trPr>
          <w:trHeight w:val="203"/>
        </w:trPr>
        <w:tc>
          <w:tcPr>
            <w:tcW w:w="438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(cost--$918,332,509 and</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$805,189,545, respectively)</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946,232,162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813,467,491</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(cost--$292,491,050 and $262,476,906,</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266,795,326</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215,192,547</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affiliated investments</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(cost--$189,639,082 and $186,290,695,</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112,516,291</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125,019,637</w:t>
            </w:r>
          </w:p>
        </w:tc>
      </w:tr>
      <w:tr>
        <w:trPr>
          <w:trHeight w:val="202"/>
        </w:trPr>
        <w:tc>
          <w:tcPr>
            <w:tcW w:w="438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(cost--</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$1,400,462,641 and $1,253,957,146,</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1,325,543,779</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1,153,679,675</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(cost--</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$45,335,225 and $75,617,133,</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45,340,576</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75,608,113</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12,749,323</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7,032,858</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1,978,725</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2,615,232</w:t>
            </w:r>
          </w:p>
        </w:tc>
      </w:tr>
      <w:tr>
        <w:trPr>
          <w:trHeight w:val="203"/>
        </w:trPr>
        <w:tc>
          <w:tcPr>
            <w:tcW w:w="438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1,385,612,403</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1,238,935,878</w:t>
            </w:r>
          </w:p>
        </w:tc>
      </w:tr>
      <w:tr>
        <w:trPr>
          <w:trHeight w:val="202"/>
        </w:trPr>
        <w:tc>
          <w:tcPr>
            <w:tcW w:w="438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19,897,034</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19,897,034</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50,399,000</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$148,118,700 and $50,339,700,</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136,122,503</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39,551,187</w:t>
            </w:r>
          </w:p>
        </w:tc>
      </w:tr>
      <w:tr>
        <w:trPr>
          <w:trHeight w:val="202"/>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2019 Notes payable (par--$250,000,000)</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250,635,000</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254,175,000</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 payable, net (par--</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$197,500,000)</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193,413,169</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193,244,534</w:t>
            </w:r>
          </w:p>
        </w:tc>
      </w:tr>
      <w:tr>
        <w:trPr>
          <w:trHeight w:val="202"/>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payable (par--$71,250,000)</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71,535,000</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72,618,000</w:t>
            </w:r>
          </w:p>
        </w:tc>
      </w:tr>
      <w:tr>
        <w:trPr>
          <w:trHeight w:val="202"/>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Base management fee payable, net</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5,270,817</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5,074,830</w:t>
            </w:r>
          </w:p>
        </w:tc>
      </w:tr>
    </w:tbl>
    <w:p>
      <w:pPr>
        <w:sectPr>
          <w:pgSz w:w="11900" w:h="16849" w:orient="portrait"/>
          <w:cols w:equalWidth="0" w:num="1">
            <w:col w:w="11240"/>
          </w:cols>
          <w:pgMar w:left="320" w:top="118"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Performance-based incentive fee payable,</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2,834,336</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2,865,444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6,568,212</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7,520,113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1,418,383</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622,880</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738,093,454</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595,569,022</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Common stock, 71,060,836 shares issued and</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respectively</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 value $0.001 per share and</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100,000,000 shares authorized</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71,061</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71,061</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819,983,676</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819,983,676</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(Distributions in excess of) undistributed</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(1,736,977)</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3,119,380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on</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(106,967,154)</w:t>
            </w:r>
          </w:p>
        </w:tc>
        <w:tc>
          <w:tcPr>
            <w:tcW w:w="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(84,771,820)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unrealized depreciation on investments</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(74,907,854)</w:t>
            </w:r>
          </w:p>
        </w:tc>
        <w:tc>
          <w:tcPr>
            <w:tcW w:w="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(100,280,954)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debt</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11,076,197</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5,245,513</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647,518,949</w:t>
            </w:r>
          </w:p>
        </w:tc>
        <w:tc>
          <w:tcPr>
            <w:tcW w:w="3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643,366,856</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$ 1,385,612,403</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$ 1,238,935,878</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9.11</w:t>
            </w:r>
          </w:p>
        </w:tc>
        <w:tc>
          <w:tcPr>
            <w:tcW w:w="3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9.05</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810"/>
        </w:trPr>
        <w:tc>
          <w:tcPr>
            <w:tcW w:w="6640" w:type="dxa"/>
            <w:vAlign w:val="bottom"/>
            <w:gridSpan w:val="4"/>
          </w:tcPr>
          <w:p>
            <w:pPr>
              <w:jc w:val="center"/>
              <w:ind w:left="1192"/>
              <w:spacing w:after="0"/>
              <w:rPr>
                <w:sz w:val="20"/>
                <w:szCs w:val="20"/>
                <w:color w:val="auto"/>
              </w:rPr>
            </w:pPr>
            <w:r>
              <w:rPr>
                <w:rFonts w:ascii="Courier New" w:cs="Courier New" w:eastAsia="Courier New" w:hAnsi="Courier New"/>
                <w:sz w:val="18"/>
                <w:szCs w:val="18"/>
                <w:color w:val="auto"/>
                <w:w w:val="97"/>
              </w:rPr>
              <w:t>PENNANTPARK INVESTMENT CORPORATION AND SUBSIDIARIES</w:t>
            </w:r>
          </w:p>
        </w:tc>
        <w:tc>
          <w:tcPr>
            <w:tcW w:w="1380" w:type="dxa"/>
            <w:vAlign w:val="bottom"/>
          </w:tcPr>
          <w:p>
            <w:pPr>
              <w:spacing w:after="0"/>
              <w:rPr>
                <w:sz w:val="24"/>
                <w:szCs w:val="24"/>
                <w:color w:val="auto"/>
              </w:rPr>
            </w:pPr>
          </w:p>
        </w:tc>
      </w:tr>
      <w:tr>
        <w:trPr>
          <w:trHeight w:val="203"/>
        </w:trPr>
        <w:tc>
          <w:tcPr>
            <w:tcW w:w="6320" w:type="dxa"/>
            <w:vAlign w:val="bottom"/>
            <w:gridSpan w:val="3"/>
          </w:tcPr>
          <w:p>
            <w:pPr>
              <w:jc w:val="center"/>
              <w:ind w:left="149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jc w:val="center"/>
              <w:ind w:left="329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608"/>
        </w:trPr>
        <w:tc>
          <w:tcPr>
            <w:tcW w:w="4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Three Months Ended December</w:t>
            </w:r>
          </w:p>
        </w:tc>
      </w:tr>
      <w:tr>
        <w:trPr>
          <w:trHeight w:val="203"/>
        </w:trPr>
        <w:tc>
          <w:tcPr>
            <w:tcW w:w="4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jc w:val="center"/>
              <w:ind w:left="1172"/>
              <w:spacing w:after="0" w:line="203" w:lineRule="exact"/>
              <w:rPr>
                <w:sz w:val="20"/>
                <w:szCs w:val="20"/>
                <w:color w:val="auto"/>
              </w:rPr>
            </w:pPr>
            <w:r>
              <w:rPr>
                <w:rFonts w:ascii="Courier New" w:cs="Courier New" w:eastAsia="Courier New" w:hAnsi="Courier New"/>
                <w:sz w:val="18"/>
                <w:szCs w:val="18"/>
                <w:color w:val="auto"/>
                <w:w w:val="98"/>
              </w:rPr>
              <w:t>31,</w:t>
            </w:r>
          </w:p>
        </w:tc>
        <w:tc>
          <w:tcPr>
            <w:tcW w:w="138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348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2016</w:t>
            </w:r>
          </w:p>
        </w:tc>
        <w:tc>
          <w:tcPr>
            <w:tcW w:w="32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non-affiliated</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21,872,130</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28,218,030</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2,102,536</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1,667,653</w:t>
            </w:r>
          </w:p>
        </w:tc>
      </w:tr>
      <w:tr>
        <w:trPr>
          <w:trHeight w:val="203"/>
        </w:trPr>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From non-controlled, affiliated investments:</w:t>
            </w: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4,225,681</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2,180,576</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22,500</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 affiliated investments:</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3,646,064</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3,197,033</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31,868,911</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35,263,292</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6,274,782</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6,505,780</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3,374,210</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3,795,782</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 debt</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6,735,574</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6,726,325</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894,000</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867,500</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Other general and administrative expenses</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668,507</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884,629</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Expenses before Management Fees waiver and</w:t>
            </w: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17,947,073</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18,780,016</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Fees waiver</w:t>
            </w:r>
          </w:p>
        </w:tc>
        <w:tc>
          <w:tcPr>
            <w:tcW w:w="3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(1,543,839)</w:t>
            </w:r>
          </w:p>
        </w:tc>
        <w:tc>
          <w:tcPr>
            <w:tcW w:w="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(1,648,254)</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425,000</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1,300,000</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expenses</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16,828,234</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18,431,762</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15,040,677</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16,831,530</w:t>
            </w:r>
          </w:p>
        </w:tc>
      </w:tr>
      <w:tr>
        <w:trPr>
          <w:trHeight w:val="202"/>
        </w:trPr>
        <w:tc>
          <w:tcPr>
            <w:tcW w:w="4540" w:type="dxa"/>
            <w:vAlign w:val="bottom"/>
          </w:tcPr>
          <w:p>
            <w:pPr>
              <w:spacing w:after="0"/>
              <w:rPr>
                <w:sz w:val="17"/>
                <w:szCs w:val="17"/>
                <w:color w:val="auto"/>
              </w:rPr>
            </w:pP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gain (loss) on</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debt:</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2"/>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loss on investments</w:t>
            </w:r>
          </w:p>
        </w:tc>
        <w:tc>
          <w:tcPr>
            <w:tcW w:w="3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(22,195,334)</w:t>
            </w:r>
          </w:p>
        </w:tc>
        <w:tc>
          <w:tcPr>
            <w:tcW w:w="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(25,374,963)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19,636,201</w:t>
            </w:r>
          </w:p>
        </w:tc>
        <w:tc>
          <w:tcPr>
            <w:tcW w:w="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(16,742,815)</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Non-controlled and controlled, affiliated</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2"/>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5,736,899</w:t>
            </w:r>
          </w:p>
        </w:tc>
        <w:tc>
          <w:tcPr>
            <w:tcW w:w="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(23,129,710)</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depreciation</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5,830,684</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7,660,775</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ind w:left="320"/>
              <w:spacing w:after="0"/>
              <w:rPr>
                <w:sz w:val="20"/>
                <w:szCs w:val="20"/>
                <w:color w:val="auto"/>
              </w:rPr>
            </w:pPr>
            <w:r>
              <w:rPr>
                <w:rFonts w:ascii="Courier New" w:cs="Courier New" w:eastAsia="Courier New" w:hAnsi="Courier New"/>
                <w:sz w:val="18"/>
                <w:szCs w:val="18"/>
                <w:color w:val="auto"/>
              </w:rPr>
              <w:t>(depreciation) on investments and debt</w:t>
            </w:r>
          </w:p>
        </w:tc>
        <w:tc>
          <w:tcPr>
            <w:tcW w:w="300" w:type="dxa"/>
            <w:vAlign w:val="bottom"/>
          </w:tcPr>
          <w:p>
            <w:pPr>
              <w:spacing w:after="0"/>
              <w:rPr>
                <w:sz w:val="17"/>
                <w:szCs w:val="17"/>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31,203,784</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(32,211,750)</w:t>
            </w:r>
          </w:p>
        </w:tc>
      </w:tr>
      <w:tr>
        <w:trPr>
          <w:trHeight w:val="203"/>
        </w:trPr>
        <w:tc>
          <w:tcPr>
            <w:tcW w:w="4700" w:type="dxa"/>
            <w:vAlign w:val="bottom"/>
          </w:tcPr>
          <w:p>
            <w:pPr>
              <w:spacing w:after="0"/>
              <w:rPr>
                <w:sz w:val="17"/>
                <w:szCs w:val="17"/>
                <w:color w:val="auto"/>
              </w:rPr>
            </w:pP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realized and unrealized gain (loss) from</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debt</w:t>
            </w:r>
          </w:p>
        </w:tc>
        <w:tc>
          <w:tcPr>
            <w:tcW w:w="3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9,008,450</w:t>
            </w:r>
          </w:p>
        </w:tc>
        <w:tc>
          <w:tcPr>
            <w:tcW w:w="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(57,586,713)</w:t>
            </w:r>
          </w:p>
        </w:tc>
      </w:tr>
      <w:tr>
        <w:trPr>
          <w:trHeight w:val="203"/>
        </w:trPr>
        <w:tc>
          <w:tcPr>
            <w:tcW w:w="4700" w:type="dxa"/>
            <w:vAlign w:val="bottom"/>
          </w:tcPr>
          <w:p>
            <w:pPr>
              <w:spacing w:after="0"/>
              <w:rPr>
                <w:sz w:val="17"/>
                <w:szCs w:val="17"/>
                <w:color w:val="auto"/>
              </w:rPr>
            </w:pP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net assets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 operations</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24,049,127</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(40,755,183)</w:t>
            </w:r>
          </w:p>
        </w:tc>
      </w:tr>
      <w:tr>
        <w:trPr>
          <w:trHeight w:val="203"/>
        </w:trPr>
        <w:tc>
          <w:tcPr>
            <w:tcW w:w="4700" w:type="dxa"/>
            <w:vAlign w:val="bottom"/>
          </w:tcPr>
          <w:p>
            <w:pPr>
              <w:spacing w:after="0"/>
              <w:rPr>
                <w:sz w:val="17"/>
                <w:szCs w:val="17"/>
                <w:color w:val="auto"/>
              </w:rPr>
            </w:pP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net assets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 operations per common share</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0.34</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(0.56)</w:t>
            </w:r>
          </w:p>
        </w:tc>
      </w:tr>
      <w:tr>
        <w:trPr>
          <w:trHeight w:val="202"/>
        </w:trPr>
        <w:tc>
          <w:tcPr>
            <w:tcW w:w="4700" w:type="dxa"/>
            <w:vAlign w:val="bottom"/>
          </w:tcPr>
          <w:p>
            <w:pPr>
              <w:spacing w:after="0"/>
              <w:rPr>
                <w:sz w:val="17"/>
                <w:szCs w:val="17"/>
                <w:color w:val="auto"/>
              </w:rPr>
            </w:pP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0.21</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0.23</w:t>
            </w:r>
          </w:p>
        </w:tc>
      </w:tr>
      <w:tr>
        <w:trPr>
          <w:trHeight w:val="203"/>
        </w:trPr>
        <w:tc>
          <w:tcPr>
            <w:tcW w:w="4700" w:type="dxa"/>
            <w:vAlign w:val="bottom"/>
          </w:tcPr>
          <w:p>
            <w:pPr>
              <w:spacing w:after="0"/>
              <w:rPr>
                <w:sz w:val="17"/>
                <w:szCs w:val="17"/>
                <w:color w:val="auto"/>
              </w:rPr>
            </w:pP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20"/>
      </w:cols>
      <w:pgMar w:left="320" w:top="1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2020-05-05T15:07:36Z</dcterms:created>
  <dcterms:modified xsi:type="dcterms:W3CDTF">2020-05-05T15:07:36Z</dcterms:modified>
</cp:coreProperties>
</file>