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SEPTEMBER 30, 2016</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0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25" w:lineRule="exact"/>
        <w:rPr>
          <w:sz w:val="24"/>
          <w:szCs w:val="24"/>
          <w:color w:val="auto"/>
        </w:rPr>
      </w:pPr>
    </w:p>
    <w:tbl>
      <w:tblPr>
        <w:tblLayout w:type="fixed"/>
        <w:tblInd w:w="560" w:type="dxa"/>
        <w:tblCellMar>
          <w:top w:w="0" w:type="dxa"/>
          <w:left w:w="0" w:type="dxa"/>
          <w:bottom w:w="0" w:type="dxa"/>
          <w:right w:w="0" w:type="dxa"/>
        </w:tblCellMar>
      </w:tblPr>
      <w:tr>
        <w:trPr>
          <w:trHeight w:val="161"/>
        </w:trPr>
        <w:tc>
          <w:tcPr>
            <w:tcW w:w="5840" w:type="dxa"/>
            <w:vAlign w:val="bottom"/>
          </w:tcPr>
          <w:p>
            <w:pPr>
              <w:ind w:left="3140"/>
              <w:spacing w:after="0"/>
              <w:rPr>
                <w:sz w:val="20"/>
                <w:szCs w:val="20"/>
                <w:color w:val="auto"/>
              </w:rPr>
            </w:pPr>
            <w:r>
              <w:rPr>
                <w:rFonts w:ascii="Arial" w:cs="Arial" w:eastAsia="Arial" w:hAnsi="Arial"/>
                <w:sz w:val="14"/>
                <w:szCs w:val="14"/>
                <w:b w:val="1"/>
                <w:bCs w:val="1"/>
                <w:color w:val="auto"/>
              </w:rPr>
              <w:t>FOR THE TRANSITION PERIOD FROM</w:t>
            </w:r>
          </w:p>
        </w:tc>
        <w:tc>
          <w:tcPr>
            <w:tcW w:w="440" w:type="dxa"/>
            <w:vAlign w:val="bottom"/>
            <w:tcBorders>
              <w:bottom w:val="single" w:sz="8" w:color="auto"/>
            </w:tcBorders>
          </w:tcPr>
          <w:p>
            <w:pPr>
              <w:spacing w:after="0"/>
              <w:rPr>
                <w:sz w:val="14"/>
                <w:szCs w:val="14"/>
                <w:color w:val="auto"/>
              </w:rPr>
            </w:pPr>
          </w:p>
        </w:tc>
        <w:tc>
          <w:tcPr>
            <w:tcW w:w="28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33"/>
        </w:trPr>
        <w:tc>
          <w:tcPr>
            <w:tcW w:w="6880" w:type="dxa"/>
            <w:vAlign w:val="bottom"/>
            <w:gridSpan w:val="4"/>
          </w:tcPr>
          <w:p>
            <w:pPr>
              <w:jc w:val="center"/>
              <w:ind w:left="3166"/>
              <w:spacing w:after="0"/>
              <w:rPr>
                <w:sz w:val="20"/>
                <w:szCs w:val="20"/>
                <w:color w:val="auto"/>
              </w:rPr>
            </w:pPr>
            <w:r>
              <w:rPr>
                <w:rFonts w:ascii="Arial" w:cs="Arial" w:eastAsia="Arial" w:hAnsi="Arial"/>
                <w:sz w:val="14"/>
                <w:szCs w:val="14"/>
                <w:b w:val="1"/>
                <w:bCs w:val="1"/>
                <w:color w:val="auto"/>
              </w:rPr>
              <w:t>COMMISSION FILE NUMBER: 814-00736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502"/>
        </w:trPr>
        <w:tc>
          <w:tcPr>
            <w:tcW w:w="9100" w:type="dxa"/>
            <w:vAlign w:val="bottom"/>
            <w:gridSpan w:val="7"/>
          </w:tcPr>
          <w:p>
            <w:pPr>
              <w:jc w:val="center"/>
              <w:ind w:left="946"/>
              <w:spacing w:after="0"/>
              <w:rPr>
                <w:sz w:val="20"/>
                <w:szCs w:val="20"/>
                <w:color w:val="auto"/>
              </w:rPr>
            </w:pPr>
            <w:r>
              <w:rPr>
                <w:rFonts w:ascii="Arial" w:cs="Arial" w:eastAsia="Arial" w:hAnsi="Arial"/>
                <w:sz w:val="31"/>
                <w:szCs w:val="31"/>
                <w:b w:val="1"/>
                <w:bCs w:val="1"/>
                <w:color w:val="auto"/>
                <w:w w:val="99"/>
              </w:rPr>
              <w:t>PENNANTPARK INVESTMENT CORPORATION</w:t>
            </w:r>
          </w:p>
        </w:tc>
      </w:tr>
      <w:tr>
        <w:trPr>
          <w:trHeight w:val="186"/>
        </w:trPr>
        <w:tc>
          <w:tcPr>
            <w:tcW w:w="6880" w:type="dxa"/>
            <w:vAlign w:val="bottom"/>
            <w:gridSpan w:val="4"/>
          </w:tcPr>
          <w:p>
            <w:pPr>
              <w:jc w:val="center"/>
              <w:ind w:left="318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341"/>
        </w:trPr>
        <w:tc>
          <w:tcPr>
            <w:tcW w:w="5840" w:type="dxa"/>
            <w:vAlign w:val="bottom"/>
          </w:tcPr>
          <w:p>
            <w:pPr>
              <w:jc w:val="center"/>
              <w:ind w:right="1206"/>
              <w:spacing w:after="0"/>
              <w:rPr>
                <w:sz w:val="20"/>
                <w:szCs w:val="20"/>
                <w:color w:val="auto"/>
              </w:rPr>
            </w:pPr>
            <w:r>
              <w:rPr>
                <w:rFonts w:ascii="Arial" w:cs="Arial" w:eastAsia="Arial" w:hAnsi="Arial"/>
                <w:sz w:val="14"/>
                <w:szCs w:val="14"/>
                <w:b w:val="1"/>
                <w:bCs w:val="1"/>
                <w:color w:val="auto"/>
              </w:rPr>
              <w:t>MARYLAND</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jc w:val="right"/>
              <w:ind w:right="731"/>
              <w:spacing w:after="0"/>
              <w:rPr>
                <w:sz w:val="20"/>
                <w:szCs w:val="20"/>
                <w:color w:val="auto"/>
              </w:rPr>
            </w:pPr>
            <w:r>
              <w:rPr>
                <w:rFonts w:ascii="Arial" w:cs="Arial" w:eastAsia="Arial" w:hAnsi="Arial"/>
                <w:sz w:val="14"/>
                <w:szCs w:val="14"/>
                <w:b w:val="1"/>
                <w:bCs w:val="1"/>
                <w:color w:val="auto"/>
              </w:rPr>
              <w:t>20-8250744</w:t>
            </w:r>
          </w:p>
        </w:tc>
      </w:tr>
      <w:tr>
        <w:trPr>
          <w:trHeight w:val="150"/>
        </w:trPr>
        <w:tc>
          <w:tcPr>
            <w:tcW w:w="5840" w:type="dxa"/>
            <w:vAlign w:val="bottom"/>
          </w:tcPr>
          <w:p>
            <w:pPr>
              <w:jc w:val="center"/>
              <w:ind w:right="1186"/>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2"/>
          </w:tcPr>
          <w:p>
            <w:pPr>
              <w:jc w:val="center"/>
              <w:ind w:right="111"/>
              <w:spacing w:after="0"/>
              <w:rPr>
                <w:sz w:val="20"/>
                <w:szCs w:val="20"/>
                <w:color w:val="auto"/>
              </w:rPr>
            </w:pPr>
            <w:r>
              <w:rPr>
                <w:rFonts w:ascii="Arial" w:cs="Arial" w:eastAsia="Arial" w:hAnsi="Arial"/>
                <w:sz w:val="12"/>
                <w:szCs w:val="12"/>
                <w:b w:val="1"/>
                <w:bCs w:val="1"/>
                <w:color w:val="auto"/>
                <w:w w:val="90"/>
              </w:rPr>
              <w:t>(I.R.S. Employer Identification No.)</w:t>
            </w:r>
          </w:p>
        </w:tc>
      </w:tr>
      <w:tr>
        <w:trPr>
          <w:trHeight w:val="456"/>
        </w:trPr>
        <w:tc>
          <w:tcPr>
            <w:tcW w:w="5840" w:type="dxa"/>
            <w:vAlign w:val="bottom"/>
          </w:tcPr>
          <w:p>
            <w:pPr>
              <w:jc w:val="center"/>
              <w:ind w:right="1206"/>
              <w:spacing w:after="0"/>
              <w:rPr>
                <w:sz w:val="20"/>
                <w:szCs w:val="20"/>
                <w:color w:val="auto"/>
              </w:rPr>
            </w:pPr>
            <w:r>
              <w:rPr>
                <w:rFonts w:ascii="Arial" w:cs="Arial" w:eastAsia="Arial" w:hAnsi="Arial"/>
                <w:sz w:val="14"/>
                <w:szCs w:val="14"/>
                <w:b w:val="1"/>
                <w:bCs w:val="1"/>
                <w:color w:val="auto"/>
                <w:w w:val="92"/>
              </w:rPr>
              <w:t>590 Madison Avenue,</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7"/>
        </w:trPr>
        <w:tc>
          <w:tcPr>
            <w:tcW w:w="5840" w:type="dxa"/>
            <w:vAlign w:val="bottom"/>
          </w:tcPr>
          <w:p>
            <w:pPr>
              <w:jc w:val="center"/>
              <w:ind w:right="1206"/>
              <w:spacing w:after="0"/>
              <w:rPr>
                <w:sz w:val="20"/>
                <w:szCs w:val="20"/>
                <w:color w:val="auto"/>
              </w:rPr>
            </w:pPr>
            <w:r>
              <w:rPr>
                <w:rFonts w:ascii="Arial" w:cs="Arial" w:eastAsia="Arial" w:hAnsi="Arial"/>
                <w:sz w:val="14"/>
                <w:szCs w:val="14"/>
                <w:b w:val="1"/>
                <w:bCs w:val="1"/>
                <w:color w:val="auto"/>
                <w:w w:val="94"/>
              </w:rPr>
              <w:t>15</w:t>
            </w:r>
            <w:r>
              <w:rPr>
                <w:rFonts w:ascii="Arial" w:cs="Arial" w:eastAsia="Arial" w:hAnsi="Arial"/>
                <w:sz w:val="12"/>
                <w:szCs w:val="12"/>
                <w:b w:val="1"/>
                <w:bCs w:val="1"/>
                <w:color w:val="auto"/>
                <w:w w:val="94"/>
              </w:rPr>
              <w:t>th</w:t>
            </w:r>
            <w:r>
              <w:rPr>
                <w:rFonts w:ascii="Arial" w:cs="Arial" w:eastAsia="Arial" w:hAnsi="Arial"/>
                <w:sz w:val="14"/>
                <w:szCs w:val="14"/>
                <w:b w:val="1"/>
                <w:bCs w:val="1"/>
                <w:color w:val="auto"/>
                <w:w w:val="94"/>
              </w:rPr>
              <w:t xml:space="preserve"> Floor New York, N.Y.</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60" w:type="dxa"/>
            <w:vAlign w:val="bottom"/>
          </w:tcPr>
          <w:p>
            <w:pPr>
              <w:jc w:val="right"/>
              <w:ind w:right="891"/>
              <w:spacing w:after="0"/>
              <w:rPr>
                <w:sz w:val="20"/>
                <w:szCs w:val="20"/>
                <w:color w:val="auto"/>
              </w:rPr>
            </w:pPr>
            <w:r>
              <w:rPr>
                <w:rFonts w:ascii="Arial" w:cs="Arial" w:eastAsia="Arial" w:hAnsi="Arial"/>
                <w:sz w:val="14"/>
                <w:szCs w:val="14"/>
                <w:b w:val="1"/>
                <w:bCs w:val="1"/>
                <w:color w:val="auto"/>
              </w:rPr>
              <w:t>10022</w:t>
            </w:r>
          </w:p>
        </w:tc>
      </w:tr>
      <w:tr>
        <w:trPr>
          <w:trHeight w:val="150"/>
        </w:trPr>
        <w:tc>
          <w:tcPr>
            <w:tcW w:w="5840" w:type="dxa"/>
            <w:vAlign w:val="bottom"/>
          </w:tcPr>
          <w:p>
            <w:pPr>
              <w:jc w:val="center"/>
              <w:ind w:right="1206"/>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60" w:type="dxa"/>
            <w:vAlign w:val="bottom"/>
          </w:tcPr>
          <w:p>
            <w:pPr>
              <w:jc w:val="center"/>
              <w:ind w:right="571"/>
              <w:spacing w:after="0"/>
              <w:rPr>
                <w:sz w:val="20"/>
                <w:szCs w:val="20"/>
                <w:color w:val="auto"/>
              </w:rPr>
            </w:pPr>
            <w:r>
              <w:rPr>
                <w:rFonts w:ascii="Arial" w:cs="Arial" w:eastAsia="Arial" w:hAnsi="Arial"/>
                <w:sz w:val="12"/>
                <w:szCs w:val="12"/>
                <w:b w:val="1"/>
                <w:bCs w:val="1"/>
                <w:color w:val="auto"/>
                <w:w w:val="90"/>
              </w:rPr>
              <w:t>(Zip Code)</w:t>
            </w:r>
          </w:p>
        </w:tc>
      </w:tr>
      <w:tr>
        <w:trPr>
          <w:trHeight w:val="264"/>
        </w:trPr>
        <w:tc>
          <w:tcPr>
            <w:tcW w:w="7440" w:type="dxa"/>
            <w:vAlign w:val="bottom"/>
            <w:gridSpan w:val="6"/>
          </w:tcPr>
          <w:p>
            <w:pPr>
              <w:jc w:val="center"/>
              <w:ind w:left="2626"/>
              <w:spacing w:after="0"/>
              <w:rPr>
                <w:sz w:val="20"/>
                <w:szCs w:val="20"/>
                <w:color w:val="auto"/>
              </w:rPr>
            </w:pPr>
            <w:r>
              <w:rPr>
                <w:rFonts w:ascii="Arial" w:cs="Arial" w:eastAsia="Arial" w:hAnsi="Arial"/>
                <w:sz w:val="14"/>
                <w:szCs w:val="14"/>
                <w:b w:val="1"/>
                <w:bCs w:val="1"/>
                <w:color w:val="auto"/>
                <w:w w:val="91"/>
              </w:rPr>
              <w:t>Registrant’s telephone number, including area code (212)-905-1000</w:t>
            </w:r>
          </w:p>
        </w:tc>
        <w:tc>
          <w:tcPr>
            <w:tcW w:w="1660" w:type="dxa"/>
            <w:vAlign w:val="bottom"/>
          </w:tcPr>
          <w:p>
            <w:pPr>
              <w:spacing w:after="0"/>
              <w:rPr>
                <w:sz w:val="23"/>
                <w:szCs w:val="23"/>
                <w:color w:val="auto"/>
              </w:rPr>
            </w:pPr>
          </w:p>
        </w:tc>
      </w:tr>
      <w:tr>
        <w:trPr>
          <w:trHeight w:val="256"/>
        </w:trPr>
        <w:tc>
          <w:tcPr>
            <w:tcW w:w="6880" w:type="dxa"/>
            <w:vAlign w:val="bottom"/>
            <w:gridSpan w:val="4"/>
          </w:tcPr>
          <w:p>
            <w:pPr>
              <w:jc w:val="center"/>
              <w:ind w:left="3166"/>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317"/>
        </w:trPr>
        <w:tc>
          <w:tcPr>
            <w:tcW w:w="5840" w:type="dxa"/>
            <w:vAlign w:val="bottom"/>
          </w:tcPr>
          <w:p>
            <w:pPr>
              <w:jc w:val="center"/>
              <w:ind w:right="1186"/>
              <w:spacing w:after="0"/>
              <w:rPr>
                <w:sz w:val="20"/>
                <w:szCs w:val="20"/>
                <w:color w:val="auto"/>
              </w:rPr>
            </w:pPr>
            <w:r>
              <w:rPr>
                <w:rFonts w:ascii="Arial" w:cs="Arial" w:eastAsia="Arial" w:hAnsi="Arial"/>
                <w:sz w:val="12"/>
                <w:szCs w:val="12"/>
                <w:b w:val="1"/>
                <w:bCs w:val="1"/>
                <w:color w:val="auto"/>
                <w:w w:val="88"/>
              </w:rPr>
              <w:t>Title of Each Class</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4"/>
          </w:tcPr>
          <w:p>
            <w:pPr>
              <w:jc w:val="center"/>
              <w:ind w:left="182"/>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149"/>
        </w:trPr>
        <w:tc>
          <w:tcPr>
            <w:tcW w:w="5840" w:type="dxa"/>
            <w:vAlign w:val="bottom"/>
          </w:tcPr>
          <w:p>
            <w:pPr>
              <w:jc w:val="center"/>
              <w:ind w:right="1206"/>
              <w:spacing w:after="0" w:line="149" w:lineRule="exact"/>
              <w:rPr>
                <w:sz w:val="20"/>
                <w:szCs w:val="20"/>
                <w:color w:val="auto"/>
              </w:rPr>
            </w:pPr>
            <w:r>
              <w:rPr>
                <w:rFonts w:ascii="Arial" w:cs="Arial" w:eastAsia="Arial" w:hAnsi="Arial"/>
                <w:sz w:val="14"/>
                <w:szCs w:val="14"/>
                <w:color w:val="auto"/>
                <w:w w:val="91"/>
              </w:rPr>
              <w:t>Common Stock, par value $0.001 per share</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20" w:type="dxa"/>
            <w:vAlign w:val="bottom"/>
            <w:gridSpan w:val="3"/>
          </w:tcPr>
          <w:p>
            <w:pPr>
              <w:jc w:val="center"/>
              <w:ind w:right="11"/>
              <w:spacing w:after="0" w:line="149" w:lineRule="exact"/>
              <w:rPr>
                <w:sz w:val="20"/>
                <w:szCs w:val="20"/>
                <w:color w:val="auto"/>
              </w:rPr>
            </w:pPr>
            <w:r>
              <w:rPr>
                <w:rFonts w:ascii="Arial" w:cs="Arial" w:eastAsia="Arial" w:hAnsi="Arial"/>
                <w:sz w:val="14"/>
                <w:szCs w:val="14"/>
                <w:color w:val="auto"/>
                <w:w w:val="97"/>
              </w:rPr>
              <w:t>The NASDAQ Stock Market LLC</w:t>
            </w:r>
          </w:p>
        </w:tc>
      </w:tr>
      <w:tr>
        <w:trPr>
          <w:trHeight w:val="182"/>
        </w:trPr>
        <w:tc>
          <w:tcPr>
            <w:tcW w:w="5840" w:type="dxa"/>
            <w:vAlign w:val="bottom"/>
          </w:tcPr>
          <w:p>
            <w:pPr>
              <w:jc w:val="center"/>
              <w:ind w:right="1206"/>
              <w:spacing w:after="0"/>
              <w:rPr>
                <w:sz w:val="20"/>
                <w:szCs w:val="20"/>
                <w:color w:val="auto"/>
              </w:rPr>
            </w:pPr>
            <w:r>
              <w:rPr>
                <w:rFonts w:ascii="Arial" w:cs="Arial" w:eastAsia="Arial" w:hAnsi="Arial"/>
                <w:sz w:val="14"/>
                <w:szCs w:val="14"/>
                <w:color w:val="auto"/>
                <w:w w:val="92"/>
              </w:rPr>
              <w:t>6.25% Senior Notes due 2025</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tcPr>
          <w:p>
            <w:pPr>
              <w:jc w:val="center"/>
              <w:ind w:right="111"/>
              <w:spacing w:after="0"/>
              <w:rPr>
                <w:sz w:val="20"/>
                <w:szCs w:val="20"/>
                <w:color w:val="auto"/>
              </w:rPr>
            </w:pPr>
            <w:r>
              <w:rPr>
                <w:rFonts w:ascii="Arial" w:cs="Arial" w:eastAsia="Arial" w:hAnsi="Arial"/>
                <w:sz w:val="14"/>
                <w:szCs w:val="14"/>
                <w:color w:val="auto"/>
                <w:w w:val="93"/>
              </w:rPr>
              <w:t>The New York Stock Exchange</w:t>
            </w:r>
          </w:p>
        </w:tc>
      </w:tr>
      <w:tr>
        <w:trPr>
          <w:trHeight w:val="338"/>
        </w:trPr>
        <w:tc>
          <w:tcPr>
            <w:tcW w:w="7440" w:type="dxa"/>
            <w:vAlign w:val="bottom"/>
            <w:gridSpan w:val="6"/>
          </w:tcPr>
          <w:p>
            <w:pPr>
              <w:jc w:val="center"/>
              <w:ind w:left="2626"/>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1660" w:type="dxa"/>
            <w:vAlign w:val="bottom"/>
          </w:tcPr>
          <w:p>
            <w:pPr>
              <w:spacing w:after="0"/>
              <w:rPr>
                <w:sz w:val="24"/>
                <w:szCs w:val="24"/>
                <w:color w:val="auto"/>
              </w:rPr>
            </w:pPr>
          </w:p>
        </w:tc>
      </w:tr>
      <w:tr>
        <w:trPr>
          <w:trHeight w:val="353"/>
        </w:trPr>
        <w:tc>
          <w:tcPr>
            <w:tcW w:w="6880" w:type="dxa"/>
            <w:vAlign w:val="bottom"/>
            <w:gridSpan w:val="4"/>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560" w:type="dxa"/>
            <w:vAlign w:val="bottom"/>
            <w:gridSpan w:val="2"/>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166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r>
              <w:rPr>
                <w:rFonts w:ascii="Arial" w:cs="Arial" w:eastAsia="Arial" w:hAnsi="Arial"/>
                <w:sz w:val="14"/>
                <w:szCs w:val="14"/>
                <w:color w:val="auto"/>
              </w:rPr>
              <w:t>.</w:t>
            </w:r>
          </w:p>
        </w:tc>
      </w:tr>
      <w:tr>
        <w:trPr>
          <w:trHeight w:val="365"/>
        </w:trPr>
        <w:tc>
          <w:tcPr>
            <w:tcW w:w="6880" w:type="dxa"/>
            <w:vAlign w:val="bottom"/>
            <w:gridSpan w:val="4"/>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100" w:type="dxa"/>
            <w:vAlign w:val="bottom"/>
          </w:tcPr>
          <w:p>
            <w:pPr>
              <w:spacing w:after="0"/>
              <w:rPr>
                <w:sz w:val="24"/>
                <w:szCs w:val="24"/>
                <w:color w:val="auto"/>
              </w:rPr>
            </w:pPr>
          </w:p>
        </w:tc>
        <w:tc>
          <w:tcPr>
            <w:tcW w:w="460" w:type="dxa"/>
            <w:vAlign w:val="bottom"/>
          </w:tcPr>
          <w:p>
            <w:pPr>
              <w:ind w:left="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166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r>
              <w:rPr>
                <w:rFonts w:ascii="Arial" w:cs="Arial" w:eastAsia="Arial" w:hAnsi="Arial"/>
                <w:sz w:val="14"/>
                <w:szCs w:val="14"/>
                <w:color w:val="auto"/>
              </w:rPr>
              <w:t>.</w:t>
            </w:r>
          </w:p>
        </w:tc>
      </w:tr>
    </w:tbl>
    <w:p>
      <w:pPr>
        <w:spacing w:after="0" w:line="139" w:lineRule="exact"/>
        <w:rPr>
          <w:sz w:val="24"/>
          <w:szCs w:val="24"/>
          <w:color w:val="auto"/>
        </w:rPr>
      </w:pPr>
    </w:p>
    <w:p>
      <w:pPr>
        <w:ind w:right="60" w:firstLine="562"/>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139" w:lineRule="exact"/>
        <w:rPr>
          <w:sz w:val="24"/>
          <w:szCs w:val="24"/>
          <w:color w:val="auto"/>
        </w:rPr>
      </w:pPr>
    </w:p>
    <w:p>
      <w:pPr>
        <w:ind w:right="160" w:firstLine="562"/>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83" w:lineRule="exact"/>
        <w:rPr>
          <w:sz w:val="24"/>
          <w:szCs w:val="24"/>
          <w:color w:val="auto"/>
        </w:rPr>
      </w:pPr>
    </w:p>
    <w:p>
      <w:pPr>
        <w:ind w:right="60" w:firstLine="562"/>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40" w:lineRule="exact"/>
        <w:rPr>
          <w:sz w:val="24"/>
          <w:szCs w:val="24"/>
          <w:color w:val="auto"/>
        </w:rPr>
      </w:pPr>
    </w:p>
    <w:p>
      <w:pPr>
        <w:ind w:right="500" w:firstLine="562"/>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40"/>
          </w:cols>
          <w:pgMar w:left="320" w:top="230" w:right="339" w:bottom="1440" w:gutter="0" w:footer="0" w:header="0"/>
        </w:sectPr>
      </w:pP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4">
            <w:col w:w="1300" w:space="500"/>
            <w:col w:w="6460" w:space="720"/>
            <w:col w:w="1400" w:space="720"/>
            <w:col w:w="140"/>
          </w:cols>
          <w:pgMar w:left="320" w:top="230" w:right="339" w:bottom="1440" w:gutter="0" w:footer="0" w:header="0"/>
          <w:type w:val="continuous"/>
        </w:sectPr>
      </w:pP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4" w:lineRule="exact"/>
        <w:rPr>
          <w:sz w:val="24"/>
          <w:szCs w:val="24"/>
          <w:color w:val="auto"/>
        </w:rPr>
      </w:pPr>
    </w:p>
    <w:p>
      <w:pPr>
        <w:sectPr>
          <w:pgSz w:w="11900" w:h="16838" w:orient="portrait"/>
          <w:cols w:equalWidth="0" w:num="5">
            <w:col w:w="1220" w:space="580"/>
            <w:col w:w="140" w:space="80"/>
            <w:col w:w="6240" w:space="720"/>
            <w:col w:w="1580" w:space="540"/>
            <w:col w:w="140"/>
          </w:cols>
          <w:pgMar w:left="320" w:top="230" w:right="339" w:bottom="1440" w:gutter="0" w:footer="0" w:header="0"/>
          <w:type w:val="continuous"/>
        </w:sectPr>
      </w:pPr>
    </w:p>
    <w:p>
      <w:pPr>
        <w:spacing w:after="0" w:line="27" w:lineRule="exact"/>
        <w:rPr>
          <w:sz w:val="24"/>
          <w:szCs w:val="24"/>
          <w:color w:val="auto"/>
        </w:rPr>
      </w:pPr>
    </w:p>
    <w:p>
      <w:pPr>
        <w:ind w:left="56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63" w:lineRule="exact"/>
        <w:rPr>
          <w:sz w:val="24"/>
          <w:szCs w:val="24"/>
          <w:color w:val="auto"/>
        </w:rPr>
      </w:pPr>
    </w:p>
    <w:p>
      <w:pPr>
        <w:sectPr>
          <w:pgSz w:w="11900" w:h="16838" w:orient="portrait"/>
          <w:cols w:equalWidth="0" w:num="5">
            <w:col w:w="7100" w:space="140"/>
            <w:col w:w="200" w:space="80"/>
            <w:col w:w="120" w:space="160"/>
            <w:col w:w="180" w:space="60"/>
            <w:col w:w="3200"/>
          </w:cols>
          <w:pgMar w:left="320" w:top="230" w:right="339" w:bottom="1440" w:gutter="0" w:footer="0" w:header="0"/>
          <w:type w:val="continuous"/>
        </w:sectPr>
      </w:pPr>
    </w:p>
    <w:p>
      <w:pPr>
        <w:jc w:val="both"/>
        <w:ind w:right="60" w:firstLine="562"/>
        <w:spacing w:after="0" w:line="238" w:lineRule="auto"/>
        <w:rPr>
          <w:sz w:val="20"/>
          <w:szCs w:val="20"/>
          <w:color w:val="auto"/>
        </w:rPr>
      </w:pPr>
      <w:r>
        <w:rPr>
          <w:rFonts w:ascii="Arial" w:cs="Arial" w:eastAsia="Arial" w:hAnsi="Arial"/>
          <w:sz w:val="14"/>
          <w:szCs w:val="14"/>
          <w:color w:val="auto"/>
        </w:rPr>
        <w:t>The aggregate market value of common stock held by non-affiliates of the Registrant on March 31, 2016 based on the closing price on that date of $6.06 on the NASDAQ Global Select Market was approximately $423 million. For the purposes of calculating the aggregate market value of common stock held by non-affiliates, all directors and executive officers of the Registrant have been treated as affiliates. There were 71,060,836 shares of the Registrant’s common stock outstanding as of November 21, 2016.</w:t>
      </w:r>
    </w:p>
    <w:p>
      <w:pPr>
        <w:spacing w:after="0" w:line="115" w:lineRule="exact"/>
        <w:rPr>
          <w:sz w:val="24"/>
          <w:szCs w:val="24"/>
          <w:color w:val="auto"/>
        </w:rPr>
      </w:pPr>
    </w:p>
    <w:p>
      <w:pPr>
        <w:jc w:val="both"/>
        <w:ind w:right="40" w:firstLine="562"/>
        <w:spacing w:after="0" w:line="253" w:lineRule="auto"/>
        <w:rPr>
          <w:sz w:val="20"/>
          <w:szCs w:val="20"/>
          <w:color w:val="auto"/>
        </w:rPr>
      </w:pPr>
      <w:r>
        <w:rPr>
          <w:rFonts w:ascii="Arial" w:cs="Arial" w:eastAsia="Arial" w:hAnsi="Arial"/>
          <w:sz w:val="14"/>
          <w:szCs w:val="14"/>
          <w:color w:val="auto"/>
        </w:rPr>
        <w:t>Documents Incorporated by Reference: Portions of the Registrant’s Proxy Statement relating to the Registrant’s 2017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8500" w:type="dxa"/>
            <w:vAlign w:val="bottom"/>
          </w:tcPr>
          <w:p>
            <w:pPr>
              <w:jc w:val="center"/>
              <w:ind w:left="1248"/>
              <w:spacing w:after="0"/>
              <w:rPr>
                <w:sz w:val="20"/>
                <w:szCs w:val="20"/>
                <w:color w:val="auto"/>
              </w:rPr>
            </w:pPr>
            <w:r>
              <w:rPr>
                <w:rFonts w:ascii="Arial" w:cs="Arial" w:eastAsia="Arial" w:hAnsi="Arial"/>
                <w:sz w:val="14"/>
                <w:szCs w:val="14"/>
                <w:b w:val="1"/>
                <w:bCs w:val="1"/>
                <w:color w:val="auto"/>
              </w:rPr>
              <w:t>PENNANTPARK INVESTMENT CORPORATION</w:t>
            </w:r>
          </w:p>
        </w:tc>
        <w:tc>
          <w:tcPr>
            <w:tcW w:w="1940" w:type="dxa"/>
            <w:vAlign w:val="bottom"/>
          </w:tcPr>
          <w:p>
            <w:pPr>
              <w:spacing w:after="0"/>
              <w:rPr>
                <w:sz w:val="14"/>
                <w:szCs w:val="14"/>
                <w:color w:val="auto"/>
              </w:rPr>
            </w:pPr>
          </w:p>
        </w:tc>
      </w:tr>
      <w:tr>
        <w:trPr>
          <w:trHeight w:val="148"/>
        </w:trPr>
        <w:tc>
          <w:tcPr>
            <w:tcW w:w="720" w:type="dxa"/>
            <w:vAlign w:val="bottom"/>
          </w:tcPr>
          <w:p>
            <w:pPr>
              <w:spacing w:after="0"/>
              <w:rPr>
                <w:sz w:val="12"/>
                <w:szCs w:val="12"/>
                <w:color w:val="auto"/>
              </w:rPr>
            </w:pPr>
          </w:p>
        </w:tc>
        <w:tc>
          <w:tcPr>
            <w:tcW w:w="8500" w:type="dxa"/>
            <w:vAlign w:val="bottom"/>
          </w:tcPr>
          <w:p>
            <w:pPr>
              <w:jc w:val="center"/>
              <w:ind w:left="1248"/>
              <w:spacing w:after="0" w:line="149" w:lineRule="exact"/>
              <w:rPr>
                <w:sz w:val="20"/>
                <w:szCs w:val="20"/>
                <w:color w:val="auto"/>
              </w:rPr>
            </w:pPr>
            <w:r>
              <w:rPr>
                <w:rFonts w:ascii="Arial" w:cs="Arial" w:eastAsia="Arial" w:hAnsi="Arial"/>
                <w:sz w:val="14"/>
                <w:szCs w:val="14"/>
                <w:b w:val="1"/>
                <w:bCs w:val="1"/>
                <w:color w:val="auto"/>
              </w:rPr>
              <w:t>FORM 10-K</w:t>
            </w:r>
          </w:p>
        </w:tc>
        <w:tc>
          <w:tcPr>
            <w:tcW w:w="1940" w:type="dxa"/>
            <w:vAlign w:val="bottom"/>
          </w:tcPr>
          <w:p>
            <w:pPr>
              <w:spacing w:after="0"/>
              <w:rPr>
                <w:sz w:val="12"/>
                <w:szCs w:val="12"/>
                <w:color w:val="auto"/>
              </w:rPr>
            </w:pPr>
          </w:p>
        </w:tc>
      </w:tr>
      <w:tr>
        <w:trPr>
          <w:trHeight w:val="148"/>
        </w:trPr>
        <w:tc>
          <w:tcPr>
            <w:tcW w:w="720" w:type="dxa"/>
            <w:vAlign w:val="bottom"/>
          </w:tcPr>
          <w:p>
            <w:pPr>
              <w:spacing w:after="0"/>
              <w:rPr>
                <w:sz w:val="12"/>
                <w:szCs w:val="12"/>
                <w:color w:val="auto"/>
              </w:rPr>
            </w:pPr>
          </w:p>
        </w:tc>
        <w:tc>
          <w:tcPr>
            <w:tcW w:w="8500" w:type="dxa"/>
            <w:vAlign w:val="bottom"/>
          </w:tcPr>
          <w:p>
            <w:pPr>
              <w:jc w:val="center"/>
              <w:ind w:left="1228"/>
              <w:spacing w:after="0" w:line="149" w:lineRule="exact"/>
              <w:rPr>
                <w:sz w:val="20"/>
                <w:szCs w:val="20"/>
                <w:color w:val="auto"/>
              </w:rPr>
            </w:pPr>
            <w:r>
              <w:rPr>
                <w:rFonts w:ascii="Arial" w:cs="Arial" w:eastAsia="Arial" w:hAnsi="Arial"/>
                <w:sz w:val="14"/>
                <w:szCs w:val="14"/>
                <w:b w:val="1"/>
                <w:bCs w:val="1"/>
                <w:color w:val="auto"/>
              </w:rPr>
              <w:t>FOR THE FISCAL YEAR ENDED SEPTEMBER 30, 2016</w:t>
            </w:r>
          </w:p>
        </w:tc>
        <w:tc>
          <w:tcPr>
            <w:tcW w:w="1940" w:type="dxa"/>
            <w:vAlign w:val="bottom"/>
          </w:tcPr>
          <w:p>
            <w:pPr>
              <w:spacing w:after="0"/>
              <w:rPr>
                <w:sz w:val="12"/>
                <w:szCs w:val="12"/>
                <w:color w:val="auto"/>
              </w:rPr>
            </w:pPr>
          </w:p>
        </w:tc>
      </w:tr>
      <w:tr>
        <w:trPr>
          <w:trHeight w:val="186"/>
        </w:trPr>
        <w:tc>
          <w:tcPr>
            <w:tcW w:w="720" w:type="dxa"/>
            <w:vAlign w:val="bottom"/>
          </w:tcPr>
          <w:p>
            <w:pPr>
              <w:spacing w:after="0"/>
              <w:rPr>
                <w:sz w:val="16"/>
                <w:szCs w:val="16"/>
                <w:color w:val="auto"/>
              </w:rPr>
            </w:pPr>
          </w:p>
        </w:tc>
        <w:tc>
          <w:tcPr>
            <w:tcW w:w="8500" w:type="dxa"/>
            <w:vAlign w:val="bottom"/>
          </w:tcPr>
          <w:p>
            <w:pPr>
              <w:jc w:val="center"/>
              <w:ind w:left="1248"/>
              <w:spacing w:after="0"/>
              <w:rPr>
                <w:sz w:val="20"/>
                <w:szCs w:val="20"/>
                <w:color w:val="auto"/>
              </w:rPr>
            </w:pPr>
            <w:r>
              <w:rPr>
                <w:rFonts w:ascii="Arial" w:cs="Arial" w:eastAsia="Arial" w:hAnsi="Arial"/>
                <w:sz w:val="14"/>
                <w:szCs w:val="14"/>
                <w:b w:val="1"/>
                <w:bCs w:val="1"/>
                <w:color w:val="auto"/>
              </w:rPr>
              <w:t>TABLE OF CONTENTS</w:t>
            </w:r>
          </w:p>
        </w:tc>
        <w:tc>
          <w:tcPr>
            <w:tcW w:w="1940" w:type="dxa"/>
            <w:vAlign w:val="bottom"/>
          </w:tcPr>
          <w:p>
            <w:pPr>
              <w:spacing w:after="0"/>
              <w:rPr>
                <w:sz w:val="16"/>
                <w:szCs w:val="16"/>
                <w:color w:val="auto"/>
              </w:rPr>
            </w:pPr>
          </w:p>
        </w:tc>
      </w:tr>
      <w:tr>
        <w:trPr>
          <w:trHeight w:val="392"/>
        </w:trPr>
        <w:tc>
          <w:tcPr>
            <w:tcW w:w="720" w:type="dxa"/>
            <w:vAlign w:val="bottom"/>
          </w:tcPr>
          <w:p>
            <w:pPr>
              <w:spacing w:after="0"/>
              <w:rPr>
                <w:sz w:val="24"/>
                <w:szCs w:val="24"/>
                <w:color w:val="auto"/>
              </w:rPr>
            </w:pPr>
          </w:p>
        </w:tc>
        <w:tc>
          <w:tcPr>
            <w:tcW w:w="8500" w:type="dxa"/>
            <w:vAlign w:val="bottom"/>
          </w:tcPr>
          <w:p>
            <w:pPr>
              <w:jc w:val="center"/>
              <w:ind w:left="1148"/>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w:t>
              </w:r>
            </w:hyperlink>
          </w:p>
        </w:tc>
        <w:tc>
          <w:tcPr>
            <w:tcW w:w="1940" w:type="dxa"/>
            <w:vAlign w:val="bottom"/>
          </w:tcPr>
          <w:p>
            <w:pPr>
              <w:spacing w:after="0"/>
              <w:rPr>
                <w:sz w:val="24"/>
                <w:szCs w:val="24"/>
                <w:color w:val="auto"/>
              </w:rPr>
            </w:pPr>
          </w:p>
        </w:tc>
      </w:tr>
      <w:tr>
        <w:trPr>
          <w:trHeight w:val="283"/>
        </w:trPr>
        <w:tc>
          <w:tcPr>
            <w:tcW w:w="72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8500" w:type="dxa"/>
            <w:vAlign w:val="bottom"/>
          </w:tcPr>
          <w:p>
            <w:pPr>
              <w:ind w:left="1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Business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83"/>
        </w:trPr>
        <w:tc>
          <w:tcPr>
            <w:tcW w:w="720" w:type="dxa"/>
            <w:vAlign w:val="bottom"/>
          </w:tcPr>
          <w:p>
            <w:pPr>
              <w:spacing w:after="0"/>
              <w:rPr>
                <w:sz w:val="20"/>
                <w:szCs w:val="20"/>
                <w:color w:val="auto"/>
              </w:rPr>
            </w:pPr>
            <w:r>
              <w:rPr>
                <w:rFonts w:ascii="Arial" w:cs="Arial" w:eastAsia="Arial" w:hAnsi="Arial"/>
                <w:sz w:val="14"/>
                <w:szCs w:val="14"/>
                <w:b w:val="1"/>
                <w:bCs w:val="1"/>
                <w:color w:val="auto"/>
              </w:rPr>
              <w:t>Item 1A.</w:t>
            </w:r>
          </w:p>
        </w:tc>
        <w:tc>
          <w:tcPr>
            <w:tcW w:w="8500" w:type="dxa"/>
            <w:vAlign w:val="bottom"/>
          </w:tcPr>
          <w:p>
            <w:pPr>
              <w:ind w:left="160"/>
              <w:spacing w:after="0"/>
              <w:rPr>
                <w:rFonts w:ascii="Arial" w:cs="Arial" w:eastAsia="Arial" w:hAnsi="Arial"/>
                <w:sz w:val="14"/>
                <w:szCs w:val="14"/>
                <w:u w:val="single" w:color="auto"/>
                <w:color w:val="0000EE"/>
              </w:rPr>
            </w:pPr>
            <w:hyperlink w:anchor="page17">
              <w:r>
                <w:rPr>
                  <w:rFonts w:ascii="Arial" w:cs="Arial" w:eastAsia="Arial" w:hAnsi="Arial"/>
                  <w:sz w:val="14"/>
                  <w:szCs w:val="14"/>
                  <w:u w:val="single" w:color="auto"/>
                  <w:color w:val="0000EE"/>
                </w:rPr>
                <w:t>Risk Factors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15</w:t>
            </w:r>
          </w:p>
        </w:tc>
      </w:tr>
      <w:tr>
        <w:trPr>
          <w:trHeight w:val="284"/>
        </w:trPr>
        <w:tc>
          <w:tcPr>
            <w:tcW w:w="720" w:type="dxa"/>
            <w:vAlign w:val="bottom"/>
          </w:tcPr>
          <w:p>
            <w:pPr>
              <w:spacing w:after="0"/>
              <w:rPr>
                <w:sz w:val="20"/>
                <w:szCs w:val="20"/>
                <w:color w:val="auto"/>
              </w:rPr>
            </w:pPr>
            <w:r>
              <w:rPr>
                <w:rFonts w:ascii="Arial" w:cs="Arial" w:eastAsia="Arial" w:hAnsi="Arial"/>
                <w:sz w:val="14"/>
                <w:szCs w:val="14"/>
                <w:b w:val="1"/>
                <w:bCs w:val="1"/>
                <w:color w:val="auto"/>
              </w:rPr>
              <w:t>Item 1B.</w:t>
            </w:r>
          </w:p>
        </w:tc>
        <w:tc>
          <w:tcPr>
            <w:tcW w:w="8500" w:type="dxa"/>
            <w:vAlign w:val="bottom"/>
          </w:tcPr>
          <w:p>
            <w:pPr>
              <w:ind w:left="160"/>
              <w:spacing w:after="0"/>
              <w:rPr>
                <w:rFonts w:ascii="Arial" w:cs="Arial" w:eastAsia="Arial" w:hAnsi="Arial"/>
                <w:sz w:val="14"/>
                <w:szCs w:val="14"/>
                <w:u w:val="single" w:color="auto"/>
                <w:color w:val="0000EE"/>
              </w:rPr>
            </w:pPr>
            <w:hyperlink w:anchor="page32">
              <w:r>
                <w:rPr>
                  <w:rFonts w:ascii="Arial" w:cs="Arial" w:eastAsia="Arial" w:hAnsi="Arial"/>
                  <w:sz w:val="14"/>
                  <w:szCs w:val="14"/>
                  <w:u w:val="single" w:color="auto"/>
                  <w:color w:val="0000EE"/>
                </w:rPr>
                <w:t>Unresolved Staff Comments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30</w:t>
            </w:r>
          </w:p>
        </w:tc>
      </w:tr>
      <w:tr>
        <w:trPr>
          <w:trHeight w:val="283"/>
        </w:trPr>
        <w:tc>
          <w:tcPr>
            <w:tcW w:w="720" w:type="dxa"/>
            <w:vAlign w:val="bottom"/>
          </w:tcPr>
          <w:p>
            <w:pPr>
              <w:spacing w:after="0"/>
              <w:rPr>
                <w:sz w:val="20"/>
                <w:szCs w:val="20"/>
                <w:color w:val="auto"/>
              </w:rPr>
            </w:pPr>
            <w:r>
              <w:rPr>
                <w:rFonts w:ascii="Arial" w:cs="Arial" w:eastAsia="Arial" w:hAnsi="Arial"/>
                <w:sz w:val="14"/>
                <w:szCs w:val="14"/>
                <w:b w:val="1"/>
                <w:bCs w:val="1"/>
                <w:color w:val="auto"/>
              </w:rPr>
              <w:t>Item 2.</w:t>
            </w:r>
          </w:p>
        </w:tc>
        <w:tc>
          <w:tcPr>
            <w:tcW w:w="8500" w:type="dxa"/>
            <w:vAlign w:val="bottom"/>
          </w:tcPr>
          <w:p>
            <w:pPr>
              <w:ind w:left="160"/>
              <w:spacing w:after="0"/>
              <w:rPr>
                <w:rFonts w:ascii="Arial" w:cs="Arial" w:eastAsia="Arial" w:hAnsi="Arial"/>
                <w:sz w:val="14"/>
                <w:szCs w:val="14"/>
                <w:u w:val="single" w:color="auto"/>
                <w:color w:val="0000EE"/>
              </w:rPr>
            </w:pPr>
            <w:hyperlink w:anchor="page32">
              <w:r>
                <w:rPr>
                  <w:rFonts w:ascii="Arial" w:cs="Arial" w:eastAsia="Arial" w:hAnsi="Arial"/>
                  <w:sz w:val="14"/>
                  <w:szCs w:val="14"/>
                  <w:u w:val="single" w:color="auto"/>
                  <w:color w:val="0000EE"/>
                </w:rPr>
                <w:t>Properties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30</w:t>
            </w:r>
          </w:p>
        </w:tc>
      </w:tr>
      <w:tr>
        <w:trPr>
          <w:trHeight w:val="283"/>
        </w:trPr>
        <w:tc>
          <w:tcPr>
            <w:tcW w:w="720" w:type="dxa"/>
            <w:vAlign w:val="bottom"/>
          </w:tcPr>
          <w:p>
            <w:pPr>
              <w:spacing w:after="0"/>
              <w:rPr>
                <w:sz w:val="20"/>
                <w:szCs w:val="20"/>
                <w:color w:val="auto"/>
              </w:rPr>
            </w:pPr>
            <w:r>
              <w:rPr>
                <w:rFonts w:ascii="Arial" w:cs="Arial" w:eastAsia="Arial" w:hAnsi="Arial"/>
                <w:sz w:val="14"/>
                <w:szCs w:val="14"/>
                <w:b w:val="1"/>
                <w:bCs w:val="1"/>
                <w:color w:val="auto"/>
              </w:rPr>
              <w:t>Item 3.</w:t>
            </w:r>
          </w:p>
        </w:tc>
        <w:tc>
          <w:tcPr>
            <w:tcW w:w="8500" w:type="dxa"/>
            <w:vAlign w:val="bottom"/>
          </w:tcPr>
          <w:p>
            <w:pPr>
              <w:ind w:left="160"/>
              <w:spacing w:after="0"/>
              <w:rPr>
                <w:rFonts w:ascii="Arial" w:cs="Arial" w:eastAsia="Arial" w:hAnsi="Arial"/>
                <w:sz w:val="14"/>
                <w:szCs w:val="14"/>
                <w:u w:val="single" w:color="auto"/>
                <w:color w:val="0000EE"/>
              </w:rPr>
            </w:pPr>
            <w:hyperlink w:anchor="page32">
              <w:r>
                <w:rPr>
                  <w:rFonts w:ascii="Arial" w:cs="Arial" w:eastAsia="Arial" w:hAnsi="Arial"/>
                  <w:sz w:val="14"/>
                  <w:szCs w:val="14"/>
                  <w:u w:val="single" w:color="auto"/>
                  <w:color w:val="0000EE"/>
                </w:rPr>
                <w:t>Legal Proceedings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30</w:t>
            </w:r>
          </w:p>
        </w:tc>
      </w:tr>
      <w:tr>
        <w:trPr>
          <w:trHeight w:val="283"/>
        </w:trPr>
        <w:tc>
          <w:tcPr>
            <w:tcW w:w="720" w:type="dxa"/>
            <w:vAlign w:val="bottom"/>
          </w:tcPr>
          <w:p>
            <w:pPr>
              <w:spacing w:after="0"/>
              <w:rPr>
                <w:sz w:val="20"/>
                <w:szCs w:val="20"/>
                <w:color w:val="auto"/>
              </w:rPr>
            </w:pPr>
            <w:r>
              <w:rPr>
                <w:rFonts w:ascii="Arial" w:cs="Arial" w:eastAsia="Arial" w:hAnsi="Arial"/>
                <w:sz w:val="14"/>
                <w:szCs w:val="14"/>
                <w:b w:val="1"/>
                <w:bCs w:val="1"/>
                <w:color w:val="auto"/>
              </w:rPr>
              <w:t>Item 4.</w:t>
            </w:r>
          </w:p>
        </w:tc>
        <w:tc>
          <w:tcPr>
            <w:tcW w:w="8500" w:type="dxa"/>
            <w:vAlign w:val="bottom"/>
          </w:tcPr>
          <w:p>
            <w:pPr>
              <w:ind w:left="160"/>
              <w:spacing w:after="0"/>
              <w:rPr>
                <w:rFonts w:ascii="Arial" w:cs="Arial" w:eastAsia="Arial" w:hAnsi="Arial"/>
                <w:sz w:val="14"/>
                <w:szCs w:val="14"/>
                <w:u w:val="single" w:color="auto"/>
                <w:color w:val="0000EE"/>
              </w:rPr>
            </w:pPr>
            <w:hyperlink w:anchor="page32">
              <w:r>
                <w:rPr>
                  <w:rFonts w:ascii="Arial" w:cs="Arial" w:eastAsia="Arial" w:hAnsi="Arial"/>
                  <w:sz w:val="14"/>
                  <w:szCs w:val="14"/>
                  <w:u w:val="single" w:color="auto"/>
                  <w:color w:val="0000EE"/>
                </w:rPr>
                <w:t>Mine Safety Disclosures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30</w:t>
            </w:r>
          </w:p>
        </w:tc>
      </w:tr>
      <w:tr>
        <w:trPr>
          <w:trHeight w:val="283"/>
        </w:trPr>
        <w:tc>
          <w:tcPr>
            <w:tcW w:w="720" w:type="dxa"/>
            <w:vAlign w:val="bottom"/>
          </w:tcPr>
          <w:p>
            <w:pPr>
              <w:spacing w:after="0"/>
              <w:rPr>
                <w:sz w:val="24"/>
                <w:szCs w:val="24"/>
                <w:color w:val="auto"/>
              </w:rPr>
            </w:pPr>
          </w:p>
        </w:tc>
        <w:tc>
          <w:tcPr>
            <w:tcW w:w="8500" w:type="dxa"/>
            <w:vAlign w:val="bottom"/>
          </w:tcPr>
          <w:p>
            <w:pPr>
              <w:jc w:val="center"/>
              <w:ind w:left="1148"/>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PART II</w:t>
              </w:r>
            </w:hyperlink>
          </w:p>
        </w:tc>
        <w:tc>
          <w:tcPr>
            <w:tcW w:w="1940" w:type="dxa"/>
            <w:vAlign w:val="bottom"/>
          </w:tcPr>
          <w:p>
            <w:pPr>
              <w:spacing w:after="0"/>
              <w:rPr>
                <w:sz w:val="24"/>
                <w:szCs w:val="24"/>
                <w:color w:val="auto"/>
              </w:rPr>
            </w:pPr>
          </w:p>
        </w:tc>
      </w:tr>
      <w:tr>
        <w:trPr>
          <w:trHeight w:val="283"/>
        </w:trPr>
        <w:tc>
          <w:tcPr>
            <w:tcW w:w="720" w:type="dxa"/>
            <w:vAlign w:val="bottom"/>
          </w:tcPr>
          <w:p>
            <w:pPr>
              <w:spacing w:after="0"/>
              <w:rPr>
                <w:sz w:val="20"/>
                <w:szCs w:val="20"/>
                <w:color w:val="auto"/>
              </w:rPr>
            </w:pPr>
            <w:r>
              <w:rPr>
                <w:rFonts w:ascii="Arial" w:cs="Arial" w:eastAsia="Arial" w:hAnsi="Arial"/>
                <w:sz w:val="14"/>
                <w:szCs w:val="14"/>
                <w:b w:val="1"/>
                <w:bCs w:val="1"/>
                <w:color w:val="auto"/>
              </w:rPr>
              <w:t>Item 5.</w:t>
            </w:r>
          </w:p>
        </w:tc>
        <w:tc>
          <w:tcPr>
            <w:tcW w:w="8500" w:type="dxa"/>
            <w:vAlign w:val="bottom"/>
          </w:tcPr>
          <w:p>
            <w:pPr>
              <w:ind w:left="160"/>
              <w:spacing w:after="0"/>
              <w:rPr>
                <w:rFonts w:ascii="Arial" w:cs="Arial" w:eastAsia="Arial" w:hAnsi="Arial"/>
                <w:sz w:val="14"/>
                <w:szCs w:val="14"/>
                <w:u w:val="single" w:color="auto"/>
                <w:color w:val="0000EE"/>
              </w:rPr>
            </w:pPr>
            <w:hyperlink w:anchor="page33">
              <w:r>
                <w:rPr>
                  <w:rFonts w:ascii="Arial" w:cs="Arial" w:eastAsia="Arial" w:hAnsi="Arial"/>
                  <w:sz w:val="14"/>
                  <w:szCs w:val="14"/>
                  <w:u w:val="single" w:color="auto"/>
                  <w:color w:val="0000EE"/>
                </w:rPr>
                <w:t>Market For Registrant’s Common Equity, Related Stockholder Matters and Issuer Purchases of Equity Securities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284"/>
        </w:trPr>
        <w:tc>
          <w:tcPr>
            <w:tcW w:w="720" w:type="dxa"/>
            <w:vAlign w:val="bottom"/>
          </w:tcPr>
          <w:p>
            <w:pPr>
              <w:spacing w:after="0"/>
              <w:rPr>
                <w:sz w:val="20"/>
                <w:szCs w:val="20"/>
                <w:color w:val="auto"/>
              </w:rPr>
            </w:pPr>
            <w:r>
              <w:rPr>
                <w:rFonts w:ascii="Arial" w:cs="Arial" w:eastAsia="Arial" w:hAnsi="Arial"/>
                <w:sz w:val="14"/>
                <w:szCs w:val="14"/>
                <w:b w:val="1"/>
                <w:bCs w:val="1"/>
                <w:color w:val="auto"/>
              </w:rPr>
              <w:t>Item 6.</w:t>
            </w:r>
          </w:p>
        </w:tc>
        <w:tc>
          <w:tcPr>
            <w:tcW w:w="8500" w:type="dxa"/>
            <w:vAlign w:val="bottom"/>
          </w:tcPr>
          <w:p>
            <w:pPr>
              <w:ind w:left="160"/>
              <w:spacing w:after="0"/>
              <w:rPr>
                <w:rFonts w:ascii="Arial" w:cs="Arial" w:eastAsia="Arial" w:hAnsi="Arial"/>
                <w:sz w:val="14"/>
                <w:szCs w:val="14"/>
                <w:u w:val="single" w:color="auto"/>
                <w:color w:val="0000EE"/>
              </w:rPr>
            </w:pPr>
            <w:hyperlink w:anchor="page36">
              <w:r>
                <w:rPr>
                  <w:rFonts w:ascii="Arial" w:cs="Arial" w:eastAsia="Arial" w:hAnsi="Arial"/>
                  <w:sz w:val="14"/>
                  <w:szCs w:val="14"/>
                  <w:u w:val="single" w:color="auto"/>
                  <w:color w:val="0000EE"/>
                </w:rPr>
                <w:t>Selected Financial Data</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34</w:t>
            </w:r>
          </w:p>
        </w:tc>
      </w:tr>
      <w:tr>
        <w:trPr>
          <w:trHeight w:val="283"/>
        </w:trPr>
        <w:tc>
          <w:tcPr>
            <w:tcW w:w="720" w:type="dxa"/>
            <w:vAlign w:val="bottom"/>
          </w:tcPr>
          <w:p>
            <w:pPr>
              <w:spacing w:after="0"/>
              <w:rPr>
                <w:sz w:val="20"/>
                <w:szCs w:val="20"/>
                <w:color w:val="auto"/>
              </w:rPr>
            </w:pPr>
            <w:r>
              <w:rPr>
                <w:rFonts w:ascii="Arial" w:cs="Arial" w:eastAsia="Arial" w:hAnsi="Arial"/>
                <w:sz w:val="14"/>
                <w:szCs w:val="14"/>
                <w:b w:val="1"/>
                <w:bCs w:val="1"/>
                <w:color w:val="auto"/>
              </w:rPr>
              <w:t>Item 7.</w:t>
            </w:r>
          </w:p>
        </w:tc>
        <w:tc>
          <w:tcPr>
            <w:tcW w:w="8500" w:type="dxa"/>
            <w:vAlign w:val="bottom"/>
          </w:tcPr>
          <w:p>
            <w:pPr>
              <w:ind w:left="160"/>
              <w:spacing w:after="0"/>
              <w:rPr>
                <w:rFonts w:ascii="Arial" w:cs="Arial" w:eastAsia="Arial" w:hAnsi="Arial"/>
                <w:sz w:val="14"/>
                <w:szCs w:val="14"/>
                <w:u w:val="single" w:color="auto"/>
                <w:color w:val="0000EE"/>
              </w:rPr>
            </w:pPr>
            <w:hyperlink w:anchor="page37">
              <w:r>
                <w:rPr>
                  <w:rFonts w:ascii="Arial" w:cs="Arial" w:eastAsia="Arial" w:hAnsi="Arial"/>
                  <w:sz w:val="14"/>
                  <w:szCs w:val="14"/>
                  <w:u w:val="single" w:color="auto"/>
                  <w:color w:val="0000EE"/>
                </w:rPr>
                <w:t>Management’s Discussion and Analysis of Financial Condition and Results of Operations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r>
        <w:trPr>
          <w:trHeight w:val="283"/>
        </w:trPr>
        <w:tc>
          <w:tcPr>
            <w:tcW w:w="720" w:type="dxa"/>
            <w:vAlign w:val="bottom"/>
          </w:tcPr>
          <w:p>
            <w:pPr>
              <w:spacing w:after="0"/>
              <w:rPr>
                <w:sz w:val="20"/>
                <w:szCs w:val="20"/>
                <w:color w:val="auto"/>
              </w:rPr>
            </w:pPr>
            <w:r>
              <w:rPr>
                <w:rFonts w:ascii="Arial" w:cs="Arial" w:eastAsia="Arial" w:hAnsi="Arial"/>
                <w:sz w:val="14"/>
                <w:szCs w:val="14"/>
                <w:b w:val="1"/>
                <w:bCs w:val="1"/>
                <w:color w:val="auto"/>
              </w:rPr>
              <w:t>Item 7A.</w:t>
            </w:r>
          </w:p>
        </w:tc>
        <w:tc>
          <w:tcPr>
            <w:tcW w:w="8500" w:type="dxa"/>
            <w:vAlign w:val="bottom"/>
          </w:tcPr>
          <w:p>
            <w:pPr>
              <w:ind w:left="160"/>
              <w:spacing w:after="0"/>
              <w:rPr>
                <w:rFonts w:ascii="Arial" w:cs="Arial" w:eastAsia="Arial" w:hAnsi="Arial"/>
                <w:sz w:val="14"/>
                <w:szCs w:val="14"/>
                <w:u w:val="single" w:color="auto"/>
                <w:color w:val="0000EE"/>
              </w:rPr>
            </w:pPr>
            <w:hyperlink w:anchor="page45">
              <w:r>
                <w:rPr>
                  <w:rFonts w:ascii="Arial" w:cs="Arial" w:eastAsia="Arial" w:hAnsi="Arial"/>
                  <w:sz w:val="14"/>
                  <w:szCs w:val="14"/>
                  <w:u w:val="single" w:color="auto"/>
                  <w:color w:val="0000EE"/>
                </w:rPr>
                <w:t>Quantitative and Qualitative Disclosures About Market Risk</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283"/>
        </w:trPr>
        <w:tc>
          <w:tcPr>
            <w:tcW w:w="72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8500" w:type="dxa"/>
            <w:vAlign w:val="bottom"/>
          </w:tcPr>
          <w:p>
            <w:pPr>
              <w:ind w:left="160"/>
              <w:spacing w:after="0"/>
              <w:rPr>
                <w:rFonts w:ascii="Arial" w:cs="Arial" w:eastAsia="Arial" w:hAnsi="Arial"/>
                <w:sz w:val="14"/>
                <w:szCs w:val="14"/>
                <w:u w:val="single" w:color="auto"/>
                <w:color w:val="0000EE"/>
              </w:rPr>
            </w:pPr>
            <w:hyperlink w:anchor="page46">
              <w:r>
                <w:rPr>
                  <w:rFonts w:ascii="Arial" w:cs="Arial" w:eastAsia="Arial" w:hAnsi="Arial"/>
                  <w:sz w:val="14"/>
                  <w:szCs w:val="14"/>
                  <w:u w:val="single" w:color="auto"/>
                  <w:color w:val="0000EE"/>
                </w:rPr>
                <w:t>Consolidated Financial Statements and Supplementary Data</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44</w:t>
            </w:r>
          </w:p>
        </w:tc>
      </w:tr>
      <w:tr>
        <w:trPr>
          <w:trHeight w:val="283"/>
        </w:trPr>
        <w:tc>
          <w:tcPr>
            <w:tcW w:w="720" w:type="dxa"/>
            <w:vAlign w:val="bottom"/>
          </w:tcPr>
          <w:p>
            <w:pPr>
              <w:spacing w:after="0"/>
              <w:rPr>
                <w:sz w:val="20"/>
                <w:szCs w:val="20"/>
                <w:color w:val="auto"/>
              </w:rPr>
            </w:pPr>
            <w:r>
              <w:rPr>
                <w:rFonts w:ascii="Arial" w:cs="Arial" w:eastAsia="Arial" w:hAnsi="Arial"/>
                <w:sz w:val="14"/>
                <w:szCs w:val="14"/>
                <w:b w:val="1"/>
                <w:bCs w:val="1"/>
                <w:color w:val="auto"/>
              </w:rPr>
              <w:t>Item 9.</w:t>
            </w:r>
          </w:p>
        </w:tc>
        <w:tc>
          <w:tcPr>
            <w:tcW w:w="8500" w:type="dxa"/>
            <w:vAlign w:val="bottom"/>
          </w:tcPr>
          <w:p>
            <w:pPr>
              <w:ind w:left="160"/>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Changes in and Disagreements with Accountants on Accounting and Financial Disclosure</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r>
        <w:trPr>
          <w:trHeight w:val="283"/>
        </w:trPr>
        <w:tc>
          <w:tcPr>
            <w:tcW w:w="720" w:type="dxa"/>
            <w:vAlign w:val="bottom"/>
          </w:tcPr>
          <w:p>
            <w:pPr>
              <w:spacing w:after="0"/>
              <w:rPr>
                <w:sz w:val="20"/>
                <w:szCs w:val="20"/>
                <w:color w:val="auto"/>
              </w:rPr>
            </w:pPr>
            <w:r>
              <w:rPr>
                <w:rFonts w:ascii="Arial" w:cs="Arial" w:eastAsia="Arial" w:hAnsi="Arial"/>
                <w:sz w:val="14"/>
                <w:szCs w:val="14"/>
                <w:b w:val="1"/>
                <w:bCs w:val="1"/>
                <w:color w:val="auto"/>
              </w:rPr>
              <w:t>Item 9A.</w:t>
            </w:r>
          </w:p>
        </w:tc>
        <w:tc>
          <w:tcPr>
            <w:tcW w:w="8500" w:type="dxa"/>
            <w:vAlign w:val="bottom"/>
          </w:tcPr>
          <w:p>
            <w:pPr>
              <w:ind w:left="160"/>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Controls and Procedures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r>
        <w:trPr>
          <w:trHeight w:val="284"/>
        </w:trPr>
        <w:tc>
          <w:tcPr>
            <w:tcW w:w="720" w:type="dxa"/>
            <w:vAlign w:val="bottom"/>
          </w:tcPr>
          <w:p>
            <w:pPr>
              <w:spacing w:after="0"/>
              <w:rPr>
                <w:sz w:val="20"/>
                <w:szCs w:val="20"/>
                <w:color w:val="auto"/>
              </w:rPr>
            </w:pPr>
            <w:r>
              <w:rPr>
                <w:rFonts w:ascii="Arial" w:cs="Arial" w:eastAsia="Arial" w:hAnsi="Arial"/>
                <w:sz w:val="14"/>
                <w:szCs w:val="14"/>
                <w:b w:val="1"/>
                <w:bCs w:val="1"/>
                <w:color w:val="auto"/>
              </w:rPr>
              <w:t>Item 9B.</w:t>
            </w:r>
          </w:p>
        </w:tc>
        <w:tc>
          <w:tcPr>
            <w:tcW w:w="8500" w:type="dxa"/>
            <w:vAlign w:val="bottom"/>
          </w:tcPr>
          <w:p>
            <w:pPr>
              <w:ind w:left="160"/>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Other Information</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r>
        <w:trPr>
          <w:trHeight w:val="283"/>
        </w:trPr>
        <w:tc>
          <w:tcPr>
            <w:tcW w:w="720" w:type="dxa"/>
            <w:vAlign w:val="bottom"/>
          </w:tcPr>
          <w:p>
            <w:pPr>
              <w:spacing w:after="0"/>
              <w:rPr>
                <w:sz w:val="24"/>
                <w:szCs w:val="24"/>
                <w:color w:val="auto"/>
              </w:rPr>
            </w:pPr>
          </w:p>
        </w:tc>
        <w:tc>
          <w:tcPr>
            <w:tcW w:w="8500" w:type="dxa"/>
            <w:vAlign w:val="bottom"/>
          </w:tcPr>
          <w:p>
            <w:pPr>
              <w:jc w:val="center"/>
              <w:ind w:left="1168"/>
              <w:spacing w:after="0"/>
              <w:rPr>
                <w:rFonts w:ascii="Arial" w:cs="Arial" w:eastAsia="Arial" w:hAnsi="Arial"/>
                <w:sz w:val="14"/>
                <w:szCs w:val="14"/>
                <w:b w:val="1"/>
                <w:bCs w:val="1"/>
                <w:u w:val="single" w:color="auto"/>
                <w:color w:val="0000EE"/>
              </w:rPr>
            </w:pPr>
            <w:hyperlink w:anchor="page75">
              <w:r>
                <w:rPr>
                  <w:rFonts w:ascii="Arial" w:cs="Arial" w:eastAsia="Arial" w:hAnsi="Arial"/>
                  <w:sz w:val="14"/>
                  <w:szCs w:val="14"/>
                  <w:b w:val="1"/>
                  <w:bCs w:val="1"/>
                  <w:u w:val="single" w:color="auto"/>
                  <w:color w:val="0000EE"/>
                </w:rPr>
                <w:t>PART III</w:t>
              </w:r>
            </w:hyperlink>
          </w:p>
        </w:tc>
        <w:tc>
          <w:tcPr>
            <w:tcW w:w="1940" w:type="dxa"/>
            <w:vAlign w:val="bottom"/>
          </w:tcPr>
          <w:p>
            <w:pPr>
              <w:spacing w:after="0"/>
              <w:rPr>
                <w:sz w:val="24"/>
                <w:szCs w:val="24"/>
                <w:color w:val="auto"/>
              </w:rPr>
            </w:pPr>
          </w:p>
        </w:tc>
      </w:tr>
      <w:tr>
        <w:trPr>
          <w:trHeight w:val="284"/>
        </w:trPr>
        <w:tc>
          <w:tcPr>
            <w:tcW w:w="720" w:type="dxa"/>
            <w:vAlign w:val="bottom"/>
          </w:tcPr>
          <w:p>
            <w:pPr>
              <w:spacing w:after="0"/>
              <w:rPr>
                <w:sz w:val="20"/>
                <w:szCs w:val="20"/>
                <w:color w:val="auto"/>
              </w:rPr>
            </w:pPr>
            <w:r>
              <w:rPr>
                <w:rFonts w:ascii="Arial" w:cs="Arial" w:eastAsia="Arial" w:hAnsi="Arial"/>
                <w:sz w:val="14"/>
                <w:szCs w:val="14"/>
                <w:b w:val="1"/>
                <w:bCs w:val="1"/>
                <w:color w:val="auto"/>
              </w:rPr>
              <w:t>Item 10.</w:t>
            </w:r>
          </w:p>
        </w:tc>
        <w:tc>
          <w:tcPr>
            <w:tcW w:w="8500" w:type="dxa"/>
            <w:vAlign w:val="bottom"/>
          </w:tcPr>
          <w:p>
            <w:pPr>
              <w:ind w:left="160"/>
              <w:spacing w:after="0"/>
              <w:rPr>
                <w:rFonts w:ascii="Arial" w:cs="Arial" w:eastAsia="Arial" w:hAnsi="Arial"/>
                <w:sz w:val="14"/>
                <w:szCs w:val="14"/>
                <w:u w:val="single" w:color="auto"/>
                <w:color w:val="0000EE"/>
              </w:rPr>
            </w:pPr>
            <w:hyperlink w:anchor="page75">
              <w:r>
                <w:rPr>
                  <w:rFonts w:ascii="Arial" w:cs="Arial" w:eastAsia="Arial" w:hAnsi="Arial"/>
                  <w:sz w:val="14"/>
                  <w:szCs w:val="14"/>
                  <w:u w:val="single" w:color="auto"/>
                  <w:color w:val="0000EE"/>
                </w:rPr>
                <w:t>Directors, Executive Officers and Corporate Governance</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73</w:t>
            </w:r>
          </w:p>
        </w:tc>
      </w:tr>
      <w:tr>
        <w:trPr>
          <w:trHeight w:val="283"/>
        </w:trPr>
        <w:tc>
          <w:tcPr>
            <w:tcW w:w="720" w:type="dxa"/>
            <w:vAlign w:val="bottom"/>
          </w:tcPr>
          <w:p>
            <w:pPr>
              <w:spacing w:after="0"/>
              <w:rPr>
                <w:sz w:val="20"/>
                <w:szCs w:val="20"/>
                <w:color w:val="auto"/>
              </w:rPr>
            </w:pPr>
            <w:r>
              <w:rPr>
                <w:rFonts w:ascii="Arial" w:cs="Arial" w:eastAsia="Arial" w:hAnsi="Arial"/>
                <w:sz w:val="14"/>
                <w:szCs w:val="14"/>
                <w:b w:val="1"/>
                <w:bCs w:val="1"/>
                <w:color w:val="auto"/>
              </w:rPr>
              <w:t>Item 11.</w:t>
            </w:r>
          </w:p>
        </w:tc>
        <w:tc>
          <w:tcPr>
            <w:tcW w:w="8500" w:type="dxa"/>
            <w:vAlign w:val="bottom"/>
          </w:tcPr>
          <w:p>
            <w:pPr>
              <w:ind w:left="160"/>
              <w:spacing w:after="0"/>
              <w:rPr>
                <w:rFonts w:ascii="Arial" w:cs="Arial" w:eastAsia="Arial" w:hAnsi="Arial"/>
                <w:sz w:val="14"/>
                <w:szCs w:val="14"/>
                <w:u w:val="single" w:color="auto"/>
                <w:color w:val="0000EE"/>
              </w:rPr>
            </w:pPr>
            <w:hyperlink w:anchor="page75">
              <w:r>
                <w:rPr>
                  <w:rFonts w:ascii="Arial" w:cs="Arial" w:eastAsia="Arial" w:hAnsi="Arial"/>
                  <w:sz w:val="14"/>
                  <w:szCs w:val="14"/>
                  <w:u w:val="single" w:color="auto"/>
                  <w:color w:val="0000EE"/>
                </w:rPr>
                <w:t>Executive Compensation</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73</w:t>
            </w:r>
          </w:p>
        </w:tc>
      </w:tr>
      <w:tr>
        <w:trPr>
          <w:trHeight w:val="284"/>
        </w:trPr>
        <w:tc>
          <w:tcPr>
            <w:tcW w:w="720" w:type="dxa"/>
            <w:vAlign w:val="bottom"/>
          </w:tcPr>
          <w:p>
            <w:pPr>
              <w:spacing w:after="0"/>
              <w:rPr>
                <w:sz w:val="20"/>
                <w:szCs w:val="20"/>
                <w:color w:val="auto"/>
              </w:rPr>
            </w:pPr>
            <w:r>
              <w:rPr>
                <w:rFonts w:ascii="Arial" w:cs="Arial" w:eastAsia="Arial" w:hAnsi="Arial"/>
                <w:sz w:val="14"/>
                <w:szCs w:val="14"/>
                <w:b w:val="1"/>
                <w:bCs w:val="1"/>
                <w:color w:val="auto"/>
              </w:rPr>
              <w:t>Item 12.</w:t>
            </w:r>
          </w:p>
        </w:tc>
        <w:tc>
          <w:tcPr>
            <w:tcW w:w="8500" w:type="dxa"/>
            <w:vAlign w:val="bottom"/>
          </w:tcPr>
          <w:p>
            <w:pPr>
              <w:ind w:left="160"/>
              <w:spacing w:after="0"/>
              <w:rPr>
                <w:rFonts w:ascii="Arial" w:cs="Arial" w:eastAsia="Arial" w:hAnsi="Arial"/>
                <w:sz w:val="14"/>
                <w:szCs w:val="14"/>
                <w:u w:val="single" w:color="auto"/>
                <w:color w:val="0000EE"/>
              </w:rPr>
            </w:pPr>
            <w:hyperlink w:anchor="page75">
              <w:r>
                <w:rPr>
                  <w:rFonts w:ascii="Arial" w:cs="Arial" w:eastAsia="Arial" w:hAnsi="Arial"/>
                  <w:sz w:val="14"/>
                  <w:szCs w:val="14"/>
                  <w:u w:val="single" w:color="auto"/>
                  <w:color w:val="0000EE"/>
                </w:rPr>
                <w:t>Security Ownership of Certain Beneficial Owners and Management and Related Stockholder Matters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73</w:t>
            </w:r>
          </w:p>
        </w:tc>
      </w:tr>
      <w:tr>
        <w:trPr>
          <w:trHeight w:val="283"/>
        </w:trPr>
        <w:tc>
          <w:tcPr>
            <w:tcW w:w="720" w:type="dxa"/>
            <w:vAlign w:val="bottom"/>
          </w:tcPr>
          <w:p>
            <w:pPr>
              <w:spacing w:after="0"/>
              <w:rPr>
                <w:sz w:val="20"/>
                <w:szCs w:val="20"/>
                <w:color w:val="auto"/>
              </w:rPr>
            </w:pPr>
            <w:r>
              <w:rPr>
                <w:rFonts w:ascii="Arial" w:cs="Arial" w:eastAsia="Arial" w:hAnsi="Arial"/>
                <w:sz w:val="14"/>
                <w:szCs w:val="14"/>
                <w:b w:val="1"/>
                <w:bCs w:val="1"/>
                <w:color w:val="auto"/>
              </w:rPr>
              <w:t>Item 13.</w:t>
            </w:r>
          </w:p>
        </w:tc>
        <w:tc>
          <w:tcPr>
            <w:tcW w:w="8500" w:type="dxa"/>
            <w:vAlign w:val="bottom"/>
          </w:tcPr>
          <w:p>
            <w:pPr>
              <w:ind w:left="160"/>
              <w:spacing w:after="0"/>
              <w:rPr>
                <w:rFonts w:ascii="Arial" w:cs="Arial" w:eastAsia="Arial" w:hAnsi="Arial"/>
                <w:sz w:val="14"/>
                <w:szCs w:val="14"/>
                <w:u w:val="single" w:color="auto"/>
                <w:color w:val="0000EE"/>
              </w:rPr>
            </w:pPr>
            <w:hyperlink w:anchor="page75">
              <w:r>
                <w:rPr>
                  <w:rFonts w:ascii="Arial" w:cs="Arial" w:eastAsia="Arial" w:hAnsi="Arial"/>
                  <w:sz w:val="14"/>
                  <w:szCs w:val="14"/>
                  <w:u w:val="single" w:color="auto"/>
                  <w:color w:val="0000EE"/>
                </w:rPr>
                <w:t>Certain Relationships and Related Transactions, and Director Independence</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73</w:t>
            </w:r>
          </w:p>
        </w:tc>
      </w:tr>
      <w:tr>
        <w:trPr>
          <w:trHeight w:val="283"/>
        </w:trPr>
        <w:tc>
          <w:tcPr>
            <w:tcW w:w="720" w:type="dxa"/>
            <w:vAlign w:val="bottom"/>
          </w:tcPr>
          <w:p>
            <w:pPr>
              <w:spacing w:after="0"/>
              <w:rPr>
                <w:sz w:val="20"/>
                <w:szCs w:val="20"/>
                <w:color w:val="auto"/>
              </w:rPr>
            </w:pPr>
            <w:r>
              <w:rPr>
                <w:rFonts w:ascii="Arial" w:cs="Arial" w:eastAsia="Arial" w:hAnsi="Arial"/>
                <w:sz w:val="14"/>
                <w:szCs w:val="14"/>
                <w:b w:val="1"/>
                <w:bCs w:val="1"/>
                <w:color w:val="auto"/>
              </w:rPr>
              <w:t>Item 14.</w:t>
            </w:r>
          </w:p>
        </w:tc>
        <w:tc>
          <w:tcPr>
            <w:tcW w:w="8500" w:type="dxa"/>
            <w:vAlign w:val="bottom"/>
          </w:tcPr>
          <w:p>
            <w:pPr>
              <w:ind w:left="160"/>
              <w:spacing w:after="0"/>
              <w:rPr>
                <w:rFonts w:ascii="Arial" w:cs="Arial" w:eastAsia="Arial" w:hAnsi="Arial"/>
                <w:sz w:val="14"/>
                <w:szCs w:val="14"/>
                <w:u w:val="single" w:color="auto"/>
                <w:color w:val="0000EE"/>
              </w:rPr>
            </w:pPr>
            <w:hyperlink w:anchor="page75">
              <w:r>
                <w:rPr>
                  <w:rFonts w:ascii="Arial" w:cs="Arial" w:eastAsia="Arial" w:hAnsi="Arial"/>
                  <w:sz w:val="14"/>
                  <w:szCs w:val="14"/>
                  <w:u w:val="single" w:color="auto"/>
                  <w:color w:val="0000EE"/>
                </w:rPr>
                <w:t>Principal Accountant Fees and Services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73</w:t>
            </w:r>
          </w:p>
        </w:tc>
      </w:tr>
      <w:tr>
        <w:trPr>
          <w:trHeight w:val="284"/>
        </w:trPr>
        <w:tc>
          <w:tcPr>
            <w:tcW w:w="720" w:type="dxa"/>
            <w:vAlign w:val="bottom"/>
          </w:tcPr>
          <w:p>
            <w:pPr>
              <w:spacing w:after="0"/>
              <w:rPr>
                <w:sz w:val="24"/>
                <w:szCs w:val="24"/>
                <w:color w:val="auto"/>
              </w:rPr>
            </w:pPr>
          </w:p>
        </w:tc>
        <w:tc>
          <w:tcPr>
            <w:tcW w:w="8500" w:type="dxa"/>
            <w:vAlign w:val="bottom"/>
          </w:tcPr>
          <w:p>
            <w:pPr>
              <w:jc w:val="center"/>
              <w:ind w:left="1148"/>
              <w:spacing w:after="0"/>
              <w:rPr>
                <w:rFonts w:ascii="Arial" w:cs="Arial" w:eastAsia="Arial" w:hAnsi="Arial"/>
                <w:sz w:val="14"/>
                <w:szCs w:val="14"/>
                <w:b w:val="1"/>
                <w:bCs w:val="1"/>
                <w:u w:val="single" w:color="auto"/>
                <w:color w:val="0000EE"/>
              </w:rPr>
            </w:pPr>
            <w:hyperlink w:anchor="page76">
              <w:r>
                <w:rPr>
                  <w:rFonts w:ascii="Arial" w:cs="Arial" w:eastAsia="Arial" w:hAnsi="Arial"/>
                  <w:sz w:val="14"/>
                  <w:szCs w:val="14"/>
                  <w:b w:val="1"/>
                  <w:bCs w:val="1"/>
                  <w:u w:val="single" w:color="auto"/>
                  <w:color w:val="0000EE"/>
                </w:rPr>
                <w:t>PART IV</w:t>
              </w:r>
            </w:hyperlink>
          </w:p>
        </w:tc>
        <w:tc>
          <w:tcPr>
            <w:tcW w:w="1940" w:type="dxa"/>
            <w:vAlign w:val="bottom"/>
          </w:tcPr>
          <w:p>
            <w:pPr>
              <w:spacing w:after="0"/>
              <w:rPr>
                <w:sz w:val="24"/>
                <w:szCs w:val="24"/>
                <w:color w:val="auto"/>
              </w:rPr>
            </w:pPr>
          </w:p>
        </w:tc>
      </w:tr>
      <w:tr>
        <w:trPr>
          <w:trHeight w:val="283"/>
        </w:trPr>
        <w:tc>
          <w:tcPr>
            <w:tcW w:w="720" w:type="dxa"/>
            <w:vAlign w:val="bottom"/>
          </w:tcPr>
          <w:p>
            <w:pPr>
              <w:spacing w:after="0"/>
              <w:rPr>
                <w:sz w:val="20"/>
                <w:szCs w:val="20"/>
                <w:color w:val="auto"/>
              </w:rPr>
            </w:pPr>
            <w:r>
              <w:rPr>
                <w:rFonts w:ascii="Arial" w:cs="Arial" w:eastAsia="Arial" w:hAnsi="Arial"/>
                <w:sz w:val="14"/>
                <w:szCs w:val="14"/>
                <w:b w:val="1"/>
                <w:bCs w:val="1"/>
                <w:color w:val="auto"/>
              </w:rPr>
              <w:t>Item 15.</w:t>
            </w:r>
          </w:p>
        </w:tc>
        <w:tc>
          <w:tcPr>
            <w:tcW w:w="8500" w:type="dxa"/>
            <w:vAlign w:val="bottom"/>
          </w:tcPr>
          <w:p>
            <w:pPr>
              <w:ind w:left="160"/>
              <w:spacing w:after="0"/>
              <w:rPr>
                <w:rFonts w:ascii="Arial" w:cs="Arial" w:eastAsia="Arial" w:hAnsi="Arial"/>
                <w:sz w:val="14"/>
                <w:szCs w:val="14"/>
                <w:u w:val="single" w:color="auto"/>
                <w:color w:val="0000EE"/>
              </w:rPr>
            </w:pPr>
            <w:hyperlink w:anchor="page76">
              <w:r>
                <w:rPr>
                  <w:rFonts w:ascii="Arial" w:cs="Arial" w:eastAsia="Arial" w:hAnsi="Arial"/>
                  <w:sz w:val="14"/>
                  <w:szCs w:val="14"/>
                  <w:u w:val="single" w:color="auto"/>
                  <w:color w:val="0000EE"/>
                </w:rPr>
                <w:t>Exhibits and Financial Statement Schedules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74</w:t>
            </w:r>
          </w:p>
        </w:tc>
      </w:tr>
      <w:tr>
        <w:trPr>
          <w:trHeight w:val="283"/>
        </w:trPr>
        <w:tc>
          <w:tcPr>
            <w:tcW w:w="720" w:type="dxa"/>
            <w:vAlign w:val="bottom"/>
          </w:tcPr>
          <w:p>
            <w:pPr>
              <w:spacing w:after="0"/>
              <w:rPr>
                <w:sz w:val="24"/>
                <w:szCs w:val="24"/>
                <w:color w:val="auto"/>
              </w:rPr>
            </w:pPr>
          </w:p>
        </w:tc>
        <w:tc>
          <w:tcPr>
            <w:tcW w:w="8500" w:type="dxa"/>
            <w:vAlign w:val="bottom"/>
          </w:tcPr>
          <w:p>
            <w:pPr>
              <w:ind w:left="160"/>
              <w:spacing w:after="0"/>
              <w:rPr>
                <w:rFonts w:ascii="Arial" w:cs="Arial" w:eastAsia="Arial" w:hAnsi="Arial"/>
                <w:sz w:val="14"/>
                <w:szCs w:val="14"/>
                <w:u w:val="single" w:color="auto"/>
                <w:color w:val="0000EE"/>
              </w:rPr>
            </w:pPr>
            <w:hyperlink w:anchor="page77">
              <w:r>
                <w:rPr>
                  <w:rFonts w:ascii="Arial" w:cs="Arial" w:eastAsia="Arial" w:hAnsi="Arial"/>
                  <w:sz w:val="14"/>
                  <w:szCs w:val="14"/>
                  <w:u w:val="single" w:color="auto"/>
                  <w:color w:val="0000EE"/>
                </w:rPr>
                <w:t>Signatures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75</w:t>
            </w:r>
          </w:p>
        </w:tc>
      </w:tr>
    </w:tbl>
    <w:p>
      <w:pPr>
        <w:sectPr>
          <w:pgSz w:w="11900" w:h="16838" w:orient="portrait"/>
          <w:cols w:equalWidth="0" w:num="1">
            <w:col w:w="11160"/>
          </w:cols>
          <w:pgMar w:left="32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w:t>
      </w:r>
    </w:p>
    <w:p>
      <w:pPr>
        <w:spacing w:after="0" w:line="181" w:lineRule="exact"/>
        <w:rPr>
          <w:sz w:val="20"/>
          <w:szCs w:val="20"/>
          <w:color w:val="auto"/>
        </w:rPr>
      </w:pPr>
    </w:p>
    <w:p>
      <w:pPr>
        <w:ind w:right="20" w:firstLine="562"/>
        <w:spacing w:after="0" w:line="243" w:lineRule="auto"/>
        <w:rPr>
          <w:sz w:val="20"/>
          <w:szCs w:val="20"/>
          <w:color w:val="auto"/>
        </w:rPr>
      </w:pPr>
      <w:r>
        <w:rPr>
          <w:rFonts w:ascii="Arial" w:cs="Arial" w:eastAsia="Arial" w:hAnsi="Arial"/>
          <w:sz w:val="13"/>
          <w:szCs w:val="13"/>
          <w:b w:val="1"/>
          <w:bCs w:val="1"/>
          <w:i w:val="1"/>
          <w:iCs w:val="1"/>
          <w:color w:val="auto"/>
        </w:rPr>
        <w:t>In this annual report on Form 10-K, or the Report, except where the context suggests otherwise, the terms “Company,” “we,” “our” or “us” refer to PennantPark Investment Corporation and its consolidated subsidiaries; “PennantPark Investment” refers to only PennantPark Investment Corporation; “our SBIC Funds” refers collectively to our consolidated subsidiaries, PennantPark SBIC LP, or SBIC I, and its general partner, PennantPark SBIC GP, LLC, and PennantPark SBIC II LP, or SBIC II, and its general partner, PennantPark SBIC GP II, LLC; “PennantPark Investment Advisers” or “Investment Adviser” refers to PennantPark Investment Advisers, LLC; and “PennantPark Investment Administration” or “Administrator” refers to PennantPark Investment Administration, LLC. “SBA” refers to the Small Business Administration; “SBIC” refers to a small business investment company licensed by the SBA; “Credit Facility” refers to our multi-currency, senior secured revolving credit facility; “2025 Notes” refers to our 6.25% senior notes due 2025; “2019 Notes” refers to our 4.50% notes due 2019; “our Notes” refers collectively to our 2025 Notes and 2019 Notes; “1940 Act” refers to the Investment Company Act of 1940, as amended; “Code” refers to the Internal Revenue Code of 1986, as amended; “RIC” refers to a regulated investment company under the Code; and “BDC” refers to a business development company under the 1940 Act. References to our portfolio, our investments and our business include investments we make through our SBIC Funds and other consolidated subsidiaries. Some of the statements in this annual report constitute forward-looking statements, which apply to us and relate to future events, future performance or future financial condition. The forward-looking statements involve risks and uncertainties for us and actual results could differ materially from those projected in the forward-looking statements for any reason, including those factors discussed in “Risk Factors” and elsewhere in this Report.</w:t>
      </w:r>
    </w:p>
    <w:p>
      <w:pPr>
        <w:spacing w:after="0" w:line="83"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Business of PennantPark Investment Corporation</w:t>
      </w:r>
    </w:p>
    <w:p>
      <w:pPr>
        <w:spacing w:after="0" w:line="96" w:lineRule="exact"/>
        <w:rPr>
          <w:sz w:val="20"/>
          <w:szCs w:val="20"/>
          <w:color w:val="auto"/>
        </w:rPr>
      </w:pPr>
    </w:p>
    <w:p>
      <w:pPr>
        <w:ind w:right="120" w:firstLine="562"/>
        <w:spacing w:after="0" w:line="253" w:lineRule="auto"/>
        <w:rPr>
          <w:sz w:val="20"/>
          <w:szCs w:val="20"/>
          <w:color w:val="auto"/>
        </w:rPr>
      </w:pPr>
      <w:r>
        <w:rPr>
          <w:rFonts w:ascii="Arial" w:cs="Arial" w:eastAsia="Arial" w:hAnsi="Arial"/>
          <w:sz w:val="14"/>
          <w:szCs w:val="14"/>
          <w:color w:val="auto"/>
        </w:rPr>
        <w:t>PennantPark Investment Corporation is a BDC whose objectives are to generate both current income and capital appreciation while seeking to preserve capital through debt and equity investments primarily made to U.S. middle-market companies in the form of senior secured debt, mezzanine debt and equity investments.</w:t>
      </w:r>
    </w:p>
    <w:p>
      <w:pPr>
        <w:spacing w:after="0" w:line="66" w:lineRule="exact"/>
        <w:rPr>
          <w:sz w:val="20"/>
          <w:szCs w:val="20"/>
          <w:color w:val="auto"/>
        </w:rPr>
      </w:pPr>
    </w:p>
    <w:p>
      <w:pPr>
        <w:ind w:right="20" w:firstLine="562"/>
        <w:spacing w:after="0" w:line="245" w:lineRule="auto"/>
        <w:rPr>
          <w:sz w:val="20"/>
          <w:szCs w:val="20"/>
          <w:color w:val="auto"/>
        </w:rPr>
      </w:pPr>
      <w:r>
        <w:rPr>
          <w:rFonts w:ascii="Arial" w:cs="Arial" w:eastAsia="Arial" w:hAnsi="Arial"/>
          <w:sz w:val="13"/>
          <w:szCs w:val="13"/>
          <w:color w:val="auto"/>
        </w:rPr>
        <w:t>We believe middle-market companies offer attractive risk-reward to investors due to the limited amount of capital available for such companies. We seek to create a diversified portfolio that includes senior secured debt,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75" w:lineRule="exact"/>
        <w:rPr>
          <w:sz w:val="20"/>
          <w:szCs w:val="20"/>
          <w:color w:val="auto"/>
        </w:rPr>
      </w:pPr>
    </w:p>
    <w:p>
      <w:pPr>
        <w:jc w:val="both"/>
        <w:ind w:right="20" w:firstLine="562"/>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96" w:lineRule="exact"/>
        <w:rPr>
          <w:sz w:val="20"/>
          <w:szCs w:val="20"/>
          <w:color w:val="auto"/>
        </w:rPr>
      </w:pPr>
    </w:p>
    <w:p>
      <w:pPr>
        <w:ind w:right="160" w:firstLine="562"/>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44"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May 2010 and July 2012, respectively. SBIC I and SBIC II received licenses from the SBA to operate as SBICs, under Section 301(c) of the Small Business Investment Act of 1958, as amended, or the 1958 Act, in 2010 and 2013, respectively. Our SBIC Funds’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 Adviser and Administrator</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about $3.0 billion in debt and equity capital and has invested $5.5 billion in more than 400 companies with over 160 different financial sponsors through its managed funds.</w:t>
      </w:r>
    </w:p>
    <w:p>
      <w:pPr>
        <w:spacing w:after="0" w:line="71" w:lineRule="exact"/>
        <w:rPr>
          <w:sz w:val="20"/>
          <w:szCs w:val="20"/>
          <w:color w:val="auto"/>
        </w:rPr>
      </w:pPr>
    </w:p>
    <w:p>
      <w:pPr>
        <w:ind w:right="40" w:firstLine="562"/>
        <w:spacing w:after="0" w:line="229" w:lineRule="auto"/>
        <w:rPr>
          <w:sz w:val="20"/>
          <w:szCs w:val="20"/>
          <w:color w:val="auto"/>
        </w:rPr>
      </w:pPr>
      <w:r>
        <w:rPr>
          <w:rFonts w:ascii="Arial" w:cs="Arial" w:eastAsia="Arial" w:hAnsi="Arial"/>
          <w:sz w:val="14"/>
          <w:szCs w:val="14"/>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may provide, on our behalf, managerial assistance to those portfolio companies to which we are required to offer such assistance. See “Risk Factors—Risks Relating to our Business and Structure— There are significant potential conflicts of interest which could impact our investment returns” for more information.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20"/>
          </w:cols>
          <w:pgMar w:left="32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Opportunity</w:t>
      </w:r>
    </w:p>
    <w:p>
      <w:pPr>
        <w:spacing w:after="0" w:line="96" w:lineRule="exact"/>
        <w:rPr>
          <w:sz w:val="20"/>
          <w:szCs w:val="20"/>
          <w:color w:val="auto"/>
        </w:rPr>
      </w:pPr>
    </w:p>
    <w:p>
      <w:pPr>
        <w:ind w:right="340" w:firstLine="562"/>
        <w:spacing w:after="0" w:line="253" w:lineRule="auto"/>
        <w:rPr>
          <w:sz w:val="20"/>
          <w:szCs w:val="20"/>
          <w:color w:val="auto"/>
        </w:rPr>
      </w:pPr>
      <w:r>
        <w:rPr>
          <w:rFonts w:ascii="Arial" w:cs="Arial" w:eastAsia="Arial" w:hAnsi="Arial"/>
          <w:sz w:val="14"/>
          <w:szCs w:val="14"/>
          <w:color w:val="auto"/>
        </w:rPr>
        <w:t>We believe that the limited amount of capital available to middle-market companies, coupled with the desire of these companies for flexible sources of capital, creates an attractive investment environment for us.</w:t>
      </w:r>
    </w:p>
    <w:p>
      <w:pPr>
        <w:spacing w:after="0" w:line="75" w:lineRule="exact"/>
        <w:rPr>
          <w:sz w:val="20"/>
          <w:szCs w:val="20"/>
          <w:color w:val="auto"/>
        </w:rPr>
      </w:pPr>
    </w:p>
    <w:p>
      <w:pPr>
        <w:ind w:left="1000" w:right="60" w:hanging="331"/>
        <w:spacing w:after="0"/>
        <w:tabs>
          <w:tab w:leader="none" w:pos="100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difficulty in raising debt through the capital markets. </w:t>
      </w:r>
      <w:r>
        <w:rPr>
          <w:rFonts w:ascii="Arial" w:cs="Arial" w:eastAsia="Arial" w:hAnsi="Arial"/>
          <w:sz w:val="14"/>
          <w:szCs w:val="14"/>
          <w:color w:val="auto"/>
        </w:rPr>
        <w:t>Many middle-market companies look to raise funds by issuing</w:t>
      </w:r>
      <w:r>
        <w:rPr>
          <w:rFonts w:ascii="Arial" w:cs="Arial" w:eastAsia="Arial" w:hAnsi="Arial"/>
          <w:sz w:val="14"/>
          <w:szCs w:val="14"/>
          <w:b w:val="1"/>
          <w:bCs w:val="1"/>
          <w:color w:val="auto"/>
        </w:rPr>
        <w:t xml:space="preserve"> </w:t>
      </w:r>
      <w:r>
        <w:rPr>
          <w:rFonts w:ascii="Arial" w:cs="Arial" w:eastAsia="Arial" w:hAnsi="Arial"/>
          <w:sz w:val="14"/>
          <w:szCs w:val="14"/>
          <w:color w:val="auto"/>
        </w:rPr>
        <w:t>high-yield bonds.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84" w:lineRule="exact"/>
        <w:rPr>
          <w:rFonts w:ascii="Arial" w:cs="Arial" w:eastAsia="Arial" w:hAnsi="Arial"/>
          <w:sz w:val="14"/>
          <w:szCs w:val="14"/>
          <w:color w:val="auto"/>
        </w:rPr>
      </w:pPr>
    </w:p>
    <w:p>
      <w:pPr>
        <w:ind w:left="1000" w:right="220" w:hanging="331"/>
        <w:spacing w:after="0" w:line="342" w:lineRule="auto"/>
        <w:tabs>
          <w:tab w:leader="none" w:pos="1000" w:val="left"/>
        </w:tabs>
        <w:numPr>
          <w:ilvl w:val="0"/>
          <w:numId w:val="3"/>
        </w:numPr>
        <w:rPr>
          <w:rFonts w:ascii="Arial" w:cs="Arial" w:eastAsia="Arial" w:hAnsi="Arial"/>
          <w:sz w:val="12"/>
          <w:szCs w:val="12"/>
          <w:color w:val="auto"/>
        </w:rPr>
      </w:pPr>
      <w:r>
        <w:rPr>
          <w:rFonts w:ascii="Arial" w:cs="Arial" w:eastAsia="Arial" w:hAnsi="Arial"/>
          <w:sz w:val="12"/>
          <w:szCs w:val="12"/>
          <w:b w:val="1"/>
          <w:bCs w:val="1"/>
          <w:color w:val="auto"/>
        </w:rPr>
        <w:t xml:space="preserve">We believe middle-market companies have faced difficulty raising debt in private markets. </w:t>
      </w:r>
      <w:r>
        <w:rPr>
          <w:rFonts w:ascii="Arial" w:cs="Arial" w:eastAsia="Arial" w:hAnsi="Arial"/>
          <w:sz w:val="12"/>
          <w:szCs w:val="12"/>
          <w:color w:val="auto"/>
        </w:rPr>
        <w:t>From time to time, banks, finance companies, hedge funds and collateralized</w:t>
      </w:r>
      <w:r>
        <w:rPr>
          <w:rFonts w:ascii="Arial" w:cs="Arial" w:eastAsia="Arial" w:hAnsi="Arial"/>
          <w:sz w:val="12"/>
          <w:szCs w:val="12"/>
          <w:b w:val="1"/>
          <w:bCs w:val="1"/>
          <w:color w:val="auto"/>
        </w:rPr>
        <w:t xml:space="preserve"> </w:t>
      </w:r>
      <w:r>
        <w:rPr>
          <w:rFonts w:ascii="Arial" w:cs="Arial" w:eastAsia="Arial" w:hAnsi="Arial"/>
          <w:sz w:val="12"/>
          <w:szCs w:val="12"/>
          <w:color w:val="auto"/>
        </w:rPr>
        <w:t>loan obligation, or CLO, funds have withdrawn, and may again withdraw, capital from the middle-market, resulting in opportunities for alternative funding sources.</w:t>
      </w:r>
    </w:p>
    <w:p>
      <w:pPr>
        <w:spacing w:after="0" w:line="25" w:lineRule="exact"/>
        <w:rPr>
          <w:rFonts w:ascii="Arial" w:cs="Arial" w:eastAsia="Arial" w:hAnsi="Arial"/>
          <w:sz w:val="12"/>
          <w:szCs w:val="12"/>
          <w:color w:val="auto"/>
        </w:rPr>
      </w:pPr>
    </w:p>
    <w:p>
      <w:pPr>
        <w:ind w:left="1000" w:right="200" w:hanging="331"/>
        <w:spacing w:after="0"/>
        <w:tabs>
          <w:tab w:leader="none" w:pos="100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that credit market dislocation for middle-market companies improves the risk-reward on our investments. </w:t>
      </w:r>
      <w:r>
        <w:rPr>
          <w:rFonts w:ascii="Arial" w:cs="Arial" w:eastAsia="Arial" w:hAnsi="Arial"/>
          <w:sz w:val="14"/>
          <w:szCs w:val="14"/>
          <w:color w:val="auto"/>
        </w:rPr>
        <w:t>From time to time, market participants have</w:t>
      </w:r>
      <w:r>
        <w:rPr>
          <w:rFonts w:ascii="Arial" w:cs="Arial" w:eastAsia="Arial" w:hAnsi="Arial"/>
          <w:sz w:val="14"/>
          <w:szCs w:val="14"/>
          <w:b w:val="1"/>
          <w:bCs w:val="1"/>
          <w:color w:val="auto"/>
        </w:rPr>
        <w:t xml:space="preserve"> </w:t>
      </w:r>
      <w:r>
        <w:rPr>
          <w:rFonts w:ascii="Arial" w:cs="Arial" w:eastAsia="Arial" w:hAnsi="Arial"/>
          <w:sz w:val="14"/>
          <w:szCs w:val="14"/>
          <w:color w:val="auto"/>
        </w:rPr>
        <w:t>reduced lending to middle-market and non-investment grade borrowers. As a result, there is less competition in our market, more conservative capital structures, higher yields and stronger covenants.</w:t>
      </w:r>
    </w:p>
    <w:p>
      <w:pPr>
        <w:spacing w:after="0" w:line="84" w:lineRule="exact"/>
        <w:rPr>
          <w:rFonts w:ascii="Arial" w:cs="Arial" w:eastAsia="Arial" w:hAnsi="Arial"/>
          <w:sz w:val="14"/>
          <w:szCs w:val="14"/>
          <w:color w:val="auto"/>
        </w:rPr>
      </w:pPr>
    </w:p>
    <w:p>
      <w:pPr>
        <w:ind w:left="1000" w:right="80" w:hanging="331"/>
        <w:spacing w:after="0" w:line="235" w:lineRule="auto"/>
        <w:tabs>
          <w:tab w:leader="none" w:pos="100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4"/>
          <w:szCs w:val="14"/>
          <w:color w:val="auto"/>
        </w:rPr>
        <w:t>We expect that private equity firms will continue to be active investors in middle-market companies. These private equity funds generally seek to leverage their investments by combining their capital with senior secured debt and/or mezzanine debt provided by other sources, and we believe that our capital is well-positioned to partner with such equity investors.</w:t>
      </w:r>
    </w:p>
    <w:p>
      <w:pPr>
        <w:spacing w:after="0" w:line="84" w:lineRule="exact"/>
        <w:rPr>
          <w:rFonts w:ascii="Arial" w:cs="Arial" w:eastAsia="Arial" w:hAnsi="Arial"/>
          <w:sz w:val="14"/>
          <w:szCs w:val="14"/>
          <w:color w:val="auto"/>
        </w:rPr>
      </w:pPr>
    </w:p>
    <w:p>
      <w:pPr>
        <w:ind w:left="1000" w:right="140" w:hanging="331"/>
        <w:spacing w:after="0" w:line="232" w:lineRule="auto"/>
        <w:tabs>
          <w:tab w:leader="none" w:pos="100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a substantial supply of opportunities resulting from maturing loans that seek refinancing. </w:t>
      </w:r>
      <w:r>
        <w:rPr>
          <w:rFonts w:ascii="Arial" w:cs="Arial" w:eastAsia="Arial" w:hAnsi="Arial"/>
          <w:sz w:val="14"/>
          <w:szCs w:val="14"/>
          <w:color w:val="auto"/>
        </w:rPr>
        <w:t>A high volume of financings will come due in the next few</w:t>
      </w:r>
      <w:r>
        <w:rPr>
          <w:rFonts w:ascii="Arial" w:cs="Arial" w:eastAsia="Arial" w:hAnsi="Arial"/>
          <w:sz w:val="14"/>
          <w:szCs w:val="14"/>
          <w:b w:val="1"/>
          <w:bCs w:val="1"/>
          <w:color w:val="auto"/>
        </w:rPr>
        <w:t xml:space="preserve"> </w:t>
      </w:r>
      <w:r>
        <w:rPr>
          <w:rFonts w:ascii="Arial" w:cs="Arial" w:eastAsia="Arial" w:hAnsi="Arial"/>
          <w:sz w:val="14"/>
          <w:szCs w:val="14"/>
          <w:color w:val="auto"/>
        </w:rPr>
        <w:t>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lack of demand offers attractive risk-reward to investors.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Competitive Advantages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believe that we have the following competitive advantages over other capital providers to middle-market companies: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a) Experienced Management Team</w:t>
      </w:r>
    </w:p>
    <w:p>
      <w:pPr>
        <w:spacing w:after="0" w:line="96" w:lineRule="exact"/>
        <w:rPr>
          <w:sz w:val="20"/>
          <w:szCs w:val="20"/>
          <w:color w:val="auto"/>
        </w:rPr>
      </w:pPr>
    </w:p>
    <w:p>
      <w:pPr>
        <w:ind w:right="300" w:firstLine="562"/>
        <w:spacing w:after="0" w:line="233" w:lineRule="auto"/>
        <w:rPr>
          <w:sz w:val="20"/>
          <w:szCs w:val="20"/>
          <w:color w:val="auto"/>
        </w:rPr>
      </w:pPr>
      <w:r>
        <w:rPr>
          <w:rFonts w:ascii="Arial" w:cs="Arial" w:eastAsia="Arial" w:hAnsi="Arial"/>
          <w:sz w:val="14"/>
          <w:szCs w:val="14"/>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has resulted in a strong reputation across the capital markets.</w:t>
      </w:r>
    </w:p>
    <w:p>
      <w:pPr>
        <w:spacing w:after="0" w:line="77" w:lineRule="exact"/>
        <w:rPr>
          <w:sz w:val="20"/>
          <w:szCs w:val="20"/>
          <w:color w:val="auto"/>
        </w:rPr>
      </w:pPr>
    </w:p>
    <w:p>
      <w:pPr>
        <w:ind w:right="220" w:firstLine="562"/>
        <w:spacing w:after="0" w:line="233" w:lineRule="auto"/>
        <w:rPr>
          <w:sz w:val="20"/>
          <w:szCs w:val="20"/>
          <w:color w:val="auto"/>
        </w:rPr>
      </w:pPr>
      <w:r>
        <w:rPr>
          <w:rFonts w:ascii="Arial" w:cs="Arial" w:eastAsia="Arial" w:hAnsi="Arial"/>
          <w:sz w:val="14"/>
          <w:szCs w:val="14"/>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77"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b) Disciplined Investment Approach with Strong Value Orientation</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77" w:lineRule="exact"/>
        <w:rPr>
          <w:sz w:val="20"/>
          <w:szCs w:val="20"/>
          <w:color w:val="auto"/>
        </w:rPr>
      </w:pPr>
    </w:p>
    <w:p>
      <w:pPr>
        <w:ind w:right="160" w:firstLine="562"/>
        <w:spacing w:after="0" w:line="238" w:lineRule="auto"/>
        <w:rPr>
          <w:sz w:val="20"/>
          <w:szCs w:val="20"/>
          <w:color w:val="auto"/>
        </w:rPr>
      </w:pPr>
      <w:r>
        <w:rPr>
          <w:rFonts w:ascii="Arial" w:cs="Arial" w:eastAsia="Arial" w:hAnsi="Arial"/>
          <w:sz w:val="14"/>
          <w:szCs w:val="14"/>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for more information.</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 addition to engaging in extensive due diligence, our Investment Adviser seeks to reduce risk by focusing on businesses with:</w:t>
      </w:r>
    </w:p>
    <w:p>
      <w:pPr>
        <w:spacing w:after="0" w:line="109" w:lineRule="exact"/>
        <w:rPr>
          <w:sz w:val="20"/>
          <w:szCs w:val="20"/>
          <w:color w:val="auto"/>
        </w:rPr>
      </w:pPr>
    </w:p>
    <w:p>
      <w:pPr>
        <w:ind w:left="1000" w:hanging="331"/>
        <w:spacing w:after="0"/>
        <w:tabs>
          <w:tab w:leader="none" w:pos="1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strong competitive positions;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positive cash flow that is steady and stable;</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experienced management teams with strong track records;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potential for growth and viable exit strategies; and</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capital structures offering appropriate risk-adjusted terms and covenants.</w:t>
      </w:r>
    </w:p>
    <w:p>
      <w:pPr>
        <w:spacing w:after="0" w:line="95" w:lineRule="exact"/>
        <w:rPr>
          <w:rFonts w:ascii="Arial" w:cs="Arial" w:eastAsia="Arial" w:hAnsi="Arial"/>
          <w:sz w:val="14"/>
          <w:szCs w:val="14"/>
          <w:color w:val="auto"/>
        </w:rPr>
      </w:pPr>
    </w:p>
    <w:p>
      <w:pPr>
        <w:ind w:left="820" w:hanging="138"/>
        <w:spacing w:after="0"/>
        <w:tabs>
          <w:tab w:leader="none" w:pos="820" w:val="left"/>
        </w:tabs>
        <w:numPr>
          <w:ilvl w:val="1"/>
          <w:numId w:val="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Ability to Source and Evaluate Transactions through our Investment Adviser’s Proactive, Research Capability and Established Network</w:t>
      </w:r>
    </w:p>
    <w:p>
      <w:pPr>
        <w:spacing w:after="0" w:line="96"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The management team of our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77"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d) Flexible Transaction Structuring</w:t>
      </w:r>
    </w:p>
    <w:p>
      <w:pPr>
        <w:spacing w:after="0" w:line="96" w:lineRule="exact"/>
        <w:rPr>
          <w:sz w:val="20"/>
          <w:szCs w:val="20"/>
          <w:color w:val="auto"/>
        </w:rPr>
      </w:pPr>
    </w:p>
    <w:p>
      <w:pPr>
        <w:ind w:right="280" w:firstLine="562"/>
        <w:spacing w:after="0" w:line="290" w:lineRule="auto"/>
        <w:rPr>
          <w:sz w:val="20"/>
          <w:szCs w:val="20"/>
          <w:color w:val="auto"/>
        </w:rPr>
      </w:pPr>
      <w:r>
        <w:rPr>
          <w:rFonts w:ascii="Arial" w:cs="Arial" w:eastAsia="Arial" w:hAnsi="Arial"/>
          <w:sz w:val="13"/>
          <w:szCs w:val="13"/>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20"/>
          </w:cols>
          <w:pgMar w:left="32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66" w:lineRule="exact"/>
        <w:rPr>
          <w:sz w:val="20"/>
          <w:szCs w:val="20"/>
          <w:color w:val="auto"/>
        </w:rPr>
      </w:pPr>
    </w:p>
    <w:p>
      <w:pPr>
        <w:ind w:right="60" w:firstLine="562"/>
        <w:spacing w:after="0" w:line="253" w:lineRule="auto"/>
        <w:rPr>
          <w:sz w:val="20"/>
          <w:szCs w:val="20"/>
          <w:color w:val="auto"/>
        </w:rPr>
      </w:pPr>
      <w:r>
        <w:rPr>
          <w:rFonts w:ascii="Arial" w:cs="Arial" w:eastAsia="Arial" w:hAnsi="Arial"/>
          <w:sz w:val="14"/>
          <w:szCs w:val="14"/>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Competition</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77" w:lineRule="exact"/>
        <w:rPr>
          <w:sz w:val="20"/>
          <w:szCs w:val="20"/>
          <w:color w:val="auto"/>
        </w:rPr>
      </w:pPr>
    </w:p>
    <w:p>
      <w:pPr>
        <w:ind w:firstLine="562"/>
        <w:spacing w:after="0" w:line="255" w:lineRule="auto"/>
        <w:rPr>
          <w:sz w:val="20"/>
          <w:szCs w:val="20"/>
          <w:color w:val="auto"/>
        </w:rPr>
      </w:pPr>
      <w:r>
        <w:rPr>
          <w:rFonts w:ascii="Arial" w:cs="Arial" w:eastAsia="Arial" w:hAnsi="Arial"/>
          <w:sz w:val="13"/>
          <w:szCs w:val="13"/>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Leverage</w:t>
      </w:r>
    </w:p>
    <w:p>
      <w:pPr>
        <w:spacing w:after="0" w:line="9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maintain a multi-currency $545 million Credit Facility, which matures in June 2019, and is secured by substantially all of our investment portfolio assets (excluding the assets of our SBIC Funds), under which we had $50.3 million and $136.9 million (including a $30.0 million temporary draw) of debt outstanding with a weighted average interest rate of 2.76% and 3.07% as of September 30, 2016 and 2015, respectively, excluding undrawn commitment fees. Pricing of borrowings under our current Credit Facility is set at 225 basis points over the London Interbank Offered Rate, or LIBOR. As of September 30, 2016 and 2015, we had $494.7 million and $408.1 million, respectively, available to us under our Credit Facility subject to the regulatory restrictions.</w:t>
      </w:r>
    </w:p>
    <w:p>
      <w:pPr>
        <w:spacing w:after="0" w:line="76" w:lineRule="exact"/>
        <w:rPr>
          <w:sz w:val="20"/>
          <w:szCs w:val="20"/>
          <w:color w:val="auto"/>
        </w:rPr>
      </w:pPr>
    </w:p>
    <w:p>
      <w:pPr>
        <w:ind w:right="100" w:firstLine="562"/>
        <w:spacing w:after="0" w:line="231" w:lineRule="auto"/>
        <w:rPr>
          <w:sz w:val="20"/>
          <w:szCs w:val="20"/>
          <w:color w:val="auto"/>
        </w:rPr>
      </w:pPr>
      <w:r>
        <w:rPr>
          <w:rFonts w:ascii="Arial" w:cs="Arial" w:eastAsia="Arial" w:hAnsi="Arial"/>
          <w:sz w:val="14"/>
          <w:szCs w:val="14"/>
          <w:color w:val="auto"/>
        </w:rPr>
        <w:t>As of September 30, 2016 and 2015, our SBIC Funds had $225.0 million in debt commitments, of which $197.5 million and $150.0 million was drawn, respectively, with a weighted average interest rate of 3.44% and 3.70%, exclusive of the 3.43% of upfront fees. The SBA debentures mature between September 2020 and September 2026. SBA debentures offer competitive terms such as being non-recourse to us, a 10-year maturity, semi-annual interest payments, no required principal payments prior to maturity and may be prepaid at any time without penalty. The SBA debentures are secured by all the investment portfolio assets of our SBIC Funds and have a priority claim over such assets relative to all other creditors. See “Regulation” for more information.</w:t>
      </w:r>
    </w:p>
    <w:p>
      <w:pPr>
        <w:spacing w:after="0" w:line="76" w:lineRule="exact"/>
        <w:rPr>
          <w:sz w:val="20"/>
          <w:szCs w:val="20"/>
          <w:color w:val="auto"/>
        </w:rPr>
      </w:pPr>
    </w:p>
    <w:p>
      <w:pPr>
        <w:jc w:val="both"/>
        <w:ind w:right="20" w:firstLine="562"/>
        <w:spacing w:after="0" w:line="264" w:lineRule="auto"/>
        <w:rPr>
          <w:sz w:val="20"/>
          <w:szCs w:val="20"/>
          <w:color w:val="auto"/>
        </w:rPr>
      </w:pPr>
      <w:r>
        <w:rPr>
          <w:rFonts w:ascii="Arial" w:cs="Arial" w:eastAsia="Arial" w:hAnsi="Arial"/>
          <w:sz w:val="13"/>
          <w:szCs w:val="13"/>
          <w:color w:val="auto"/>
        </w:rPr>
        <w:t>As of September 30, 2016 and 2015, we had $250.0 million in aggregate principal amount of 2019 Notes outstanding. Interest on the 2019 Notes accrues at a rate of 4.50% per year and is paid semi-annually.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60"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As of September 30, 2016 and 2015, we had $71.3 million in aggregate principal amount of 2025 Notes outstanding. Interest on the 2025 Notes accrues at a rate of 6.25% per year and is paid quarterly.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 See “Management’s Discussion and Analysis of Financial Condition and Results of Operations” for more information.</w:t>
      </w:r>
    </w:p>
    <w:p>
      <w:pPr>
        <w:spacing w:after="0" w:line="77"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We believe that our capital resources will provide us with the flexibility to take advantage of market opportunities when they arise. Our use of regulatory leverage, as calculated under the asset coverage requirements of the 1940 Act, may generally range between 60% and 80% of our net assets.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Policy Overview</w:t>
      </w:r>
    </w:p>
    <w:p>
      <w:pPr>
        <w:spacing w:after="0" w:line="96" w:lineRule="exact"/>
        <w:rPr>
          <w:sz w:val="20"/>
          <w:szCs w:val="20"/>
          <w:color w:val="auto"/>
        </w:rPr>
      </w:pPr>
    </w:p>
    <w:p>
      <w:pPr>
        <w:ind w:right="20" w:firstLine="562"/>
        <w:spacing w:after="0" w:line="255" w:lineRule="auto"/>
        <w:rPr>
          <w:sz w:val="20"/>
          <w:szCs w:val="20"/>
          <w:color w:val="auto"/>
        </w:rPr>
      </w:pPr>
      <w:r>
        <w:rPr>
          <w:rFonts w:ascii="Arial" w:cs="Arial" w:eastAsia="Arial" w:hAnsi="Arial"/>
          <w:sz w:val="13"/>
          <w:szCs w:val="13"/>
          <w:color w:val="auto"/>
        </w:rPr>
        <w:t>We seek to create a diversified portfolio that includes senior secured debt, mezzanine debt and, to a lesser extent, equity by targeting an investment size of $10 million to $50 million in securities, on average, of middle-market companies. We expect this investment size to vary proportionately with the size of our capital base. The companies in which we invest are typically highly leveraged, and, in most cases, are not rated by national rating agencies. If such unrated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67"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Over time, we expect that our portfolio will continue to consist primarily of senior secured debt, mezzanine debt and, to a lesser extent, equity investments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 See “Regulation—Qualifying Assets” and “Investment Selection Criteria” for more information.</w:t>
      </w:r>
    </w:p>
    <w:p>
      <w:pPr>
        <w:spacing w:after="0" w:line="76"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securities. Nevertheless, the effects of changes to our operating policies and strategies may adversely affect our business, our ability to make distributions and the value of our securities.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Secured Debt</w:t>
      </w:r>
    </w:p>
    <w:p>
      <w:pPr>
        <w:spacing w:after="0" w:line="96" w:lineRule="exact"/>
        <w:rPr>
          <w:sz w:val="20"/>
          <w:szCs w:val="20"/>
          <w:color w:val="auto"/>
        </w:rPr>
      </w:pPr>
    </w:p>
    <w:p>
      <w:pPr>
        <w:ind w:right="100" w:firstLine="562"/>
        <w:spacing w:after="0" w:line="255" w:lineRule="auto"/>
        <w:rPr>
          <w:sz w:val="20"/>
          <w:szCs w:val="20"/>
          <w:color w:val="auto"/>
        </w:rPr>
      </w:pPr>
      <w:r>
        <w:rPr>
          <w:rFonts w:ascii="Arial" w:cs="Arial" w:eastAsia="Arial" w:hAnsi="Arial"/>
          <w:sz w:val="13"/>
          <w:szCs w:val="13"/>
          <w:color w:val="auto"/>
        </w:rPr>
        <w:t>Structurally, senior secured debt (which we define as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Mezzanine Debt</w:t>
      </w:r>
    </w:p>
    <w:p>
      <w:pPr>
        <w:spacing w:after="0" w:line="9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Structurally, mezzanine debt (which we define to include second lien secured debt and subordinated debt) usually ranks subordinate in priority of payment to senior secured debt. Our second lien secured debt is subordinated debt that benefits from a security interest in the borrower. As such, other creditors may rank senior to us in the event of insolvency. Mezzanine debt ranks senior to common and preferred equity in borrowers’ capital structures. Due to its higher risk profile and often less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00"/>
          </w:cols>
          <w:pgMar w:left="320" w:top="459" w:right="3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38" w:lineRule="auto"/>
        <w:rPr>
          <w:sz w:val="20"/>
          <w:szCs w:val="20"/>
          <w:color w:val="auto"/>
        </w:rPr>
      </w:pPr>
      <w:r>
        <w:rPr>
          <w:rFonts w:ascii="Arial" w:cs="Arial" w:eastAsia="Arial" w:hAnsi="Arial"/>
          <w:sz w:val="14"/>
          <w:szCs w:val="14"/>
          <w:color w:val="auto"/>
        </w:rPr>
        <w:t>restrictive covenants as compared to senior secured debt, mezzanine debt generally earns a higher return than senior secured debt. In many cases, mezzanine investors receive opportunities to invest directly in the equity securities of borrowers and from time to time may also receive warrants to purchase equity securities. We evaluate these investment opportunities on a case-by-case basis.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Selection Criteria</w:t>
      </w:r>
    </w:p>
    <w:p>
      <w:pPr>
        <w:spacing w:after="0" w:line="96" w:lineRule="exact"/>
        <w:rPr>
          <w:sz w:val="20"/>
          <w:szCs w:val="20"/>
          <w:color w:val="auto"/>
        </w:rPr>
      </w:pPr>
    </w:p>
    <w:p>
      <w:pPr>
        <w:ind w:right="100" w:firstLine="562"/>
        <w:spacing w:after="0" w:line="253" w:lineRule="auto"/>
        <w:rPr>
          <w:sz w:val="20"/>
          <w:szCs w:val="20"/>
          <w:color w:val="auto"/>
        </w:rPr>
      </w:pPr>
      <w:r>
        <w:rPr>
          <w:rFonts w:ascii="Arial" w:cs="Arial" w:eastAsia="Arial" w:hAnsi="Arial"/>
          <w:sz w:val="14"/>
          <w:szCs w:val="14"/>
          <w:color w:val="auto"/>
        </w:rPr>
        <w:t>We are committed to a value-oriented philosophy used by the senior investment professionals who manage our portfolio and seek to minimize the risk of capital loss without foregoing potential for capital appreciation.</w:t>
      </w:r>
    </w:p>
    <w:p>
      <w:pPr>
        <w:spacing w:after="0" w:line="6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a) Leading and defensible competitive market positions</w:t>
      </w:r>
    </w:p>
    <w:p>
      <w:pPr>
        <w:spacing w:after="0" w:line="96" w:lineRule="exact"/>
        <w:rPr>
          <w:sz w:val="20"/>
          <w:szCs w:val="20"/>
          <w:color w:val="auto"/>
        </w:rPr>
      </w:pPr>
    </w:p>
    <w:p>
      <w:pPr>
        <w:ind w:right="180" w:firstLine="562"/>
        <w:spacing w:after="0" w:line="264" w:lineRule="auto"/>
        <w:rPr>
          <w:sz w:val="20"/>
          <w:szCs w:val="20"/>
          <w:color w:val="auto"/>
        </w:rPr>
      </w:pPr>
      <w:r>
        <w:rPr>
          <w:rFonts w:ascii="Arial" w:cs="Arial" w:eastAsia="Arial" w:hAnsi="Arial"/>
          <w:sz w:val="13"/>
          <w:szCs w:val="13"/>
          <w:color w:val="auto"/>
        </w:rPr>
        <w:t>The Investment Adviser invests in portfolio companies that it believes have developed strong positions within their markets and exhibit the potential to maintain sufficient cash flows and profit ability to service their obligations in a range of economic environments.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60"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b) Investing in stable borrowers with positive cash flow</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77"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 Proven management teams</w:t>
      </w:r>
    </w:p>
    <w:p>
      <w:pPr>
        <w:spacing w:after="0" w:line="96" w:lineRule="exact"/>
        <w:rPr>
          <w:sz w:val="20"/>
          <w:szCs w:val="20"/>
          <w:color w:val="auto"/>
        </w:rPr>
      </w:pPr>
    </w:p>
    <w:p>
      <w:pPr>
        <w:ind w:right="360" w:firstLine="562"/>
        <w:spacing w:after="0" w:line="290" w:lineRule="auto"/>
        <w:rPr>
          <w:sz w:val="20"/>
          <w:szCs w:val="20"/>
          <w:color w:val="auto"/>
        </w:rPr>
      </w:pPr>
      <w:r>
        <w:rPr>
          <w:rFonts w:ascii="Arial" w:cs="Arial" w:eastAsia="Arial" w:hAnsi="Arial"/>
          <w:sz w:val="13"/>
          <w:szCs w:val="13"/>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d) Financial sponsorship</w:t>
      </w:r>
    </w:p>
    <w:p>
      <w:pPr>
        <w:spacing w:after="0" w:line="96" w:lineRule="exact"/>
        <w:rPr>
          <w:sz w:val="20"/>
          <w:szCs w:val="20"/>
          <w:color w:val="auto"/>
        </w:rPr>
      </w:pPr>
    </w:p>
    <w:p>
      <w:pPr>
        <w:ind w:right="260" w:firstLine="562"/>
        <w:spacing w:after="0" w:line="233" w:lineRule="auto"/>
        <w:rPr>
          <w:sz w:val="20"/>
          <w:szCs w:val="20"/>
          <w:color w:val="auto"/>
        </w:rPr>
      </w:pPr>
      <w:r>
        <w:rPr>
          <w:rFonts w:ascii="Arial" w:cs="Arial" w:eastAsia="Arial" w:hAnsi="Arial"/>
          <w:sz w:val="14"/>
          <w:szCs w:val="14"/>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77"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e) Investments in different borrowers, industries and geographies</w:t>
      </w:r>
    </w:p>
    <w:p>
      <w:pPr>
        <w:spacing w:after="0" w:line="9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f) Viable exit strategy</w:t>
      </w:r>
    </w:p>
    <w:p>
      <w:pPr>
        <w:spacing w:after="0" w:line="96" w:lineRule="exact"/>
        <w:rPr>
          <w:sz w:val="20"/>
          <w:szCs w:val="20"/>
          <w:color w:val="auto"/>
        </w:rPr>
      </w:pPr>
    </w:p>
    <w:p>
      <w:pPr>
        <w:ind w:right="180" w:firstLine="562"/>
        <w:spacing w:after="0" w:line="231" w:lineRule="auto"/>
        <w:rPr>
          <w:sz w:val="20"/>
          <w:szCs w:val="20"/>
          <w:color w:val="auto"/>
        </w:rPr>
      </w:pPr>
      <w:r>
        <w:rPr>
          <w:rFonts w:ascii="Arial" w:cs="Arial" w:eastAsia="Arial" w:hAnsi="Arial"/>
          <w:sz w:val="14"/>
          <w:szCs w:val="14"/>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Due Diligence</w:t>
      </w:r>
    </w:p>
    <w:p>
      <w:pPr>
        <w:spacing w:after="0" w:line="96" w:lineRule="exact"/>
        <w:rPr>
          <w:sz w:val="20"/>
          <w:szCs w:val="20"/>
          <w:color w:val="auto"/>
        </w:rPr>
      </w:pPr>
    </w:p>
    <w:p>
      <w:pPr>
        <w:ind w:right="260" w:firstLine="562"/>
        <w:spacing w:after="0" w:line="233" w:lineRule="auto"/>
        <w:rPr>
          <w:sz w:val="20"/>
          <w:szCs w:val="20"/>
          <w:color w:val="auto"/>
        </w:rPr>
      </w:pPr>
      <w:r>
        <w:rPr>
          <w:rFonts w:ascii="Arial" w:cs="Arial" w:eastAsia="Arial" w:hAnsi="Arial"/>
          <w:sz w:val="14"/>
          <w:szCs w:val="14"/>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due diligence may include:</w:t>
      </w:r>
    </w:p>
    <w:p>
      <w:pPr>
        <w:spacing w:after="0" w:line="109" w:lineRule="exact"/>
        <w:rPr>
          <w:sz w:val="20"/>
          <w:szCs w:val="20"/>
          <w:color w:val="auto"/>
        </w:rPr>
      </w:pPr>
    </w:p>
    <w:p>
      <w:pPr>
        <w:ind w:left="1000" w:hanging="331"/>
        <w:spacing w:after="0"/>
        <w:tabs>
          <w:tab w:leader="none" w:pos="100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review of historical and prospective financial information;</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research relating to the portfolio company’s management, industry, markets, products and services and competitors;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interviews with management, employees, customers and vendors of the potential portfolio company;</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on-site visits;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review of loan documents; and</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5"/>
        </w:numPr>
        <w:rPr>
          <w:rFonts w:ascii="Arial" w:cs="Arial" w:eastAsia="Arial" w:hAnsi="Arial"/>
          <w:sz w:val="14"/>
          <w:szCs w:val="14"/>
          <w:color w:val="auto"/>
        </w:rPr>
      </w:pPr>
      <w:r>
        <w:rPr>
          <w:rFonts w:ascii="Arial" w:cs="Arial" w:eastAsia="Arial" w:hAnsi="Arial"/>
          <w:sz w:val="14"/>
          <w:szCs w:val="14"/>
          <w:color w:val="auto"/>
        </w:rPr>
        <w:t>background checks.</w:t>
      </w:r>
    </w:p>
    <w:p>
      <w:pPr>
        <w:spacing w:after="0" w:line="96" w:lineRule="exact"/>
        <w:rPr>
          <w:sz w:val="20"/>
          <w:szCs w:val="20"/>
          <w:color w:val="auto"/>
        </w:rPr>
      </w:pPr>
    </w:p>
    <w:p>
      <w:pPr>
        <w:ind w:right="200" w:firstLine="562"/>
        <w:spacing w:after="0" w:line="253" w:lineRule="auto"/>
        <w:rPr>
          <w:sz w:val="20"/>
          <w:szCs w:val="20"/>
          <w:color w:val="auto"/>
        </w:rPr>
      </w:pPr>
      <w:r>
        <w:rPr>
          <w:rFonts w:ascii="Arial" w:cs="Arial" w:eastAsia="Arial" w:hAnsi="Arial"/>
          <w:sz w:val="14"/>
          <w:szCs w:val="14"/>
          <w:color w:val="auto"/>
        </w:rPr>
        <w:t>Additional due diligence with respect to any investment may be conducted on our behalf by attorneys and independent auditors prior to the closing of the investment, as well as other outside advisers, as appropriate.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20"/>
          </w:cols>
          <w:pgMar w:left="320" w:top="45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Upon the completion of due diligence on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Structure</w:t>
      </w:r>
    </w:p>
    <w:p>
      <w:pPr>
        <w:spacing w:after="0" w:line="96" w:lineRule="exact"/>
        <w:rPr>
          <w:sz w:val="20"/>
          <w:szCs w:val="20"/>
          <w:color w:val="auto"/>
        </w:rPr>
      </w:pPr>
    </w:p>
    <w:p>
      <w:pPr>
        <w:ind w:right="180" w:firstLine="562"/>
        <w:spacing w:after="0" w:line="238" w:lineRule="auto"/>
        <w:rPr>
          <w:sz w:val="20"/>
          <w:szCs w:val="20"/>
          <w:color w:val="auto"/>
        </w:rPr>
      </w:pPr>
      <w:r>
        <w:rPr>
          <w:rFonts w:ascii="Arial" w:cs="Arial" w:eastAsia="Arial" w:hAnsi="Arial"/>
          <w:sz w:val="14"/>
          <w:szCs w:val="14"/>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75" w:lineRule="exact"/>
        <w:rPr>
          <w:sz w:val="20"/>
          <w:szCs w:val="20"/>
          <w:color w:val="auto"/>
        </w:rPr>
      </w:pPr>
    </w:p>
    <w:p>
      <w:pPr>
        <w:ind w:right="420" w:firstLine="562"/>
        <w:spacing w:after="0" w:line="253" w:lineRule="auto"/>
        <w:rPr>
          <w:sz w:val="20"/>
          <w:szCs w:val="20"/>
          <w:color w:val="auto"/>
        </w:rPr>
      </w:pPr>
      <w:r>
        <w:rPr>
          <w:rFonts w:ascii="Arial" w:cs="Arial" w:eastAsia="Arial" w:hAnsi="Arial"/>
          <w:sz w:val="14"/>
          <w:szCs w:val="14"/>
          <w:color w:val="auto"/>
        </w:rPr>
        <w:t>We expect our senior secured debt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66" w:lineRule="exact"/>
        <w:rPr>
          <w:sz w:val="20"/>
          <w:szCs w:val="20"/>
          <w:color w:val="auto"/>
        </w:rPr>
      </w:pPr>
    </w:p>
    <w:p>
      <w:pPr>
        <w:ind w:right="200" w:firstLine="562"/>
        <w:spacing w:after="0" w:line="233" w:lineRule="auto"/>
        <w:rPr>
          <w:sz w:val="20"/>
          <w:szCs w:val="20"/>
          <w:color w:val="auto"/>
        </w:rPr>
      </w:pPr>
      <w:r>
        <w:rPr>
          <w:rFonts w:ascii="Arial" w:cs="Arial" w:eastAsia="Arial" w:hAnsi="Arial"/>
          <w:sz w:val="14"/>
          <w:szCs w:val="14"/>
          <w:color w:val="auto"/>
        </w:rPr>
        <w:t>Typically, our mezzanine debt investments have maturities of three to ten years. Mezzanine debt may take the form of a second priority lien on the assets of a portfolio company and have interest-only payments in the early years with cash or payment-in-kind,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mezzanine debt may be collateralized by a subordinated lien on some or all of the assets of the borrower.</w:t>
      </w:r>
    </w:p>
    <w:p>
      <w:pPr>
        <w:spacing w:after="0" w:line="77" w:lineRule="exact"/>
        <w:rPr>
          <w:sz w:val="20"/>
          <w:szCs w:val="20"/>
          <w:color w:val="auto"/>
        </w:rPr>
      </w:pPr>
    </w:p>
    <w:p>
      <w:pPr>
        <w:jc w:val="both"/>
        <w:ind w:right="100" w:firstLine="562"/>
        <w:spacing w:after="0" w:line="238" w:lineRule="auto"/>
        <w:rPr>
          <w:sz w:val="20"/>
          <w:szCs w:val="20"/>
          <w:color w:val="auto"/>
        </w:rPr>
      </w:pPr>
      <w:r>
        <w:rPr>
          <w:rFonts w:ascii="Arial" w:cs="Arial" w:eastAsia="Arial" w:hAnsi="Arial"/>
          <w:sz w:val="14"/>
          <w:szCs w:val="14"/>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88" w:lineRule="exact"/>
        <w:rPr>
          <w:sz w:val="20"/>
          <w:szCs w:val="20"/>
          <w:color w:val="auto"/>
        </w:rPr>
      </w:pPr>
    </w:p>
    <w:p>
      <w:pPr>
        <w:ind w:left="1000" w:hanging="331"/>
        <w:spacing w:after="0"/>
        <w:tabs>
          <w:tab w:leader="none" w:pos="10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requiring a total return on our investments (including both interest in the form of a floor and potential equity appreciation) that compensates us for credit risk;</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incorporating “put” rights and call protection into the investment structure; and</w:t>
      </w:r>
    </w:p>
    <w:p>
      <w:pPr>
        <w:spacing w:after="0" w:line="109" w:lineRule="exact"/>
        <w:rPr>
          <w:rFonts w:ascii="Arial" w:cs="Arial" w:eastAsia="Arial" w:hAnsi="Arial"/>
          <w:sz w:val="14"/>
          <w:szCs w:val="14"/>
          <w:color w:val="auto"/>
        </w:rPr>
      </w:pPr>
    </w:p>
    <w:p>
      <w:pPr>
        <w:jc w:val="both"/>
        <w:ind w:left="1000" w:right="220" w:hanging="331"/>
        <w:spacing w:after="0" w:line="238" w:lineRule="auto"/>
        <w:tabs>
          <w:tab w:leader="none" w:pos="100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75" w:lineRule="exact"/>
        <w:rPr>
          <w:sz w:val="20"/>
          <w:szCs w:val="20"/>
          <w:color w:val="auto"/>
        </w:rPr>
      </w:pPr>
    </w:p>
    <w:p>
      <w:pPr>
        <w:ind w:right="100" w:firstLine="562"/>
        <w:spacing w:after="0" w:line="231" w:lineRule="auto"/>
        <w:rPr>
          <w:sz w:val="20"/>
          <w:szCs w:val="20"/>
          <w:color w:val="auto"/>
        </w:rPr>
      </w:pPr>
      <w:r>
        <w:rPr>
          <w:rFonts w:ascii="Arial" w:cs="Arial" w:eastAsia="Arial" w:hAnsi="Arial"/>
          <w:sz w:val="14"/>
          <w:szCs w:val="14"/>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76" w:lineRule="exact"/>
        <w:rPr>
          <w:sz w:val="20"/>
          <w:szCs w:val="20"/>
          <w:color w:val="auto"/>
        </w:rPr>
      </w:pPr>
    </w:p>
    <w:p>
      <w:pPr>
        <w:ind w:right="240" w:firstLine="562"/>
        <w:spacing w:after="0" w:line="253" w:lineRule="auto"/>
        <w:rPr>
          <w:sz w:val="20"/>
          <w:szCs w:val="20"/>
          <w:color w:val="auto"/>
        </w:rPr>
      </w:pPr>
      <w:r>
        <w:rPr>
          <w:rFonts w:ascii="Arial" w:cs="Arial" w:eastAsia="Arial" w:hAnsi="Arial"/>
          <w:sz w:val="14"/>
          <w:szCs w:val="14"/>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Ongoing Relationships with Portfolio Companies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Monitoring</w:t>
      </w:r>
    </w:p>
    <w:p>
      <w:pPr>
        <w:spacing w:after="0" w:line="96"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The Investment Adviser monitors our portfolio companies on an ongoing basis. The Investment Adviser also monitors the financial trends of each portfolio company to determine if it is meeting its respective business plan and to assess the appropriate course of action for each portfolio company.</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Investment Adviser has several methods of evaluating and monitoring the performance and fair value of our investments, which may include the following:</w:t>
      </w:r>
    </w:p>
    <w:p>
      <w:pPr>
        <w:spacing w:after="0" w:line="109" w:lineRule="exact"/>
        <w:rPr>
          <w:sz w:val="20"/>
          <w:szCs w:val="20"/>
          <w:color w:val="auto"/>
        </w:rPr>
      </w:pPr>
    </w:p>
    <w:p>
      <w:pPr>
        <w:ind w:left="1000" w:hanging="331"/>
        <w:spacing w:after="0"/>
        <w:tabs>
          <w:tab w:leader="none" w:pos="10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assessment of success in adhering to a portfolio company’s business plan and compliance with covenants;</w:t>
      </w:r>
    </w:p>
    <w:p>
      <w:pPr>
        <w:spacing w:after="0" w:line="109" w:lineRule="exact"/>
        <w:rPr>
          <w:rFonts w:ascii="Arial" w:cs="Arial" w:eastAsia="Arial" w:hAnsi="Arial"/>
          <w:sz w:val="14"/>
          <w:szCs w:val="14"/>
          <w:color w:val="auto"/>
        </w:rPr>
      </w:pPr>
    </w:p>
    <w:p>
      <w:pPr>
        <w:ind w:left="1000" w:right="760" w:hanging="331"/>
        <w:spacing w:after="0" w:line="253" w:lineRule="auto"/>
        <w:tabs>
          <w:tab w:leader="none" w:pos="1000" w:val="left"/>
        </w:tabs>
        <w:numPr>
          <w:ilvl w:val="0"/>
          <w:numId w:val="7"/>
        </w:numPr>
        <w:rPr>
          <w:rFonts w:ascii="Arial" w:cs="Arial" w:eastAsia="Arial" w:hAnsi="Arial"/>
          <w:sz w:val="14"/>
          <w:szCs w:val="14"/>
          <w:color w:val="auto"/>
        </w:rPr>
      </w:pPr>
      <w:r>
        <w:rPr>
          <w:rFonts w:ascii="Arial" w:cs="Arial" w:eastAsia="Arial" w:hAnsi="Arial"/>
          <w:sz w:val="14"/>
          <w:szCs w:val="14"/>
          <w:color w:val="auto"/>
        </w:rPr>
        <w:t>periodic or regular contact with portfolio company management and, if appropriate, the financial or strategic sponsor, to discuss financial position, requirements and accomplishments;</w:t>
      </w:r>
    </w:p>
    <w:p>
      <w:pPr>
        <w:spacing w:after="0" w:line="79" w:lineRule="exact"/>
        <w:rPr>
          <w:rFonts w:ascii="Arial" w:cs="Arial" w:eastAsia="Arial" w:hAnsi="Arial"/>
          <w:sz w:val="14"/>
          <w:szCs w:val="14"/>
          <w:color w:val="auto"/>
        </w:rPr>
      </w:pPr>
    </w:p>
    <w:p>
      <w:pPr>
        <w:ind w:left="1000" w:hanging="331"/>
        <w:spacing w:after="0"/>
        <w:tabs>
          <w:tab w:leader="none" w:pos="100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comparisons to other portfolio companies in the industry, if any;</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attendance at and participation in board meetings or presentations by portfolio companies; and</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review of periodic financial statements and financial projections for portfolio companies.</w:t>
      </w:r>
    </w:p>
    <w:p>
      <w:pPr>
        <w:spacing w:after="0" w:line="96" w:lineRule="exact"/>
        <w:rPr>
          <w:sz w:val="20"/>
          <w:szCs w:val="20"/>
          <w:color w:val="auto"/>
        </w:rPr>
      </w:pPr>
    </w:p>
    <w:p>
      <w:pPr>
        <w:ind w:right="20" w:firstLine="562"/>
        <w:spacing w:after="0" w:line="244" w:lineRule="auto"/>
        <w:rPr>
          <w:sz w:val="20"/>
          <w:szCs w:val="20"/>
          <w:color w:val="auto"/>
        </w:rPr>
      </w:pPr>
      <w:r>
        <w:rPr>
          <w:rFonts w:ascii="Arial" w:cs="Arial" w:eastAsia="Arial" w:hAnsi="Arial"/>
          <w:sz w:val="13"/>
          <w:szCs w:val="13"/>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w:t>
      </w:r>
    </w:p>
    <w:p>
      <w:pPr>
        <w:spacing w:after="0" w:line="2" w:lineRule="exact"/>
        <w:rPr>
          <w:sz w:val="20"/>
          <w:szCs w:val="20"/>
          <w:color w:val="auto"/>
        </w:rPr>
      </w:pPr>
    </w:p>
    <w:p>
      <w:pPr>
        <w:ind w:right="140" w:firstLine="8"/>
        <w:spacing w:after="0" w:line="237" w:lineRule="auto"/>
        <w:tabs>
          <w:tab w:leader="none" w:pos="204"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Managerial Assistance</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offer managerial assistance to our portfolio companies. As a BDC, we are required to make available such managerial assistance within the meaning of Section 55 of the 1940 Act.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See “Regulation” for more information.</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Staffing</w:t>
      </w:r>
    </w:p>
    <w:p>
      <w:pPr>
        <w:spacing w:after="0" w:line="96" w:lineRule="exact"/>
        <w:rPr>
          <w:sz w:val="20"/>
          <w:szCs w:val="20"/>
          <w:color w:val="auto"/>
        </w:rPr>
      </w:pPr>
    </w:p>
    <w:p>
      <w:pPr>
        <w:ind w:right="100" w:firstLine="562"/>
        <w:spacing w:after="0" w:line="253" w:lineRule="auto"/>
        <w:rPr>
          <w:sz w:val="20"/>
          <w:szCs w:val="20"/>
          <w:color w:val="auto"/>
        </w:rPr>
      </w:pPr>
      <w:r>
        <w:rPr>
          <w:rFonts w:ascii="Arial" w:cs="Arial" w:eastAsia="Arial" w:hAnsi="Arial"/>
          <w:sz w:val="14"/>
          <w:szCs w:val="14"/>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20"/>
          </w:cols>
          <w:pgMar w:left="320" w:top="459" w:right="3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Corporate Information</w:t>
      </w:r>
    </w:p>
    <w:p>
      <w:pPr>
        <w:spacing w:after="0" w:line="96" w:lineRule="exact"/>
        <w:rPr>
          <w:sz w:val="20"/>
          <w:szCs w:val="20"/>
          <w:color w:val="auto"/>
        </w:rPr>
      </w:pPr>
    </w:p>
    <w:p>
      <w:pPr>
        <w:ind w:right="20" w:firstLine="562"/>
        <w:spacing w:after="0" w:line="228" w:lineRule="auto"/>
        <w:rPr>
          <w:sz w:val="20"/>
          <w:szCs w:val="20"/>
          <w:color w:val="auto"/>
        </w:rPr>
      </w:pPr>
      <w:r>
        <w:rPr>
          <w:rFonts w:ascii="Arial" w:cs="Arial" w:eastAsia="Arial" w:hAnsi="Arial"/>
          <w:sz w:val="14"/>
          <w:szCs w:val="14"/>
          <w:color w:val="auto"/>
        </w:rPr>
        <w:t xml:space="preserve">Our administrative and principal executive offices are located at 590 Madison Avenue, 15th Floor, New York, NY 10022. Our common stock is quoted on the NASDAQ Global Select Market under the symbol “PNNT.” Our 2025 Notes are quoted on the New York Stock Exchange, or the NYSE, under the symbol “PNTA.” Our phone number is (212) 905-1000, and our Internet website address is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xml:space="preserve">. Information contained on our website is not incorporated by reference into this Report and you should not consider information contained on our website to be part of this Report.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xml:space="preserve"> that contains material that we file with the SEC on the EDGAR Database.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Portfolio</w:t>
      </w:r>
    </w:p>
    <w:p>
      <w:pPr>
        <w:spacing w:after="0" w:line="96" w:lineRule="exact"/>
        <w:rPr>
          <w:sz w:val="20"/>
          <w:szCs w:val="20"/>
          <w:color w:val="auto"/>
        </w:rPr>
      </w:pPr>
    </w:p>
    <w:p>
      <w:pPr>
        <w:ind w:right="120" w:firstLine="562"/>
        <w:spacing w:after="0" w:line="238" w:lineRule="auto"/>
        <w:rPr>
          <w:sz w:val="20"/>
          <w:szCs w:val="20"/>
          <w:color w:val="auto"/>
        </w:rPr>
      </w:pPr>
      <w:r>
        <w:rPr>
          <w:rFonts w:ascii="Arial" w:cs="Arial" w:eastAsia="Arial" w:hAnsi="Arial"/>
          <w:sz w:val="14"/>
          <w:szCs w:val="14"/>
          <w:color w:val="auto"/>
        </w:rPr>
        <w:t>Our principal investment focus is to provide senior secured debt and mezzanine debt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20"/>
                <w:szCs w:val="20"/>
                <w:color w:val="auto"/>
              </w:rPr>
            </w:pPr>
            <w:r>
              <w:rPr>
                <w:rFonts w:ascii="Arial" w:cs="Arial" w:eastAsia="Arial" w:hAnsi="Arial"/>
                <w:sz w:val="14"/>
                <w:szCs w:val="14"/>
                <w:color w:val="auto"/>
              </w:rPr>
              <w:t>•</w:t>
            </w:r>
          </w:p>
        </w:tc>
        <w:tc>
          <w:tcPr>
            <w:tcW w:w="4620" w:type="dxa"/>
            <w:vAlign w:val="bottom"/>
          </w:tcPr>
          <w:p>
            <w:pPr>
              <w:ind w:left="160"/>
              <w:spacing w:after="0"/>
              <w:rPr>
                <w:sz w:val="20"/>
                <w:szCs w:val="20"/>
                <w:color w:val="auto"/>
              </w:rPr>
            </w:pPr>
            <w:r>
              <w:rPr>
                <w:rFonts w:ascii="Arial" w:cs="Arial" w:eastAsia="Arial" w:hAnsi="Arial"/>
                <w:sz w:val="14"/>
                <w:szCs w:val="14"/>
                <w:color w:val="auto"/>
              </w:rPr>
              <w:t>Aerospace and Defense</w:t>
            </w:r>
          </w:p>
        </w:tc>
        <w:tc>
          <w:tcPr>
            <w:tcW w:w="1120" w:type="dxa"/>
            <w:vAlign w:val="bottom"/>
          </w:tcPr>
          <w:p>
            <w:pPr>
              <w:ind w:left="940"/>
              <w:spacing w:after="0"/>
              <w:rPr>
                <w:sz w:val="20"/>
                <w:szCs w:val="20"/>
                <w:color w:val="auto"/>
              </w:rPr>
            </w:pPr>
            <w:r>
              <w:rPr>
                <w:rFonts w:ascii="Arial" w:cs="Arial" w:eastAsia="Arial" w:hAnsi="Arial"/>
                <w:sz w:val="14"/>
                <w:szCs w:val="14"/>
                <w:color w:val="auto"/>
              </w:rPr>
              <w:t>•</w:t>
            </w:r>
          </w:p>
        </w:tc>
        <w:tc>
          <w:tcPr>
            <w:tcW w:w="4340" w:type="dxa"/>
            <w:vAlign w:val="bottom"/>
          </w:tcPr>
          <w:p>
            <w:pPr>
              <w:ind w:left="140"/>
              <w:spacing w:after="0"/>
              <w:rPr>
                <w:sz w:val="20"/>
                <w:szCs w:val="20"/>
                <w:color w:val="auto"/>
              </w:rPr>
            </w:pPr>
            <w:r>
              <w:rPr>
                <w:rFonts w:ascii="Arial" w:cs="Arial" w:eastAsia="Arial" w:hAnsi="Arial"/>
                <w:sz w:val="14"/>
                <w:szCs w:val="14"/>
                <w:color w:val="auto"/>
              </w:rPr>
              <w:t>Energy/Utilities</w:t>
            </w:r>
          </w:p>
        </w:tc>
      </w:tr>
      <w:tr>
        <w:trPr>
          <w:trHeight w:val="149"/>
        </w:trPr>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60"/>
              <w:spacing w:after="0" w:line="149" w:lineRule="exact"/>
              <w:rPr>
                <w:sz w:val="20"/>
                <w:szCs w:val="20"/>
                <w:color w:val="auto"/>
              </w:rPr>
            </w:pPr>
            <w:r>
              <w:rPr>
                <w:rFonts w:ascii="Arial" w:cs="Arial" w:eastAsia="Arial" w:hAnsi="Arial"/>
                <w:sz w:val="14"/>
                <w:szCs w:val="14"/>
                <w:color w:val="auto"/>
              </w:rPr>
              <w:t>Auto Sector</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40"/>
              <w:spacing w:after="0" w:line="149" w:lineRule="exact"/>
              <w:rPr>
                <w:sz w:val="20"/>
                <w:szCs w:val="20"/>
                <w:color w:val="auto"/>
              </w:rPr>
            </w:pPr>
            <w:r>
              <w:rPr>
                <w:rFonts w:ascii="Arial" w:cs="Arial" w:eastAsia="Arial" w:hAnsi="Arial"/>
                <w:sz w:val="14"/>
                <w:szCs w:val="14"/>
                <w:color w:val="auto"/>
              </w:rPr>
              <w:t>Environmental Services</w:t>
            </w:r>
          </w:p>
        </w:tc>
      </w:tr>
      <w:tr>
        <w:trPr>
          <w:trHeight w:val="148"/>
        </w:trPr>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60"/>
              <w:spacing w:after="0" w:line="149" w:lineRule="exact"/>
              <w:rPr>
                <w:sz w:val="20"/>
                <w:szCs w:val="20"/>
                <w:color w:val="auto"/>
              </w:rPr>
            </w:pPr>
            <w:r>
              <w:rPr>
                <w:rFonts w:ascii="Arial" w:cs="Arial" w:eastAsia="Arial" w:hAnsi="Arial"/>
                <w:sz w:val="14"/>
                <w:szCs w:val="14"/>
                <w:color w:val="auto"/>
              </w:rPr>
              <w:t>Beverage, Food and Tobacco</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40"/>
              <w:spacing w:after="0" w:line="149" w:lineRule="exact"/>
              <w:rPr>
                <w:sz w:val="20"/>
                <w:szCs w:val="20"/>
                <w:color w:val="auto"/>
              </w:rPr>
            </w:pPr>
            <w:r>
              <w:rPr>
                <w:rFonts w:ascii="Arial" w:cs="Arial" w:eastAsia="Arial" w:hAnsi="Arial"/>
                <w:sz w:val="14"/>
                <w:szCs w:val="14"/>
                <w:color w:val="auto"/>
              </w:rPr>
              <w:t>Financial Services</w:t>
            </w:r>
          </w:p>
        </w:tc>
      </w:tr>
      <w:tr>
        <w:trPr>
          <w:trHeight w:val="148"/>
        </w:trPr>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60"/>
              <w:spacing w:after="0" w:line="149" w:lineRule="exact"/>
              <w:rPr>
                <w:sz w:val="20"/>
                <w:szCs w:val="20"/>
                <w:color w:val="auto"/>
              </w:rPr>
            </w:pPr>
            <w:r>
              <w:rPr>
                <w:rFonts w:ascii="Arial" w:cs="Arial" w:eastAsia="Arial" w:hAnsi="Arial"/>
                <w:sz w:val="14"/>
                <w:szCs w:val="14"/>
                <w:color w:val="auto"/>
              </w:rPr>
              <w:t>Broadcasting and Entertainment</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40"/>
              <w:spacing w:after="0" w:line="149" w:lineRule="exact"/>
              <w:rPr>
                <w:sz w:val="20"/>
                <w:szCs w:val="20"/>
                <w:color w:val="auto"/>
              </w:rPr>
            </w:pPr>
            <w:r>
              <w:rPr>
                <w:rFonts w:ascii="Arial" w:cs="Arial" w:eastAsia="Arial" w:hAnsi="Arial"/>
                <w:sz w:val="14"/>
                <w:szCs w:val="14"/>
                <w:color w:val="auto"/>
              </w:rPr>
              <w:t>Grocery</w:t>
            </w:r>
          </w:p>
        </w:tc>
      </w:tr>
      <w:tr>
        <w:trPr>
          <w:trHeight w:val="148"/>
        </w:trPr>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60"/>
              <w:spacing w:after="0" w:line="149" w:lineRule="exact"/>
              <w:rPr>
                <w:sz w:val="20"/>
                <w:szCs w:val="20"/>
                <w:color w:val="auto"/>
              </w:rPr>
            </w:pPr>
            <w:r>
              <w:rPr>
                <w:rFonts w:ascii="Arial" w:cs="Arial" w:eastAsia="Arial" w:hAnsi="Arial"/>
                <w:sz w:val="14"/>
                <w:szCs w:val="14"/>
                <w:color w:val="auto"/>
              </w:rPr>
              <w:t>Buildings and Real Estate</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40"/>
              <w:spacing w:after="0" w:line="149" w:lineRule="exact"/>
              <w:rPr>
                <w:sz w:val="20"/>
                <w:szCs w:val="20"/>
                <w:color w:val="auto"/>
              </w:rPr>
            </w:pPr>
            <w:r>
              <w:rPr>
                <w:rFonts w:ascii="Arial" w:cs="Arial" w:eastAsia="Arial" w:hAnsi="Arial"/>
                <w:sz w:val="14"/>
                <w:szCs w:val="14"/>
                <w:color w:val="auto"/>
              </w:rPr>
              <w:t>Healthcare, Education and Childcare</w:t>
            </w:r>
          </w:p>
        </w:tc>
      </w:tr>
      <w:tr>
        <w:trPr>
          <w:trHeight w:val="148"/>
        </w:trPr>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60"/>
              <w:spacing w:after="0" w:line="149" w:lineRule="exact"/>
              <w:rPr>
                <w:sz w:val="20"/>
                <w:szCs w:val="20"/>
                <w:color w:val="auto"/>
              </w:rPr>
            </w:pPr>
            <w:r>
              <w:rPr>
                <w:rFonts w:ascii="Arial" w:cs="Arial" w:eastAsia="Arial" w:hAnsi="Arial"/>
                <w:sz w:val="14"/>
                <w:szCs w:val="14"/>
                <w:color w:val="auto"/>
              </w:rPr>
              <w:t>Building Materials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40"/>
              <w:spacing w:after="0" w:line="149" w:lineRule="exact"/>
              <w:rPr>
                <w:sz w:val="20"/>
                <w:szCs w:val="20"/>
                <w:color w:val="auto"/>
              </w:rPr>
            </w:pPr>
            <w:r>
              <w:rPr>
                <w:rFonts w:ascii="Arial" w:cs="Arial" w:eastAsia="Arial" w:hAnsi="Arial"/>
                <w:sz w:val="14"/>
                <w:szCs w:val="14"/>
                <w:color w:val="auto"/>
              </w:rPr>
              <w:t>High Tech Industries</w:t>
            </w:r>
          </w:p>
        </w:tc>
      </w:tr>
      <w:tr>
        <w:trPr>
          <w:trHeight w:val="149"/>
        </w:trPr>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60"/>
              <w:spacing w:after="0" w:line="149" w:lineRule="exact"/>
              <w:rPr>
                <w:sz w:val="20"/>
                <w:szCs w:val="20"/>
                <w:color w:val="auto"/>
              </w:rPr>
            </w:pPr>
            <w:r>
              <w:rPr>
                <w:rFonts w:ascii="Arial" w:cs="Arial" w:eastAsia="Arial" w:hAnsi="Arial"/>
                <w:sz w:val="14"/>
                <w:szCs w:val="14"/>
                <w:color w:val="auto"/>
              </w:rPr>
              <w:t>Business Services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40"/>
              <w:spacing w:after="0" w:line="149" w:lineRule="exact"/>
              <w:rPr>
                <w:sz w:val="20"/>
                <w:szCs w:val="20"/>
                <w:color w:val="auto"/>
              </w:rPr>
            </w:pPr>
            <w:r>
              <w:rPr>
                <w:rFonts w:ascii="Arial" w:cs="Arial" w:eastAsia="Arial" w:hAnsi="Arial"/>
                <w:sz w:val="14"/>
                <w:szCs w:val="14"/>
                <w:color w:val="auto"/>
                <w:w w:val="93"/>
              </w:rPr>
              <w:t>Home &amp; Office Furnishings, Housewares &amp; Durable Consumer Products</w:t>
            </w:r>
          </w:p>
        </w:tc>
      </w:tr>
      <w:tr>
        <w:trPr>
          <w:trHeight w:val="148"/>
        </w:trPr>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60"/>
              <w:spacing w:after="0" w:line="149" w:lineRule="exact"/>
              <w:rPr>
                <w:sz w:val="20"/>
                <w:szCs w:val="20"/>
                <w:color w:val="auto"/>
              </w:rPr>
            </w:pPr>
            <w:r>
              <w:rPr>
                <w:rFonts w:ascii="Arial" w:cs="Arial" w:eastAsia="Arial" w:hAnsi="Arial"/>
                <w:sz w:val="14"/>
                <w:szCs w:val="14"/>
                <w:color w:val="auto"/>
              </w:rPr>
              <w:t>Cable Television</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40"/>
              <w:spacing w:after="0" w:line="149" w:lineRule="exact"/>
              <w:rPr>
                <w:sz w:val="20"/>
                <w:szCs w:val="20"/>
                <w:color w:val="auto"/>
              </w:rPr>
            </w:pPr>
            <w:r>
              <w:rPr>
                <w:rFonts w:ascii="Arial" w:cs="Arial" w:eastAsia="Arial" w:hAnsi="Arial"/>
                <w:sz w:val="14"/>
                <w:szCs w:val="14"/>
                <w:color w:val="auto"/>
              </w:rPr>
              <w:t>Hotels, Motels, Inns and Gaming</w:t>
            </w:r>
          </w:p>
        </w:tc>
      </w:tr>
      <w:tr>
        <w:trPr>
          <w:trHeight w:val="148"/>
        </w:trPr>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60"/>
              <w:spacing w:after="0" w:line="149" w:lineRule="exact"/>
              <w:rPr>
                <w:sz w:val="20"/>
                <w:szCs w:val="20"/>
                <w:color w:val="auto"/>
              </w:rPr>
            </w:pPr>
            <w:r>
              <w:rPr>
                <w:rFonts w:ascii="Arial" w:cs="Arial" w:eastAsia="Arial" w:hAnsi="Arial"/>
                <w:sz w:val="14"/>
                <w:szCs w:val="14"/>
                <w:color w:val="auto"/>
              </w:rPr>
              <w:t>Capital Equipment</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40"/>
              <w:spacing w:after="0" w:line="149" w:lineRule="exact"/>
              <w:rPr>
                <w:sz w:val="20"/>
                <w:szCs w:val="20"/>
                <w:color w:val="auto"/>
              </w:rPr>
            </w:pPr>
            <w:r>
              <w:rPr>
                <w:rFonts w:ascii="Arial" w:cs="Arial" w:eastAsia="Arial" w:hAnsi="Arial"/>
                <w:sz w:val="14"/>
                <w:szCs w:val="14"/>
                <w:color w:val="auto"/>
              </w:rPr>
              <w:t>Insurance</w:t>
            </w:r>
          </w:p>
        </w:tc>
      </w:tr>
      <w:tr>
        <w:trPr>
          <w:trHeight w:val="148"/>
        </w:trPr>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60"/>
              <w:spacing w:after="0" w:line="149" w:lineRule="exact"/>
              <w:rPr>
                <w:sz w:val="20"/>
                <w:szCs w:val="20"/>
                <w:color w:val="auto"/>
              </w:rPr>
            </w:pPr>
            <w:r>
              <w:rPr>
                <w:rFonts w:ascii="Arial" w:cs="Arial" w:eastAsia="Arial" w:hAnsi="Arial"/>
                <w:sz w:val="14"/>
                <w:szCs w:val="14"/>
                <w:color w:val="auto"/>
              </w:rPr>
              <w:t>Cargo Transportation</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40"/>
              <w:spacing w:after="0" w:line="149" w:lineRule="exact"/>
              <w:rPr>
                <w:sz w:val="20"/>
                <w:szCs w:val="20"/>
                <w:color w:val="auto"/>
              </w:rPr>
            </w:pPr>
            <w:r>
              <w:rPr>
                <w:rFonts w:ascii="Arial" w:cs="Arial" w:eastAsia="Arial" w:hAnsi="Arial"/>
                <w:sz w:val="14"/>
                <w:szCs w:val="14"/>
                <w:color w:val="auto"/>
              </w:rPr>
              <w:t>Leisure, Amusement, Motion Picture, Entertainment</w:t>
            </w:r>
          </w:p>
        </w:tc>
      </w:tr>
      <w:tr>
        <w:trPr>
          <w:trHeight w:val="148"/>
        </w:trPr>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60"/>
              <w:spacing w:after="0" w:line="149" w:lineRule="exact"/>
              <w:rPr>
                <w:sz w:val="20"/>
                <w:szCs w:val="20"/>
                <w:color w:val="auto"/>
              </w:rPr>
            </w:pPr>
            <w:r>
              <w:rPr>
                <w:rFonts w:ascii="Arial" w:cs="Arial" w:eastAsia="Arial" w:hAnsi="Arial"/>
                <w:sz w:val="14"/>
                <w:szCs w:val="14"/>
                <w:color w:val="auto"/>
              </w:rPr>
              <w:t>Chemicals, Plastics and Rubber</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40"/>
              <w:spacing w:after="0" w:line="149" w:lineRule="exact"/>
              <w:rPr>
                <w:sz w:val="20"/>
                <w:szCs w:val="20"/>
                <w:color w:val="auto"/>
              </w:rPr>
            </w:pPr>
            <w:r>
              <w:rPr>
                <w:rFonts w:ascii="Arial" w:cs="Arial" w:eastAsia="Arial" w:hAnsi="Arial"/>
                <w:sz w:val="14"/>
                <w:szCs w:val="14"/>
                <w:color w:val="auto"/>
              </w:rPr>
              <w:t>Logistics</w:t>
            </w:r>
          </w:p>
        </w:tc>
      </w:tr>
      <w:tr>
        <w:trPr>
          <w:trHeight w:val="149"/>
        </w:trPr>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60"/>
              <w:spacing w:after="0" w:line="149" w:lineRule="exact"/>
              <w:rPr>
                <w:sz w:val="20"/>
                <w:szCs w:val="20"/>
                <w:color w:val="auto"/>
              </w:rPr>
            </w:pPr>
            <w:r>
              <w:rPr>
                <w:rFonts w:ascii="Arial" w:cs="Arial" w:eastAsia="Arial" w:hAnsi="Arial"/>
                <w:sz w:val="14"/>
                <w:szCs w:val="14"/>
                <w:color w:val="auto"/>
              </w:rPr>
              <w:t>Communications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40"/>
              <w:spacing w:after="0" w:line="149" w:lineRule="exact"/>
              <w:rPr>
                <w:sz w:val="20"/>
                <w:szCs w:val="20"/>
                <w:color w:val="auto"/>
              </w:rPr>
            </w:pPr>
            <w:r>
              <w:rPr>
                <w:rFonts w:ascii="Arial" w:cs="Arial" w:eastAsia="Arial" w:hAnsi="Arial"/>
                <w:sz w:val="14"/>
                <w:szCs w:val="14"/>
                <w:color w:val="auto"/>
              </w:rPr>
              <w:t>Manufacturing/Basic Industries</w:t>
            </w:r>
          </w:p>
        </w:tc>
      </w:tr>
      <w:tr>
        <w:trPr>
          <w:trHeight w:val="148"/>
        </w:trPr>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60"/>
              <w:spacing w:after="0" w:line="149" w:lineRule="exact"/>
              <w:rPr>
                <w:sz w:val="20"/>
                <w:szCs w:val="20"/>
                <w:color w:val="auto"/>
              </w:rPr>
            </w:pPr>
            <w:r>
              <w:rPr>
                <w:rFonts w:ascii="Arial" w:cs="Arial" w:eastAsia="Arial" w:hAnsi="Arial"/>
                <w:sz w:val="14"/>
                <w:szCs w:val="14"/>
                <w:color w:val="auto"/>
              </w:rPr>
              <w:t>Consumer Products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40"/>
              <w:spacing w:after="0" w:line="149" w:lineRule="exact"/>
              <w:rPr>
                <w:sz w:val="20"/>
                <w:szCs w:val="20"/>
                <w:color w:val="auto"/>
              </w:rPr>
            </w:pPr>
            <w:r>
              <w:rPr>
                <w:rFonts w:ascii="Arial" w:cs="Arial" w:eastAsia="Arial" w:hAnsi="Arial"/>
                <w:sz w:val="14"/>
                <w:szCs w:val="14"/>
                <w:color w:val="auto"/>
              </w:rPr>
              <w:t>Media</w:t>
            </w:r>
          </w:p>
        </w:tc>
      </w:tr>
      <w:tr>
        <w:trPr>
          <w:trHeight w:val="148"/>
        </w:trPr>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60"/>
              <w:spacing w:after="0" w:line="149" w:lineRule="exact"/>
              <w:rPr>
                <w:sz w:val="20"/>
                <w:szCs w:val="20"/>
                <w:color w:val="auto"/>
              </w:rPr>
            </w:pPr>
            <w:r>
              <w:rPr>
                <w:rFonts w:ascii="Arial" w:cs="Arial" w:eastAsia="Arial" w:hAnsi="Arial"/>
                <w:sz w:val="14"/>
                <w:szCs w:val="14"/>
                <w:color w:val="auto"/>
              </w:rPr>
              <w:t>Consumer Services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40"/>
              <w:spacing w:after="0" w:line="149" w:lineRule="exact"/>
              <w:rPr>
                <w:sz w:val="20"/>
                <w:szCs w:val="20"/>
                <w:color w:val="auto"/>
              </w:rPr>
            </w:pPr>
            <w:r>
              <w:rPr>
                <w:rFonts w:ascii="Arial" w:cs="Arial" w:eastAsia="Arial" w:hAnsi="Arial"/>
                <w:sz w:val="14"/>
                <w:szCs w:val="14"/>
                <w:color w:val="auto"/>
              </w:rPr>
              <w:t>Mining, Steel, Iron and Non-Precious Metals</w:t>
            </w:r>
          </w:p>
        </w:tc>
      </w:tr>
      <w:tr>
        <w:trPr>
          <w:trHeight w:val="148"/>
        </w:trPr>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60"/>
              <w:spacing w:after="0" w:line="149" w:lineRule="exact"/>
              <w:rPr>
                <w:sz w:val="20"/>
                <w:szCs w:val="20"/>
                <w:color w:val="auto"/>
              </w:rPr>
            </w:pPr>
            <w:r>
              <w:rPr>
                <w:rFonts w:ascii="Arial" w:cs="Arial" w:eastAsia="Arial" w:hAnsi="Arial"/>
                <w:sz w:val="14"/>
                <w:szCs w:val="14"/>
                <w:color w:val="auto"/>
              </w:rPr>
              <w:t>Containers Packaging &amp; Glass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40"/>
              <w:spacing w:after="0" w:line="149" w:lineRule="exact"/>
              <w:rPr>
                <w:sz w:val="20"/>
                <w:szCs w:val="20"/>
                <w:color w:val="auto"/>
              </w:rPr>
            </w:pPr>
            <w:r>
              <w:rPr>
                <w:rFonts w:ascii="Arial" w:cs="Arial" w:eastAsia="Arial" w:hAnsi="Arial"/>
                <w:sz w:val="14"/>
                <w:szCs w:val="14"/>
                <w:color w:val="auto"/>
              </w:rPr>
              <w:t>Oil and Gas</w:t>
            </w:r>
          </w:p>
        </w:tc>
      </w:tr>
      <w:tr>
        <w:trPr>
          <w:trHeight w:val="148"/>
        </w:trPr>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60"/>
              <w:spacing w:after="0" w:line="149" w:lineRule="exact"/>
              <w:rPr>
                <w:sz w:val="20"/>
                <w:szCs w:val="20"/>
                <w:color w:val="auto"/>
              </w:rPr>
            </w:pPr>
            <w:r>
              <w:rPr>
                <w:rFonts w:ascii="Arial" w:cs="Arial" w:eastAsia="Arial" w:hAnsi="Arial"/>
                <w:sz w:val="14"/>
                <w:szCs w:val="14"/>
                <w:color w:val="auto"/>
              </w:rPr>
              <w:t>Distribution</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40"/>
              <w:spacing w:after="0" w:line="149" w:lineRule="exact"/>
              <w:rPr>
                <w:sz w:val="20"/>
                <w:szCs w:val="20"/>
                <w:color w:val="auto"/>
              </w:rPr>
            </w:pPr>
            <w:r>
              <w:rPr>
                <w:rFonts w:ascii="Arial" w:cs="Arial" w:eastAsia="Arial" w:hAnsi="Arial"/>
                <w:sz w:val="14"/>
                <w:szCs w:val="14"/>
                <w:color w:val="auto"/>
              </w:rPr>
              <w:t>Other Media</w:t>
            </w:r>
          </w:p>
        </w:tc>
      </w:tr>
      <w:tr>
        <w:trPr>
          <w:trHeight w:val="148"/>
        </w:trPr>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60"/>
              <w:spacing w:after="0" w:line="149" w:lineRule="exact"/>
              <w:rPr>
                <w:sz w:val="20"/>
                <w:szCs w:val="20"/>
                <w:color w:val="auto"/>
              </w:rPr>
            </w:pPr>
            <w:r>
              <w:rPr>
                <w:rFonts w:ascii="Arial" w:cs="Arial" w:eastAsia="Arial" w:hAnsi="Arial"/>
                <w:sz w:val="14"/>
                <w:szCs w:val="14"/>
                <w:color w:val="auto"/>
              </w:rPr>
              <w:t>Diversified/Conglomerate Manufacturing</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40"/>
              <w:spacing w:after="0" w:line="149" w:lineRule="exact"/>
              <w:rPr>
                <w:sz w:val="20"/>
                <w:szCs w:val="20"/>
                <w:color w:val="auto"/>
              </w:rPr>
            </w:pPr>
            <w:r>
              <w:rPr>
                <w:rFonts w:ascii="Arial" w:cs="Arial" w:eastAsia="Arial" w:hAnsi="Arial"/>
                <w:sz w:val="14"/>
                <w:szCs w:val="14"/>
                <w:color w:val="auto"/>
              </w:rPr>
              <w:t>Personal, Food and Miscellaneous Services</w:t>
            </w:r>
          </w:p>
        </w:tc>
      </w:tr>
      <w:tr>
        <w:trPr>
          <w:trHeight w:val="149"/>
        </w:trPr>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60"/>
              <w:spacing w:after="0" w:line="149" w:lineRule="exact"/>
              <w:rPr>
                <w:sz w:val="20"/>
                <w:szCs w:val="20"/>
                <w:color w:val="auto"/>
              </w:rPr>
            </w:pPr>
            <w:r>
              <w:rPr>
                <w:rFonts w:ascii="Arial" w:cs="Arial" w:eastAsia="Arial" w:hAnsi="Arial"/>
                <w:sz w:val="14"/>
                <w:szCs w:val="14"/>
                <w:color w:val="auto"/>
              </w:rPr>
              <w:t>Diversified/Conglomerate Services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40"/>
              <w:spacing w:after="0" w:line="149" w:lineRule="exact"/>
              <w:rPr>
                <w:sz w:val="20"/>
                <w:szCs w:val="20"/>
                <w:color w:val="auto"/>
              </w:rPr>
            </w:pPr>
            <w:r>
              <w:rPr>
                <w:rFonts w:ascii="Arial" w:cs="Arial" w:eastAsia="Arial" w:hAnsi="Arial"/>
                <w:sz w:val="14"/>
                <w:szCs w:val="14"/>
                <w:color w:val="auto"/>
              </w:rPr>
              <w:t>Printing and Publishing</w:t>
            </w:r>
          </w:p>
        </w:tc>
      </w:tr>
      <w:tr>
        <w:trPr>
          <w:trHeight w:val="148"/>
        </w:trPr>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60"/>
              <w:spacing w:after="0" w:line="149" w:lineRule="exact"/>
              <w:rPr>
                <w:sz w:val="20"/>
                <w:szCs w:val="20"/>
                <w:color w:val="auto"/>
              </w:rPr>
            </w:pPr>
            <w:r>
              <w:rPr>
                <w:rFonts w:ascii="Arial" w:cs="Arial" w:eastAsia="Arial" w:hAnsi="Arial"/>
                <w:sz w:val="14"/>
                <w:szCs w:val="14"/>
                <w:color w:val="auto"/>
              </w:rPr>
              <w:t>Diversified Natural Resources, Precious Metals and Minerals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40"/>
              <w:spacing w:after="0" w:line="149" w:lineRule="exact"/>
              <w:rPr>
                <w:sz w:val="20"/>
                <w:szCs w:val="20"/>
                <w:color w:val="auto"/>
              </w:rPr>
            </w:pPr>
            <w:r>
              <w:rPr>
                <w:rFonts w:ascii="Arial" w:cs="Arial" w:eastAsia="Arial" w:hAnsi="Arial"/>
                <w:sz w:val="14"/>
                <w:szCs w:val="14"/>
                <w:color w:val="auto"/>
              </w:rPr>
              <w:t>Retail</w:t>
            </w:r>
          </w:p>
        </w:tc>
      </w:tr>
      <w:tr>
        <w:trPr>
          <w:trHeight w:val="160"/>
        </w:trPr>
        <w:tc>
          <w:tcPr>
            <w:tcW w:w="200" w:type="dxa"/>
            <w:vAlign w:val="bottom"/>
          </w:tcPr>
          <w:p>
            <w:pPr>
              <w:spacing w:after="0"/>
              <w:rPr>
                <w:sz w:val="20"/>
                <w:szCs w:val="20"/>
                <w:color w:val="auto"/>
              </w:rPr>
            </w:pPr>
            <w:r>
              <w:rPr>
                <w:rFonts w:ascii="Arial" w:cs="Arial" w:eastAsia="Arial" w:hAnsi="Arial"/>
                <w:sz w:val="14"/>
                <w:szCs w:val="14"/>
                <w:color w:val="auto"/>
              </w:rPr>
              <w:t>•</w:t>
            </w:r>
          </w:p>
        </w:tc>
        <w:tc>
          <w:tcPr>
            <w:tcW w:w="4620" w:type="dxa"/>
            <w:vAlign w:val="bottom"/>
          </w:tcPr>
          <w:p>
            <w:pPr>
              <w:ind w:left="160"/>
              <w:spacing w:after="0"/>
              <w:rPr>
                <w:sz w:val="20"/>
                <w:szCs w:val="20"/>
                <w:color w:val="auto"/>
              </w:rPr>
            </w:pPr>
            <w:r>
              <w:rPr>
                <w:rFonts w:ascii="Arial" w:cs="Arial" w:eastAsia="Arial" w:hAnsi="Arial"/>
                <w:sz w:val="14"/>
                <w:szCs w:val="14"/>
                <w:color w:val="auto"/>
              </w:rPr>
              <w:t>Education</w:t>
            </w:r>
          </w:p>
        </w:tc>
        <w:tc>
          <w:tcPr>
            <w:tcW w:w="1120" w:type="dxa"/>
            <w:vAlign w:val="bottom"/>
          </w:tcPr>
          <w:p>
            <w:pPr>
              <w:ind w:left="940"/>
              <w:spacing w:after="0"/>
              <w:rPr>
                <w:sz w:val="20"/>
                <w:szCs w:val="20"/>
                <w:color w:val="auto"/>
              </w:rPr>
            </w:pPr>
            <w:r>
              <w:rPr>
                <w:rFonts w:ascii="Arial" w:cs="Arial" w:eastAsia="Arial" w:hAnsi="Arial"/>
                <w:sz w:val="14"/>
                <w:szCs w:val="14"/>
                <w:color w:val="auto"/>
              </w:rPr>
              <w:t>•</w:t>
            </w:r>
          </w:p>
        </w:tc>
        <w:tc>
          <w:tcPr>
            <w:tcW w:w="4340" w:type="dxa"/>
            <w:vAlign w:val="bottom"/>
          </w:tcPr>
          <w:p>
            <w:pPr>
              <w:ind w:left="140"/>
              <w:spacing w:after="0"/>
              <w:rPr>
                <w:sz w:val="20"/>
                <w:szCs w:val="20"/>
                <w:color w:val="auto"/>
              </w:rPr>
            </w:pPr>
            <w:r>
              <w:rPr>
                <w:rFonts w:ascii="Arial" w:cs="Arial" w:eastAsia="Arial" w:hAnsi="Arial"/>
                <w:sz w:val="14"/>
                <w:szCs w:val="14"/>
                <w:color w:val="auto"/>
              </w:rPr>
              <w:t>Wholesale</w:t>
            </w:r>
          </w:p>
        </w:tc>
      </w:tr>
    </w:tbl>
    <w:p>
      <w:pPr>
        <w:ind w:left="360" w:hanging="352"/>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Electronics</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Listed below are our top ten portfolio companies and industries represented as a percentage of our consolidated portfolio assets (excluding cash equivalents) as of September 30: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4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2016</w:t>
            </w:r>
          </w:p>
        </w:tc>
        <w:tc>
          <w:tcPr>
            <w:tcW w:w="3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CCEEFF"/>
            </w:tcBorders>
          </w:tcPr>
          <w:p>
            <w:pPr>
              <w:spacing w:after="0"/>
              <w:rPr>
                <w:sz w:val="16"/>
                <w:szCs w:val="16"/>
                <w:color w:val="auto"/>
              </w:rPr>
            </w:pPr>
          </w:p>
        </w:tc>
      </w:tr>
      <w:tr>
        <w:trPr>
          <w:trHeight w:val="142"/>
        </w:trPr>
        <w:tc>
          <w:tcPr>
            <w:tcW w:w="46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Parq Holdings Limited Partnership</w:t>
            </w:r>
          </w:p>
        </w:tc>
        <w:tc>
          <w:tcPr>
            <w:tcW w:w="4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7%</w:t>
            </w:r>
          </w:p>
        </w:tc>
        <w:tc>
          <w:tcPr>
            <w:tcW w:w="200" w:type="dxa"/>
            <w:vAlign w:val="bottom"/>
            <w:shd w:val="clear" w:color="auto" w:fill="CCEEFF"/>
          </w:tcPr>
          <w:p>
            <w:pPr>
              <w:spacing w:after="0"/>
              <w:rPr>
                <w:sz w:val="12"/>
                <w:szCs w:val="12"/>
                <w:color w:val="auto"/>
              </w:rPr>
            </w:pPr>
          </w:p>
        </w:tc>
        <w:tc>
          <w:tcPr>
            <w:tcW w:w="44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Foundation Building Materials, LLC</w:t>
            </w:r>
          </w:p>
        </w:tc>
        <w:tc>
          <w:tcPr>
            <w:tcW w:w="4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7%</w:t>
            </w:r>
          </w:p>
        </w:tc>
      </w:tr>
      <w:tr>
        <w:trPr>
          <w:trHeight w:val="149"/>
        </w:trPr>
        <w:tc>
          <w:tcPr>
            <w:tcW w:w="5080" w:type="dxa"/>
            <w:vAlign w:val="bottom"/>
            <w:gridSpan w:val="2"/>
          </w:tcPr>
          <w:p>
            <w:pPr>
              <w:spacing w:after="0" w:line="149" w:lineRule="exact"/>
              <w:rPr>
                <w:sz w:val="20"/>
                <w:szCs w:val="20"/>
                <w:color w:val="auto"/>
              </w:rPr>
            </w:pPr>
            <w:r>
              <w:rPr>
                <w:rFonts w:ascii="Arial" w:cs="Arial" w:eastAsia="Arial" w:hAnsi="Arial"/>
                <w:sz w:val="14"/>
                <w:szCs w:val="14"/>
                <w:color w:val="auto"/>
              </w:rPr>
              <w:t>RAM Energy LLC</w:t>
            </w:r>
          </w:p>
        </w:tc>
        <w:tc>
          <w:tcPr>
            <w:tcW w:w="6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6</w:t>
            </w:r>
          </w:p>
        </w:tc>
        <w:tc>
          <w:tcPr>
            <w:tcW w:w="50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Parq Holdings Limited Partnership</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w:t>
            </w:r>
          </w:p>
        </w:tc>
      </w:tr>
      <w:tr>
        <w:trPr>
          <w:trHeight w:val="148"/>
        </w:trPr>
        <w:tc>
          <w:tcPr>
            <w:tcW w:w="5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6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5</w:t>
            </w:r>
          </w:p>
        </w:tc>
        <w:tc>
          <w:tcPr>
            <w:tcW w:w="50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RAM Energy LLC</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w:t>
            </w:r>
          </w:p>
        </w:tc>
      </w:tr>
      <w:tr>
        <w:trPr>
          <w:trHeight w:val="148"/>
        </w:trPr>
        <w:tc>
          <w:tcPr>
            <w:tcW w:w="5080" w:type="dxa"/>
            <w:vAlign w:val="bottom"/>
            <w:gridSpan w:val="2"/>
          </w:tcPr>
          <w:p>
            <w:pPr>
              <w:spacing w:after="0" w:line="149" w:lineRule="exact"/>
              <w:rPr>
                <w:sz w:val="20"/>
                <w:szCs w:val="20"/>
                <w:color w:val="auto"/>
              </w:rPr>
            </w:pPr>
            <w:r>
              <w:rPr>
                <w:rFonts w:ascii="Arial" w:cs="Arial" w:eastAsia="Arial" w:hAnsi="Arial"/>
                <w:sz w:val="14"/>
                <w:szCs w:val="14"/>
                <w:color w:val="auto"/>
              </w:rPr>
              <w:t>Pre-Paid Legal Services, Inc.</w:t>
            </w:r>
          </w:p>
        </w:tc>
        <w:tc>
          <w:tcPr>
            <w:tcW w:w="6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5</w:t>
            </w:r>
          </w:p>
        </w:tc>
        <w:tc>
          <w:tcPr>
            <w:tcW w:w="50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Pre-Paid Legal Services, Inc.</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r>
      <w:tr>
        <w:trPr>
          <w:trHeight w:val="149"/>
        </w:trPr>
        <w:tc>
          <w:tcPr>
            <w:tcW w:w="5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Jacobs Entertainment, Inc.</w:t>
            </w:r>
          </w:p>
        </w:tc>
        <w:tc>
          <w:tcPr>
            <w:tcW w:w="6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4</w:t>
            </w:r>
          </w:p>
        </w:tc>
        <w:tc>
          <w:tcPr>
            <w:tcW w:w="50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Affinion Group Holdings, Inc.</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w:t>
            </w:r>
          </w:p>
        </w:tc>
      </w:tr>
      <w:tr>
        <w:trPr>
          <w:trHeight w:val="148"/>
        </w:trPr>
        <w:tc>
          <w:tcPr>
            <w:tcW w:w="5080" w:type="dxa"/>
            <w:vAlign w:val="bottom"/>
            <w:gridSpan w:val="2"/>
          </w:tcPr>
          <w:p>
            <w:pPr>
              <w:spacing w:after="0" w:line="149" w:lineRule="exact"/>
              <w:rPr>
                <w:sz w:val="20"/>
                <w:szCs w:val="20"/>
                <w:color w:val="auto"/>
              </w:rPr>
            </w:pPr>
            <w:r>
              <w:rPr>
                <w:rFonts w:ascii="Arial" w:cs="Arial" w:eastAsia="Arial" w:hAnsi="Arial"/>
                <w:sz w:val="14"/>
                <w:szCs w:val="14"/>
                <w:color w:val="auto"/>
              </w:rPr>
              <w:t>Novitex Acquisition, LLC</w:t>
            </w:r>
          </w:p>
        </w:tc>
        <w:tc>
          <w:tcPr>
            <w:tcW w:w="6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4</w:t>
            </w:r>
          </w:p>
        </w:tc>
        <w:tc>
          <w:tcPr>
            <w:tcW w:w="50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AKA Diversified Holdings, Inc.</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r>
      <w:tr>
        <w:trPr>
          <w:trHeight w:val="149"/>
        </w:trPr>
        <w:tc>
          <w:tcPr>
            <w:tcW w:w="5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Cascade Environmental LLC</w:t>
            </w:r>
          </w:p>
        </w:tc>
        <w:tc>
          <w:tcPr>
            <w:tcW w:w="6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3</w:t>
            </w:r>
          </w:p>
        </w:tc>
        <w:tc>
          <w:tcPr>
            <w:tcW w:w="50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Jacobs Entertainment, Inc.</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w:t>
            </w:r>
          </w:p>
        </w:tc>
      </w:tr>
      <w:tr>
        <w:trPr>
          <w:trHeight w:val="148"/>
        </w:trPr>
        <w:tc>
          <w:tcPr>
            <w:tcW w:w="5080" w:type="dxa"/>
            <w:vAlign w:val="bottom"/>
            <w:gridSpan w:val="2"/>
          </w:tcPr>
          <w:p>
            <w:pPr>
              <w:spacing w:after="0" w:line="149" w:lineRule="exact"/>
              <w:rPr>
                <w:sz w:val="20"/>
                <w:szCs w:val="20"/>
                <w:color w:val="auto"/>
              </w:rPr>
            </w:pPr>
            <w:r>
              <w:rPr>
                <w:rFonts w:ascii="Arial" w:cs="Arial" w:eastAsia="Arial" w:hAnsi="Arial"/>
                <w:sz w:val="14"/>
                <w:szCs w:val="14"/>
                <w:color w:val="auto"/>
              </w:rPr>
              <w:t>ETX Energy, LLC (f/k/a New Gulf Resources, LLC)</w:t>
            </w:r>
          </w:p>
        </w:tc>
        <w:tc>
          <w:tcPr>
            <w:tcW w:w="6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3</w:t>
            </w:r>
          </w:p>
        </w:tc>
        <w:tc>
          <w:tcPr>
            <w:tcW w:w="50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Language Line, LLC</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w:t>
            </w:r>
          </w:p>
        </w:tc>
      </w:tr>
      <w:tr>
        <w:trPr>
          <w:trHeight w:val="148"/>
        </w:trPr>
        <w:tc>
          <w:tcPr>
            <w:tcW w:w="5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Howard Berger Co. LLC</w:t>
            </w:r>
          </w:p>
        </w:tc>
        <w:tc>
          <w:tcPr>
            <w:tcW w:w="6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3</w:t>
            </w:r>
          </w:p>
        </w:tc>
        <w:tc>
          <w:tcPr>
            <w:tcW w:w="50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Novitex Acquisition, LLC</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r>
      <w:tr>
        <w:trPr>
          <w:trHeight w:val="182"/>
        </w:trPr>
        <w:tc>
          <w:tcPr>
            <w:tcW w:w="5080" w:type="dxa"/>
            <w:vAlign w:val="bottom"/>
            <w:gridSpan w:val="2"/>
          </w:tcPr>
          <w:p>
            <w:pPr>
              <w:spacing w:after="0"/>
              <w:rPr>
                <w:sz w:val="20"/>
                <w:szCs w:val="20"/>
                <w:color w:val="auto"/>
              </w:rPr>
            </w:pPr>
            <w:r>
              <w:rPr>
                <w:rFonts w:ascii="Arial" w:cs="Arial" w:eastAsia="Arial" w:hAnsi="Arial"/>
                <w:sz w:val="14"/>
                <w:szCs w:val="14"/>
                <w:color w:val="auto"/>
              </w:rPr>
              <w:t>LSF9 Atlantis Holdings, LLC</w:t>
            </w:r>
          </w:p>
        </w:tc>
        <w:tc>
          <w:tcPr>
            <w:tcW w:w="620" w:type="dxa"/>
            <w:vAlign w:val="bottom"/>
            <w:gridSpan w:val="2"/>
          </w:tcPr>
          <w:p>
            <w:pPr>
              <w:ind w:left="220"/>
              <w:spacing w:after="0"/>
              <w:rPr>
                <w:sz w:val="20"/>
                <w:szCs w:val="20"/>
                <w:color w:val="auto"/>
              </w:rPr>
            </w:pPr>
            <w:r>
              <w:rPr>
                <w:rFonts w:ascii="Arial" w:cs="Arial" w:eastAsia="Arial" w:hAnsi="Arial"/>
                <w:sz w:val="14"/>
                <w:szCs w:val="14"/>
                <w:color w:val="auto"/>
              </w:rPr>
              <w:t>3</w:t>
            </w:r>
          </w:p>
        </w:tc>
        <w:tc>
          <w:tcPr>
            <w:tcW w:w="5080" w:type="dxa"/>
            <w:vAlign w:val="bottom"/>
            <w:gridSpan w:val="3"/>
          </w:tcPr>
          <w:p>
            <w:pPr>
              <w:ind w:left="200"/>
              <w:spacing w:after="0"/>
              <w:rPr>
                <w:sz w:val="20"/>
                <w:szCs w:val="20"/>
                <w:color w:val="auto"/>
              </w:rPr>
            </w:pPr>
            <w:r>
              <w:rPr>
                <w:rFonts w:ascii="Arial" w:cs="Arial" w:eastAsia="Arial" w:hAnsi="Arial"/>
                <w:sz w:val="14"/>
                <w:szCs w:val="14"/>
                <w:color w:val="auto"/>
              </w:rPr>
              <w:t>Randall-Reilly, LLC</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3</w:t>
            </w:r>
          </w:p>
        </w:tc>
      </w:tr>
    </w:tbl>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Industry</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2016</w:t>
            </w:r>
          </w:p>
        </w:tc>
        <w:tc>
          <w:tcPr>
            <w:tcW w:w="340" w:type="dxa"/>
            <w:vAlign w:val="bottom"/>
          </w:tcPr>
          <w:p>
            <w:pPr>
              <w:spacing w:after="0"/>
              <w:rPr>
                <w:sz w:val="16"/>
                <w:szCs w:val="16"/>
                <w:color w:val="auto"/>
              </w:rPr>
            </w:pPr>
          </w:p>
        </w:tc>
        <w:tc>
          <w:tcPr>
            <w:tcW w:w="5080" w:type="dxa"/>
            <w:vAlign w:val="bottom"/>
            <w:gridSpan w:val="3"/>
          </w:tcPr>
          <w:p>
            <w:pPr>
              <w:ind w:left="200"/>
              <w:spacing w:after="0"/>
              <w:rPr>
                <w:sz w:val="20"/>
                <w:szCs w:val="20"/>
                <w:color w:val="auto"/>
              </w:rPr>
            </w:pPr>
            <w:r>
              <w:rPr>
                <w:rFonts w:ascii="Arial" w:cs="Arial" w:eastAsia="Arial" w:hAnsi="Arial"/>
                <w:sz w:val="14"/>
                <w:szCs w:val="14"/>
                <w:b w:val="1"/>
                <w:bCs w:val="1"/>
                <w:color w:val="auto"/>
              </w:rPr>
              <w:t>Industry</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6"/>
                <w:szCs w:val="16"/>
                <w:color w:val="auto"/>
              </w:rPr>
            </w:pPr>
          </w:p>
        </w:tc>
      </w:tr>
      <w:tr>
        <w:trPr>
          <w:trHeight w:val="142"/>
        </w:trPr>
        <w:tc>
          <w:tcPr>
            <w:tcW w:w="46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Hotels, Motels, Inns and Gaming</w:t>
            </w:r>
          </w:p>
        </w:tc>
        <w:tc>
          <w:tcPr>
            <w:tcW w:w="4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w:t>
            </w:r>
          </w:p>
        </w:tc>
        <w:tc>
          <w:tcPr>
            <w:tcW w:w="340" w:type="dxa"/>
            <w:vAlign w:val="bottom"/>
            <w:tcBorders>
              <w:top w:val="single" w:sz="8" w:color="CCEEF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w w:val="79"/>
              </w:rPr>
              <w:t>%</w:t>
            </w:r>
          </w:p>
        </w:tc>
        <w:tc>
          <w:tcPr>
            <w:tcW w:w="200" w:type="dxa"/>
            <w:vAlign w:val="bottom"/>
            <w:tcBorders>
              <w:top w:val="single" w:sz="8" w:color="CCEEFF"/>
            </w:tcBorders>
            <w:shd w:val="clear" w:color="auto" w:fill="CCEEFF"/>
          </w:tcPr>
          <w:p>
            <w:pPr>
              <w:spacing w:after="0"/>
              <w:rPr>
                <w:sz w:val="12"/>
                <w:szCs w:val="12"/>
                <w:color w:val="auto"/>
              </w:rPr>
            </w:pPr>
          </w:p>
        </w:tc>
        <w:tc>
          <w:tcPr>
            <w:tcW w:w="4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Hotels, Motels, Inns and Gaming</w:t>
            </w:r>
          </w:p>
        </w:tc>
        <w:tc>
          <w:tcPr>
            <w:tcW w:w="4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r>
      <w:tr>
        <w:trPr>
          <w:trHeight w:val="149"/>
        </w:trPr>
        <w:tc>
          <w:tcPr>
            <w:tcW w:w="5080" w:type="dxa"/>
            <w:vAlign w:val="bottom"/>
            <w:gridSpan w:val="2"/>
          </w:tcPr>
          <w:p>
            <w:pPr>
              <w:spacing w:after="0" w:line="149" w:lineRule="exact"/>
              <w:rPr>
                <w:sz w:val="20"/>
                <w:szCs w:val="20"/>
                <w:color w:val="auto"/>
              </w:rPr>
            </w:pPr>
            <w:r>
              <w:rPr>
                <w:rFonts w:ascii="Arial" w:cs="Arial" w:eastAsia="Arial" w:hAnsi="Arial"/>
                <w:sz w:val="14"/>
                <w:szCs w:val="14"/>
                <w:color w:val="auto"/>
              </w:rPr>
              <w:t>Consumer Products</w:t>
            </w:r>
          </w:p>
        </w:tc>
        <w:tc>
          <w:tcPr>
            <w:tcW w:w="62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9</w:t>
            </w:r>
          </w:p>
        </w:tc>
        <w:tc>
          <w:tcPr>
            <w:tcW w:w="50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Personal, Food and Miscellaneous Services</w:t>
            </w:r>
          </w:p>
        </w:tc>
        <w:tc>
          <w:tcPr>
            <w:tcW w:w="4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11</w:t>
            </w:r>
          </w:p>
        </w:tc>
      </w:tr>
      <w:tr>
        <w:trPr>
          <w:trHeight w:val="148"/>
        </w:trPr>
        <w:tc>
          <w:tcPr>
            <w:tcW w:w="5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Personal, Food and Miscellaneous Services</w:t>
            </w:r>
          </w:p>
        </w:tc>
        <w:tc>
          <w:tcPr>
            <w:tcW w:w="62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8</w:t>
            </w:r>
          </w:p>
        </w:tc>
        <w:tc>
          <w:tcPr>
            <w:tcW w:w="50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Building Materials</w:t>
            </w:r>
          </w:p>
        </w:tc>
        <w:tc>
          <w:tcPr>
            <w:tcW w:w="4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9</w:t>
            </w:r>
          </w:p>
        </w:tc>
      </w:tr>
      <w:tr>
        <w:trPr>
          <w:trHeight w:val="149"/>
        </w:trPr>
        <w:tc>
          <w:tcPr>
            <w:tcW w:w="5080" w:type="dxa"/>
            <w:vAlign w:val="bottom"/>
            <w:gridSpan w:val="2"/>
          </w:tcPr>
          <w:p>
            <w:pPr>
              <w:spacing w:after="0" w:line="149" w:lineRule="exact"/>
              <w:rPr>
                <w:sz w:val="20"/>
                <w:szCs w:val="20"/>
                <w:color w:val="auto"/>
              </w:rPr>
            </w:pPr>
            <w:r>
              <w:rPr>
                <w:rFonts w:ascii="Arial" w:cs="Arial" w:eastAsia="Arial" w:hAnsi="Arial"/>
                <w:sz w:val="14"/>
                <w:szCs w:val="14"/>
                <w:color w:val="auto"/>
              </w:rPr>
              <w:t>Business Services</w:t>
            </w:r>
          </w:p>
        </w:tc>
        <w:tc>
          <w:tcPr>
            <w:tcW w:w="62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7</w:t>
            </w:r>
          </w:p>
        </w:tc>
        <w:tc>
          <w:tcPr>
            <w:tcW w:w="50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Consumer Products</w:t>
            </w:r>
          </w:p>
        </w:tc>
        <w:tc>
          <w:tcPr>
            <w:tcW w:w="4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8</w:t>
            </w:r>
          </w:p>
        </w:tc>
      </w:tr>
      <w:tr>
        <w:trPr>
          <w:trHeight w:val="148"/>
        </w:trPr>
        <w:tc>
          <w:tcPr>
            <w:tcW w:w="5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Distribution</w:t>
            </w:r>
          </w:p>
        </w:tc>
        <w:tc>
          <w:tcPr>
            <w:tcW w:w="62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6</w:t>
            </w:r>
          </w:p>
        </w:tc>
        <w:tc>
          <w:tcPr>
            <w:tcW w:w="50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Business Services</w:t>
            </w:r>
          </w:p>
        </w:tc>
        <w:tc>
          <w:tcPr>
            <w:tcW w:w="4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w:t>
            </w:r>
          </w:p>
        </w:tc>
      </w:tr>
      <w:tr>
        <w:trPr>
          <w:trHeight w:val="148"/>
        </w:trPr>
        <w:tc>
          <w:tcPr>
            <w:tcW w:w="5080" w:type="dxa"/>
            <w:vAlign w:val="bottom"/>
            <w:gridSpan w:val="2"/>
          </w:tcPr>
          <w:p>
            <w:pPr>
              <w:spacing w:after="0" w:line="149" w:lineRule="exact"/>
              <w:rPr>
                <w:sz w:val="20"/>
                <w:szCs w:val="20"/>
                <w:color w:val="auto"/>
              </w:rPr>
            </w:pPr>
            <w:r>
              <w:rPr>
                <w:rFonts w:ascii="Arial" w:cs="Arial" w:eastAsia="Arial" w:hAnsi="Arial"/>
                <w:sz w:val="14"/>
                <w:szCs w:val="14"/>
                <w:color w:val="auto"/>
              </w:rPr>
              <w:t>Energy/Utilities</w:t>
            </w:r>
          </w:p>
        </w:tc>
        <w:tc>
          <w:tcPr>
            <w:tcW w:w="62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6</w:t>
            </w:r>
          </w:p>
        </w:tc>
        <w:tc>
          <w:tcPr>
            <w:tcW w:w="50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Energy/Utilities</w:t>
            </w:r>
          </w:p>
        </w:tc>
        <w:tc>
          <w:tcPr>
            <w:tcW w:w="4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6</w:t>
            </w:r>
          </w:p>
        </w:tc>
      </w:tr>
      <w:tr>
        <w:trPr>
          <w:trHeight w:val="149"/>
        </w:trPr>
        <w:tc>
          <w:tcPr>
            <w:tcW w:w="5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Aerospace and Defense</w:t>
            </w:r>
          </w:p>
        </w:tc>
        <w:tc>
          <w:tcPr>
            <w:tcW w:w="62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5</w:t>
            </w:r>
          </w:p>
        </w:tc>
        <w:tc>
          <w:tcPr>
            <w:tcW w:w="50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Oil and Gas</w:t>
            </w:r>
          </w:p>
        </w:tc>
        <w:tc>
          <w:tcPr>
            <w:tcW w:w="4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w:t>
            </w:r>
          </w:p>
        </w:tc>
      </w:tr>
      <w:tr>
        <w:trPr>
          <w:trHeight w:val="148"/>
        </w:trPr>
        <w:tc>
          <w:tcPr>
            <w:tcW w:w="5080" w:type="dxa"/>
            <w:vAlign w:val="bottom"/>
            <w:gridSpan w:val="2"/>
          </w:tcPr>
          <w:p>
            <w:pPr>
              <w:spacing w:after="0" w:line="149" w:lineRule="exact"/>
              <w:rPr>
                <w:sz w:val="20"/>
                <w:szCs w:val="20"/>
                <w:color w:val="auto"/>
              </w:rPr>
            </w:pPr>
            <w:r>
              <w:rPr>
                <w:rFonts w:ascii="Arial" w:cs="Arial" w:eastAsia="Arial" w:hAnsi="Arial"/>
                <w:sz w:val="14"/>
                <w:szCs w:val="14"/>
                <w:color w:val="auto"/>
              </w:rPr>
              <w:t>Environmental Services</w:t>
            </w:r>
          </w:p>
        </w:tc>
        <w:tc>
          <w:tcPr>
            <w:tcW w:w="62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5</w:t>
            </w:r>
          </w:p>
        </w:tc>
        <w:tc>
          <w:tcPr>
            <w:tcW w:w="50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Distribution</w:t>
            </w:r>
          </w:p>
        </w:tc>
        <w:tc>
          <w:tcPr>
            <w:tcW w:w="4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4</w:t>
            </w:r>
          </w:p>
        </w:tc>
      </w:tr>
      <w:tr>
        <w:trPr>
          <w:trHeight w:val="148"/>
        </w:trPr>
        <w:tc>
          <w:tcPr>
            <w:tcW w:w="5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Media</w:t>
            </w:r>
          </w:p>
        </w:tc>
        <w:tc>
          <w:tcPr>
            <w:tcW w:w="62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5</w:t>
            </w:r>
          </w:p>
        </w:tc>
        <w:tc>
          <w:tcPr>
            <w:tcW w:w="50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Environmental Services</w:t>
            </w:r>
          </w:p>
        </w:tc>
        <w:tc>
          <w:tcPr>
            <w:tcW w:w="4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w:t>
            </w:r>
          </w:p>
        </w:tc>
      </w:tr>
      <w:tr>
        <w:trPr>
          <w:trHeight w:val="182"/>
        </w:trPr>
        <w:tc>
          <w:tcPr>
            <w:tcW w:w="5080" w:type="dxa"/>
            <w:vAlign w:val="bottom"/>
            <w:gridSpan w:val="2"/>
          </w:tcPr>
          <w:p>
            <w:pPr>
              <w:spacing w:after="0"/>
              <w:rPr>
                <w:sz w:val="20"/>
                <w:szCs w:val="20"/>
                <w:color w:val="auto"/>
              </w:rPr>
            </w:pPr>
            <w:r>
              <w:rPr>
                <w:rFonts w:ascii="Arial" w:cs="Arial" w:eastAsia="Arial" w:hAnsi="Arial"/>
                <w:sz w:val="14"/>
                <w:szCs w:val="14"/>
                <w:color w:val="auto"/>
              </w:rPr>
              <w:t>Oil and Gas</w:t>
            </w:r>
          </w:p>
        </w:tc>
        <w:tc>
          <w:tcPr>
            <w:tcW w:w="620" w:type="dxa"/>
            <w:vAlign w:val="bottom"/>
            <w:gridSpan w:val="2"/>
          </w:tcPr>
          <w:p>
            <w:pPr>
              <w:jc w:val="right"/>
              <w:ind w:right="268"/>
              <w:spacing w:after="0"/>
              <w:rPr>
                <w:sz w:val="20"/>
                <w:szCs w:val="20"/>
                <w:color w:val="auto"/>
              </w:rPr>
            </w:pPr>
            <w:r>
              <w:rPr>
                <w:rFonts w:ascii="Arial" w:cs="Arial" w:eastAsia="Arial" w:hAnsi="Arial"/>
                <w:sz w:val="14"/>
                <w:szCs w:val="14"/>
                <w:color w:val="auto"/>
              </w:rPr>
              <w:t>5</w:t>
            </w:r>
          </w:p>
        </w:tc>
        <w:tc>
          <w:tcPr>
            <w:tcW w:w="5080" w:type="dxa"/>
            <w:vAlign w:val="bottom"/>
            <w:gridSpan w:val="3"/>
          </w:tcPr>
          <w:p>
            <w:pPr>
              <w:ind w:left="200"/>
              <w:spacing w:after="0"/>
              <w:rPr>
                <w:sz w:val="20"/>
                <w:szCs w:val="20"/>
                <w:color w:val="auto"/>
              </w:rPr>
            </w:pPr>
            <w:r>
              <w:rPr>
                <w:rFonts w:ascii="Arial" w:cs="Arial" w:eastAsia="Arial" w:hAnsi="Arial"/>
                <w:sz w:val="14"/>
                <w:szCs w:val="14"/>
                <w:color w:val="auto"/>
              </w:rPr>
              <w:t>Retail</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4</w:t>
            </w:r>
          </w:p>
        </w:tc>
      </w:tr>
    </w:tbl>
    <w:p>
      <w:pPr>
        <w:spacing w:after="0" w:line="56" w:lineRule="exact"/>
        <w:rPr>
          <w:sz w:val="20"/>
          <w:szCs w:val="20"/>
          <w:color w:val="auto"/>
        </w:rPr>
      </w:pPr>
    </w:p>
    <w:p>
      <w:pPr>
        <w:ind w:right="40" w:firstLine="562"/>
        <w:spacing w:after="0" w:line="226" w:lineRule="auto"/>
        <w:rPr>
          <w:sz w:val="20"/>
          <w:szCs w:val="20"/>
          <w:color w:val="auto"/>
        </w:rPr>
      </w:pPr>
      <w:r>
        <w:rPr>
          <w:rFonts w:ascii="Arial" w:cs="Arial" w:eastAsia="Arial" w:hAnsi="Arial"/>
          <w:sz w:val="14"/>
          <w:szCs w:val="14"/>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Floating Rate Capital Ltd.,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77" w:lineRule="exact"/>
        <w:rPr>
          <w:sz w:val="20"/>
          <w:szCs w:val="20"/>
          <w:color w:val="auto"/>
        </w:rPr>
      </w:pPr>
    </w:p>
    <w:p>
      <w:pPr>
        <w:ind w:right="180" w:firstLine="562"/>
        <w:spacing w:after="0" w:line="238"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Management Agreement</w:t>
      </w:r>
    </w:p>
    <w:p>
      <w:pPr>
        <w:spacing w:after="0" w:line="96" w:lineRule="exact"/>
        <w:rPr>
          <w:sz w:val="20"/>
          <w:szCs w:val="20"/>
          <w:color w:val="auto"/>
        </w:rPr>
      </w:pPr>
    </w:p>
    <w:p>
      <w:pPr>
        <w:ind w:right="40" w:firstLine="562"/>
        <w:spacing w:after="0" w:line="251" w:lineRule="auto"/>
        <w:rPr>
          <w:sz w:val="20"/>
          <w:szCs w:val="20"/>
          <w:color w:val="auto"/>
        </w:rPr>
      </w:pPr>
      <w:r>
        <w:rPr>
          <w:rFonts w:ascii="Arial" w:cs="Arial" w:eastAsia="Arial" w:hAnsi="Arial"/>
          <w:sz w:val="13"/>
          <w:szCs w:val="13"/>
          <w:color w:val="auto"/>
        </w:rPr>
        <w:t>We have entered into an agreement with the Investment Adviser, or the Investment Management Agreement, under which the Investment Adviser, subject to the overall supervision of our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Investment, through the Investment Adviser, provides similar services to our SBIC Funds under their respective investment management agreements. Such investment management agreements do not affect the management or incentive fees that we pay to the Investment Adviser on a consolidated basis. Under the terms of our Investment Management Agreement, the Investment Adviser:</w:t>
      </w:r>
    </w:p>
    <w:p>
      <w:pPr>
        <w:spacing w:after="0" w:line="82" w:lineRule="exact"/>
        <w:rPr>
          <w:sz w:val="20"/>
          <w:szCs w:val="20"/>
          <w:color w:val="auto"/>
        </w:rPr>
      </w:pPr>
    </w:p>
    <w:p>
      <w:pPr>
        <w:ind w:left="1000" w:hanging="331"/>
        <w:spacing w:after="0"/>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closes and monitors the investments we make; and</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provides us with such other investment advisory, research and related services as we may need from time to time.</w:t>
      </w:r>
    </w:p>
    <w:p>
      <w:pPr>
        <w:spacing w:after="0" w:line="96" w:lineRule="exact"/>
        <w:rPr>
          <w:sz w:val="20"/>
          <w:szCs w:val="20"/>
          <w:color w:val="auto"/>
        </w:rPr>
      </w:pPr>
    </w:p>
    <w:p>
      <w:pPr>
        <w:ind w:right="160" w:firstLine="562"/>
        <w:spacing w:after="0" w:line="233" w:lineRule="auto"/>
        <w:rPr>
          <w:sz w:val="20"/>
          <w:szCs w:val="20"/>
          <w:color w:val="auto"/>
        </w:rPr>
      </w:pPr>
      <w:r>
        <w:rPr>
          <w:rFonts w:ascii="Arial" w:cs="Arial" w:eastAsia="Arial" w:hAnsi="Arial"/>
          <w:sz w:val="14"/>
          <w:szCs w:val="14"/>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PennantPark Investment, consisting of two components—a base management fee and an incentive fee or, collectively, Management Fees.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Advisory Fees</w:t>
      </w:r>
    </w:p>
    <w:p>
      <w:pPr>
        <w:spacing w:after="0" w:line="96" w:lineRule="exact"/>
        <w:rPr>
          <w:sz w:val="20"/>
          <w:szCs w:val="20"/>
          <w:color w:val="auto"/>
        </w:rPr>
      </w:pPr>
    </w:p>
    <w:p>
      <w:pPr>
        <w:ind w:right="60" w:firstLine="562"/>
        <w:spacing w:after="0" w:line="244" w:lineRule="auto"/>
        <w:rPr>
          <w:sz w:val="20"/>
          <w:szCs w:val="20"/>
          <w:color w:val="auto"/>
        </w:rPr>
      </w:pPr>
      <w:r>
        <w:rPr>
          <w:rFonts w:ascii="Arial" w:cs="Arial" w:eastAsia="Arial" w:hAnsi="Arial"/>
          <w:sz w:val="13"/>
          <w:szCs w:val="13"/>
          <w:color w:val="auto"/>
        </w:rPr>
        <w:t>The base management fee is calculated at an annual rate of 2.00%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year ended September 30, 2016 and through December 31, 2017, the Investment Adviser has voluntarily agreed, in consultation with the board of directors, to waive 16% of base management fees, correlated to our 16% energy exposure (oil &amp; gas and energy &amp; utilities industries) at cost as of December 31, 2015. For the years ended September 30, 2016, 2015 and 2014, the Investment Adviser earned base management fees of $20.9 million (after a waiver of $4.0 million), $26.7 million and $24.3 million, respectively, from us.</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is a hypothetical example of the calculation of average adjusted gross assets:</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Gross assets as of December 31, 20XX = $160 million</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U.S. Treasury bills and temporary draws on credit facilities as of December 31, 20XX = $10 million</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Adjusted gross assets as of December 31, 20XX = $150 million</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Gross assets as of March 31, 20XX = $200 million</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U.S. Treasury bills and temporary draws on credit facilities as of March 31, 20XX = $20 million</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Adjusted gross assets as of March 31, 20XX = $180 million</w:t>
      </w:r>
    </w:p>
    <w:p>
      <w:pPr>
        <w:spacing w:after="0" w:line="96"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Average value of adjusted gross assets as of March 31, 20XX and December 31, 20XX, which are the two most recently completed calendar quarters, and appropriately adjusted for any share issuances or repurchases during the current calendar quarter equals ($150 million + $180 million) / 2 = $165 million.</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incentive fee has two parts, as follows:</w:t>
      </w:r>
    </w:p>
    <w:p>
      <w:pPr>
        <w:spacing w:after="0" w:line="96" w:lineRule="exact"/>
        <w:rPr>
          <w:sz w:val="20"/>
          <w:szCs w:val="20"/>
          <w:color w:val="auto"/>
        </w:rPr>
      </w:pPr>
    </w:p>
    <w:p>
      <w:pPr>
        <w:ind w:firstLine="562"/>
        <w:spacing w:after="0" w:line="241"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(as defined below), and any interest expense and distribution paid on any issued and outstanding preferred stock, but excluding the incentive fee). Pre-Incentive Fee Net Investment Income includes, in the case of investments with a deferred interest feature (such as original issue discount, or OID,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which is meant to provide our Investment Adviser with 20% of our Pre-Incentive Fee Net Investment Income, as if a hurdle did not apply, if this net investment income exceeds 2.1875% in any calendar quarter), and (3) 20% of the amount of our Pre-Incentive Fee Net Investment Income, if any, that exceeds 2.1875% in any calendar quarter, once the hurdle is reached and the catch-up is achieved, 20% of all Pre-Incentive Net Fee Investment Income thereafter is allocated to our Investment Adviser. These calculations are prorated for any share issuances or repurchases during the relevant quarter, if applicable. For the year ended September 30, 2016 and through December 31, 2017, the Investment Adviser has voluntarily agreed, in consultation with the board of directors, to waive 16% of incentive fees, correlated to our 16% energy exposure (oil &amp; gas and energy &amp; utilities industries) at cost as of December 31, 2015. For the years ended September 30, 2016, 2015 and 2014, the Investment Adviser earned $13.5 million (after a waiver of $2.5 million), $20.6 million and $17.8 million, respectively, in incentive fees on net investment income from 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is a graphical representation of the calculation of quarterly incentive fee based on Pre-Incentive Fee Net Investment Income: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73660</wp:posOffset>
            </wp:positionV>
            <wp:extent cx="2871470" cy="4718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7147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84" w:lineRule="exact"/>
        <w:rPr>
          <w:sz w:val="20"/>
          <w:szCs w:val="20"/>
          <w:color w:val="auto"/>
        </w:rPr>
      </w:pPr>
    </w:p>
    <w:p>
      <w:pPr>
        <w:jc w:val="both"/>
        <w:ind w:right="140" w:firstLine="562"/>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2016, 2015 and 2014, the Investment Adviser did not earn an incentive fee on capital gains, as calculated under the Investment Management Agreement (as described above).</w:t>
      </w:r>
    </w:p>
    <w:p>
      <w:pPr>
        <w:spacing w:after="0" w:line="67"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or accrued in all prior years. If such amount is negative, then there is no accrual for such year. There can be no assurance that such unrealized capital appreciation will be realized in the future. For the years ended September 30, 2016, 2015 and 2014, our unrealized and realized capital gains did not exceed our cumulative realized and unrealized losses and therefore resulted in no accrual for capital gains incentive fees under GAAP.</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Examples of Quarterly Incentive Fee Calculation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Income Related Portion of Incentive Fee (*):</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Assumptions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Investment income (including interest, dividends, fees, etc.) = 1.25%</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Hurdle</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Base management fee</w:t>
      </w:r>
      <w:r>
        <w:rPr>
          <w:rFonts w:ascii="Arial" w:cs="Arial" w:eastAsia="Arial" w:hAnsi="Arial"/>
          <w:sz w:val="12"/>
          <w:szCs w:val="12"/>
          <w:color w:val="auto"/>
        </w:rPr>
        <w:t>(2)</w:t>
      </w:r>
      <w:r>
        <w:rPr>
          <w:rFonts w:ascii="Arial" w:cs="Arial" w:eastAsia="Arial" w:hAnsi="Arial"/>
          <w:sz w:val="14"/>
          <w:szCs w:val="14"/>
          <w:color w:val="auto"/>
        </w:rPr>
        <w:t xml:space="preserve"> = 0.50%</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Pre-Incentive Fee Net Investment Income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(investment income—(base management fee + other expenses)) = 0.55%</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Pre-Incentive Fee Net Investment Income does not exceed the hurdle; therefore, there is no incentive fee.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Assumptions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Investment income (including interest, dividends, fees, etc.) = 2.70%</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Hurdle</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Base management fee</w:t>
      </w:r>
      <w:r>
        <w:rPr>
          <w:rFonts w:ascii="Arial" w:cs="Arial" w:eastAsia="Arial" w:hAnsi="Arial"/>
          <w:sz w:val="12"/>
          <w:szCs w:val="12"/>
          <w:color w:val="auto"/>
        </w:rPr>
        <w:t>(2)</w:t>
      </w:r>
      <w:r>
        <w:rPr>
          <w:rFonts w:ascii="Arial" w:cs="Arial" w:eastAsia="Arial" w:hAnsi="Arial"/>
          <w:sz w:val="14"/>
          <w:szCs w:val="14"/>
          <w:color w:val="auto"/>
        </w:rPr>
        <w:t xml:space="preserve"> = 0.50%</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Pre-Incentive Fee Net Investment Income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(investment income—(base management fee + other expenses)) = 2.00%</w:t>
      </w:r>
    </w:p>
    <w:p>
      <w:pPr>
        <w:spacing w:after="0" w:line="109" w:lineRule="exact"/>
        <w:rPr>
          <w:sz w:val="20"/>
          <w:szCs w:val="20"/>
          <w:color w:val="auto"/>
        </w:rPr>
      </w:pPr>
    </w:p>
    <w:p>
      <w:pPr>
        <w:ind w:left="920"/>
        <w:spacing w:after="0"/>
        <w:tabs>
          <w:tab w:leader="none" w:pos="2020" w:val="left"/>
        </w:tabs>
        <w:rPr>
          <w:sz w:val="20"/>
          <w:szCs w:val="20"/>
          <w:color w:val="auto"/>
        </w:rPr>
      </w:pPr>
      <w:r>
        <w:rPr>
          <w:rFonts w:ascii="Arial" w:cs="Arial" w:eastAsia="Arial" w:hAnsi="Arial"/>
          <w:sz w:val="14"/>
          <w:szCs w:val="14"/>
          <w:color w:val="auto"/>
        </w:rPr>
        <w:t>Incentive fee</w:t>
      </w:r>
      <w:r>
        <w:rPr>
          <w:sz w:val="20"/>
          <w:szCs w:val="20"/>
          <w:color w:val="auto"/>
        </w:rPr>
        <w:tab/>
      </w:r>
      <w:r>
        <w:rPr>
          <w:rFonts w:ascii="Arial" w:cs="Arial" w:eastAsia="Arial" w:hAnsi="Arial"/>
          <w:sz w:val="13"/>
          <w:szCs w:val="13"/>
          <w:color w:val="auto"/>
        </w:rPr>
        <w:t>= 20% × Pre-Incentive Fee Net Investment Income, subject to “catch-up”</w:t>
      </w:r>
    </w:p>
    <w:p>
      <w:pPr>
        <w:ind w:left="2160" w:hanging="114"/>
        <w:spacing w:after="0" w:line="221" w:lineRule="auto"/>
        <w:tabs>
          <w:tab w:leader="none" w:pos="21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2.00% - 1.75%</w:t>
      </w:r>
    </w:p>
    <w:p>
      <w:pPr>
        <w:ind w:left="2160" w:hanging="114"/>
        <w:spacing w:after="0" w:line="221" w:lineRule="auto"/>
        <w:tabs>
          <w:tab w:leader="none" w:pos="21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0.25%</w:t>
      </w:r>
    </w:p>
    <w:p>
      <w:pPr>
        <w:ind w:left="2160" w:hanging="114"/>
        <w:spacing w:after="0" w:line="221" w:lineRule="auto"/>
        <w:tabs>
          <w:tab w:leader="none" w:pos="21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100% × 0.25%</w:t>
      </w:r>
    </w:p>
    <w:p>
      <w:pPr>
        <w:ind w:left="2160" w:hanging="114"/>
        <w:spacing w:after="0"/>
        <w:tabs>
          <w:tab w:leader="none" w:pos="21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0.25%</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3:</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Assumptions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Investment income (including interest, dividends, fees, etc.) = 3.00%</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Hurdle</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Base management fee</w:t>
      </w:r>
      <w:r>
        <w:rPr>
          <w:rFonts w:ascii="Arial" w:cs="Arial" w:eastAsia="Arial" w:hAnsi="Arial"/>
          <w:sz w:val="12"/>
          <w:szCs w:val="12"/>
          <w:color w:val="auto"/>
        </w:rPr>
        <w:t>(2)</w:t>
      </w:r>
      <w:r>
        <w:rPr>
          <w:rFonts w:ascii="Arial" w:cs="Arial" w:eastAsia="Arial" w:hAnsi="Arial"/>
          <w:sz w:val="14"/>
          <w:szCs w:val="14"/>
          <w:color w:val="auto"/>
        </w:rPr>
        <w:t xml:space="preserve"> = 0.50%</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20"/>
          </w:cols>
          <w:pgMar w:left="32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Pre-Incentive Fee Net Investment Income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(investment income—(base management fee + other expenses)) = 2.30%</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82"/>
        </w:trPr>
        <w:tc>
          <w:tcPr>
            <w:tcW w:w="940" w:type="dxa"/>
            <w:vAlign w:val="bottom"/>
          </w:tcPr>
          <w:p>
            <w:pPr>
              <w:spacing w:after="0"/>
              <w:rPr>
                <w:sz w:val="20"/>
                <w:szCs w:val="20"/>
                <w:color w:val="auto"/>
              </w:rPr>
            </w:pPr>
            <w:r>
              <w:rPr>
                <w:rFonts w:ascii="Arial" w:cs="Arial" w:eastAsia="Arial" w:hAnsi="Arial"/>
                <w:sz w:val="14"/>
                <w:szCs w:val="14"/>
                <w:color w:val="auto"/>
              </w:rPr>
              <w:t>Incentive fee</w:t>
            </w:r>
          </w:p>
        </w:tc>
        <w:tc>
          <w:tcPr>
            <w:tcW w:w="5220" w:type="dxa"/>
            <w:vAlign w:val="bottom"/>
            <w:gridSpan w:val="2"/>
          </w:tcPr>
          <w:p>
            <w:pPr>
              <w:ind w:left="180"/>
              <w:spacing w:after="0"/>
              <w:rPr>
                <w:sz w:val="20"/>
                <w:szCs w:val="20"/>
                <w:color w:val="auto"/>
              </w:rPr>
            </w:pPr>
            <w:r>
              <w:rPr>
                <w:rFonts w:ascii="Arial" w:cs="Arial" w:eastAsia="Arial" w:hAnsi="Arial"/>
                <w:sz w:val="14"/>
                <w:szCs w:val="14"/>
                <w:color w:val="auto"/>
              </w:rPr>
              <w:t>= 20% × Pre-Incentive Fee Net Investment Income, subject to “catch-up”</w:t>
            </w:r>
            <w:r>
              <w:rPr>
                <w:rFonts w:ascii="Arial" w:cs="Arial" w:eastAsia="Arial" w:hAnsi="Arial"/>
                <w:sz w:val="12"/>
                <w:szCs w:val="12"/>
                <w:color w:val="auto"/>
              </w:rPr>
              <w:t>(3)</w:t>
            </w:r>
          </w:p>
        </w:tc>
      </w:tr>
      <w:tr>
        <w:trPr>
          <w:trHeight w:val="257"/>
        </w:trPr>
        <w:tc>
          <w:tcPr>
            <w:tcW w:w="940" w:type="dxa"/>
            <w:vAlign w:val="bottom"/>
          </w:tcPr>
          <w:p>
            <w:pPr>
              <w:spacing w:after="0"/>
              <w:rPr>
                <w:sz w:val="20"/>
                <w:szCs w:val="20"/>
                <w:color w:val="auto"/>
              </w:rPr>
            </w:pPr>
            <w:r>
              <w:rPr>
                <w:rFonts w:ascii="Arial" w:cs="Arial" w:eastAsia="Arial" w:hAnsi="Arial"/>
                <w:sz w:val="14"/>
                <w:szCs w:val="14"/>
                <w:color w:val="auto"/>
              </w:rPr>
              <w:t>Incentive fee</w:t>
            </w:r>
          </w:p>
        </w:tc>
        <w:tc>
          <w:tcPr>
            <w:tcW w:w="5220" w:type="dxa"/>
            <w:vAlign w:val="bottom"/>
            <w:gridSpan w:val="2"/>
          </w:tcPr>
          <w:p>
            <w:pPr>
              <w:ind w:left="180"/>
              <w:spacing w:after="0"/>
              <w:rPr>
                <w:sz w:val="20"/>
                <w:szCs w:val="20"/>
                <w:color w:val="auto"/>
              </w:rPr>
            </w:pPr>
            <w:r>
              <w:rPr>
                <w:rFonts w:ascii="Arial" w:cs="Arial" w:eastAsia="Arial" w:hAnsi="Arial"/>
                <w:sz w:val="14"/>
                <w:szCs w:val="14"/>
                <w:color w:val="auto"/>
                <w:w w:val="94"/>
              </w:rPr>
              <w:t>= 100% × “catch-up” + (20% × (Pre-Incentive Fee Net Investment Income - 2.1875%))</w:t>
            </w:r>
          </w:p>
        </w:tc>
      </w:tr>
      <w:tr>
        <w:trPr>
          <w:trHeight w:val="257"/>
        </w:trPr>
        <w:tc>
          <w:tcPr>
            <w:tcW w:w="940" w:type="dxa"/>
            <w:vAlign w:val="bottom"/>
          </w:tcPr>
          <w:p>
            <w:pPr>
              <w:spacing w:after="0"/>
              <w:rPr>
                <w:sz w:val="20"/>
                <w:szCs w:val="20"/>
                <w:color w:val="auto"/>
              </w:rPr>
            </w:pPr>
            <w:r>
              <w:rPr>
                <w:rFonts w:ascii="Arial" w:cs="Arial" w:eastAsia="Arial" w:hAnsi="Arial"/>
                <w:sz w:val="14"/>
                <w:szCs w:val="14"/>
                <w:color w:val="auto"/>
              </w:rPr>
              <w:t>Catch-up</w:t>
            </w:r>
          </w:p>
        </w:tc>
        <w:tc>
          <w:tcPr>
            <w:tcW w:w="5220" w:type="dxa"/>
            <w:vAlign w:val="bottom"/>
            <w:gridSpan w:val="2"/>
          </w:tcPr>
          <w:p>
            <w:pPr>
              <w:ind w:left="180"/>
              <w:spacing w:after="0"/>
              <w:rPr>
                <w:sz w:val="20"/>
                <w:szCs w:val="20"/>
                <w:color w:val="auto"/>
              </w:rPr>
            </w:pPr>
            <w:r>
              <w:rPr>
                <w:rFonts w:ascii="Arial" w:cs="Arial" w:eastAsia="Arial" w:hAnsi="Arial"/>
                <w:sz w:val="14"/>
                <w:szCs w:val="14"/>
                <w:color w:val="auto"/>
              </w:rPr>
              <w:t>= 2.1875% - 1.75%</w:t>
            </w:r>
          </w:p>
        </w:tc>
      </w:tr>
      <w:tr>
        <w:trPr>
          <w:trHeight w:val="257"/>
        </w:trPr>
        <w:tc>
          <w:tcPr>
            <w:tcW w:w="940" w:type="dxa"/>
            <w:vAlign w:val="bottom"/>
          </w:tcPr>
          <w:p>
            <w:pPr>
              <w:spacing w:after="0"/>
              <w:rPr>
                <w:sz w:val="22"/>
                <w:szCs w:val="22"/>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auto"/>
                <w:w w:val="94"/>
              </w:rPr>
              <w:t>= 0.4375%</w:t>
            </w:r>
          </w:p>
        </w:tc>
        <w:tc>
          <w:tcPr>
            <w:tcW w:w="4380" w:type="dxa"/>
            <w:vAlign w:val="bottom"/>
          </w:tcPr>
          <w:p>
            <w:pPr>
              <w:spacing w:after="0"/>
              <w:rPr>
                <w:sz w:val="22"/>
                <w:szCs w:val="22"/>
                <w:color w:val="auto"/>
              </w:rPr>
            </w:pPr>
          </w:p>
        </w:tc>
      </w:tr>
      <w:tr>
        <w:trPr>
          <w:trHeight w:val="257"/>
        </w:trPr>
        <w:tc>
          <w:tcPr>
            <w:tcW w:w="940" w:type="dxa"/>
            <w:vAlign w:val="bottom"/>
          </w:tcPr>
          <w:p>
            <w:pPr>
              <w:spacing w:after="0"/>
              <w:rPr>
                <w:sz w:val="22"/>
                <w:szCs w:val="22"/>
                <w:color w:val="auto"/>
              </w:rPr>
            </w:pPr>
          </w:p>
        </w:tc>
        <w:tc>
          <w:tcPr>
            <w:tcW w:w="5220" w:type="dxa"/>
            <w:vAlign w:val="bottom"/>
            <w:gridSpan w:val="2"/>
          </w:tcPr>
          <w:p>
            <w:pPr>
              <w:ind w:left="180"/>
              <w:spacing w:after="0"/>
              <w:rPr>
                <w:sz w:val="20"/>
                <w:szCs w:val="20"/>
                <w:color w:val="auto"/>
              </w:rPr>
            </w:pPr>
            <w:r>
              <w:rPr>
                <w:rFonts w:ascii="Arial" w:cs="Arial" w:eastAsia="Arial" w:hAnsi="Arial"/>
                <w:sz w:val="14"/>
                <w:szCs w:val="14"/>
                <w:color w:val="auto"/>
              </w:rPr>
              <w:t>= (100% × 0.4375%) + (20% × (2.30% - 2.1875%))</w:t>
            </w:r>
          </w:p>
        </w:tc>
      </w:tr>
      <w:tr>
        <w:trPr>
          <w:trHeight w:val="256"/>
        </w:trPr>
        <w:tc>
          <w:tcPr>
            <w:tcW w:w="940" w:type="dxa"/>
            <w:vAlign w:val="bottom"/>
          </w:tcPr>
          <w:p>
            <w:pPr>
              <w:spacing w:after="0"/>
              <w:rPr>
                <w:sz w:val="22"/>
                <w:szCs w:val="22"/>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auto"/>
                <w:w w:val="94"/>
              </w:rPr>
              <w:t>= 0.4375%</w:t>
            </w:r>
          </w:p>
        </w:tc>
        <w:tc>
          <w:tcPr>
            <w:tcW w:w="4380" w:type="dxa"/>
            <w:vAlign w:val="bottom"/>
          </w:tcPr>
          <w:p>
            <w:pPr>
              <w:ind w:left="20"/>
              <w:spacing w:after="0"/>
              <w:rPr>
                <w:sz w:val="20"/>
                <w:szCs w:val="20"/>
                <w:color w:val="auto"/>
              </w:rPr>
            </w:pPr>
            <w:r>
              <w:rPr>
                <w:rFonts w:ascii="Arial" w:cs="Arial" w:eastAsia="Arial" w:hAnsi="Arial"/>
                <w:sz w:val="14"/>
                <w:szCs w:val="14"/>
                <w:color w:val="auto"/>
              </w:rPr>
              <w:t>+ (20% × 0.1125%)</w:t>
            </w:r>
          </w:p>
        </w:tc>
      </w:tr>
      <w:tr>
        <w:trPr>
          <w:trHeight w:val="257"/>
        </w:trPr>
        <w:tc>
          <w:tcPr>
            <w:tcW w:w="940" w:type="dxa"/>
            <w:vAlign w:val="bottom"/>
          </w:tcPr>
          <w:p>
            <w:pPr>
              <w:spacing w:after="0"/>
              <w:rPr>
                <w:sz w:val="22"/>
                <w:szCs w:val="22"/>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auto"/>
                <w:w w:val="94"/>
              </w:rPr>
              <w:t>= 0.4375%</w:t>
            </w:r>
          </w:p>
        </w:tc>
        <w:tc>
          <w:tcPr>
            <w:tcW w:w="4380" w:type="dxa"/>
            <w:vAlign w:val="bottom"/>
          </w:tcPr>
          <w:p>
            <w:pPr>
              <w:ind w:left="20"/>
              <w:spacing w:after="0"/>
              <w:rPr>
                <w:sz w:val="20"/>
                <w:szCs w:val="20"/>
                <w:color w:val="auto"/>
              </w:rPr>
            </w:pPr>
            <w:r>
              <w:rPr>
                <w:rFonts w:ascii="Arial" w:cs="Arial" w:eastAsia="Arial" w:hAnsi="Arial"/>
                <w:sz w:val="14"/>
                <w:szCs w:val="14"/>
                <w:color w:val="auto"/>
              </w:rPr>
              <w:t>+ 0.0225%</w:t>
            </w:r>
          </w:p>
        </w:tc>
      </w:tr>
      <w:tr>
        <w:trPr>
          <w:trHeight w:val="257"/>
        </w:trPr>
        <w:tc>
          <w:tcPr>
            <w:tcW w:w="940" w:type="dxa"/>
            <w:vAlign w:val="bottom"/>
          </w:tcPr>
          <w:p>
            <w:pPr>
              <w:spacing w:after="0"/>
              <w:rPr>
                <w:sz w:val="22"/>
                <w:szCs w:val="22"/>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auto"/>
              </w:rPr>
              <w:t>= 0.46%</w:t>
            </w:r>
          </w:p>
        </w:tc>
        <w:tc>
          <w:tcPr>
            <w:tcW w:w="4380" w:type="dxa"/>
            <w:vAlign w:val="bottom"/>
          </w:tcPr>
          <w:p>
            <w:pPr>
              <w:spacing w:after="0"/>
              <w:rPr>
                <w:sz w:val="22"/>
                <w:szCs w:val="22"/>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Capital Gains Portion of Incentive Fee:</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Assumptions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Year 1 = no net realized capital gains or losses</w:t>
      </w:r>
    </w:p>
    <w:p>
      <w:pPr>
        <w:spacing w:after="0" w:line="96" w:lineRule="exact"/>
        <w:rPr>
          <w:sz w:val="20"/>
          <w:szCs w:val="20"/>
          <w:color w:val="auto"/>
        </w:rPr>
      </w:pPr>
    </w:p>
    <w:p>
      <w:pPr>
        <w:ind w:right="460"/>
        <w:spacing w:after="0" w:line="253" w:lineRule="auto"/>
        <w:rPr>
          <w:sz w:val="20"/>
          <w:szCs w:val="20"/>
          <w:color w:val="auto"/>
        </w:rPr>
      </w:pPr>
      <w:r>
        <w:rPr>
          <w:rFonts w:ascii="Arial" w:cs="Arial" w:eastAsia="Arial" w:hAnsi="Arial"/>
          <w:sz w:val="14"/>
          <w:szCs w:val="14"/>
          <w:color w:val="auto"/>
        </w:rPr>
        <w:t>Year 2 = 6% realized capital gains and 1% realized capital losses and unrealized capital depreciation, capital gain incentive fee = 20% × (realized capital gains for year computed net of all realized capital losses and unrealized capital depreciation at year end)</w:t>
      </w:r>
    </w:p>
    <w:p>
      <w:pPr>
        <w:spacing w:after="0" w:line="79" w:lineRule="exact"/>
        <w:rPr>
          <w:sz w:val="20"/>
          <w:szCs w:val="20"/>
          <w:color w:val="auto"/>
        </w:rPr>
      </w:pPr>
    </w:p>
    <w:tbl>
      <w:tblPr>
        <w:tblLayout w:type="fixed"/>
        <w:tblInd w:w="920" w:type="dxa"/>
        <w:tblCellMar>
          <w:top w:w="0" w:type="dxa"/>
          <w:left w:w="0" w:type="dxa"/>
          <w:bottom w:w="0" w:type="dxa"/>
          <w:right w:w="0" w:type="dxa"/>
        </w:tblCellMar>
      </w:tblPr>
      <w:tr>
        <w:trPr>
          <w:trHeight w:val="182"/>
        </w:trPr>
        <w:tc>
          <w:tcPr>
            <w:tcW w:w="1360" w:type="dxa"/>
            <w:vAlign w:val="bottom"/>
          </w:tcPr>
          <w:p>
            <w:pPr>
              <w:spacing w:after="0"/>
              <w:rPr>
                <w:sz w:val="20"/>
                <w:szCs w:val="20"/>
                <w:color w:val="auto"/>
              </w:rPr>
            </w:pPr>
            <w:r>
              <w:rPr>
                <w:rFonts w:ascii="Arial" w:cs="Arial" w:eastAsia="Arial" w:hAnsi="Arial"/>
                <w:sz w:val="14"/>
                <w:szCs w:val="14"/>
                <w:color w:val="auto"/>
              </w:rPr>
              <w:t>Year 1 incentive fee</w:t>
            </w:r>
          </w:p>
        </w:tc>
        <w:tc>
          <w:tcPr>
            <w:tcW w:w="640" w:type="dxa"/>
            <w:vAlign w:val="bottom"/>
          </w:tcPr>
          <w:p>
            <w:pPr>
              <w:ind w:left="240"/>
              <w:spacing w:after="0"/>
              <w:rPr>
                <w:sz w:val="20"/>
                <w:szCs w:val="20"/>
                <w:color w:val="auto"/>
              </w:rPr>
            </w:pPr>
            <w:r>
              <w:rPr>
                <w:rFonts w:ascii="Arial" w:cs="Arial" w:eastAsia="Arial" w:hAnsi="Arial"/>
                <w:sz w:val="14"/>
                <w:szCs w:val="14"/>
                <w:color w:val="auto"/>
                <w:w w:val="94"/>
              </w:rPr>
              <w:t>= 20%</w:t>
            </w:r>
          </w:p>
        </w:tc>
        <w:tc>
          <w:tcPr>
            <w:tcW w:w="740" w:type="dxa"/>
            <w:vAlign w:val="bottom"/>
          </w:tcPr>
          <w:p>
            <w:pPr>
              <w:ind w:left="20"/>
              <w:spacing w:after="0"/>
              <w:rPr>
                <w:sz w:val="20"/>
                <w:szCs w:val="20"/>
                <w:color w:val="auto"/>
              </w:rPr>
            </w:pPr>
            <w:r>
              <w:rPr>
                <w:rFonts w:ascii="Arial" w:cs="Arial" w:eastAsia="Arial" w:hAnsi="Arial"/>
                <w:sz w:val="14"/>
                <w:szCs w:val="14"/>
                <w:color w:val="auto"/>
              </w:rPr>
              <w:t>× (0)</w:t>
            </w:r>
          </w:p>
        </w:tc>
      </w:tr>
      <w:tr>
        <w:trPr>
          <w:trHeight w:val="257"/>
        </w:trPr>
        <w:tc>
          <w:tcPr>
            <w:tcW w:w="1360" w:type="dxa"/>
            <w:vAlign w:val="bottom"/>
          </w:tcPr>
          <w:p>
            <w:pPr>
              <w:spacing w:after="0"/>
              <w:rPr>
                <w:sz w:val="22"/>
                <w:szCs w:val="22"/>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 0</w:t>
            </w:r>
          </w:p>
        </w:tc>
        <w:tc>
          <w:tcPr>
            <w:tcW w:w="740" w:type="dxa"/>
            <w:vAlign w:val="bottom"/>
          </w:tcPr>
          <w:p>
            <w:pPr>
              <w:spacing w:after="0"/>
              <w:rPr>
                <w:sz w:val="22"/>
                <w:szCs w:val="22"/>
                <w:color w:val="auto"/>
              </w:rPr>
            </w:pPr>
          </w:p>
        </w:tc>
      </w:tr>
      <w:tr>
        <w:trPr>
          <w:trHeight w:val="257"/>
        </w:trPr>
        <w:tc>
          <w:tcPr>
            <w:tcW w:w="1360" w:type="dxa"/>
            <w:vAlign w:val="bottom"/>
          </w:tcPr>
          <w:p>
            <w:pPr>
              <w:spacing w:after="0"/>
              <w:rPr>
                <w:sz w:val="22"/>
                <w:szCs w:val="22"/>
                <w:color w:val="auto"/>
              </w:rPr>
            </w:pPr>
          </w:p>
        </w:tc>
        <w:tc>
          <w:tcPr>
            <w:tcW w:w="1380" w:type="dxa"/>
            <w:vAlign w:val="bottom"/>
            <w:gridSpan w:val="2"/>
          </w:tcPr>
          <w:p>
            <w:pPr>
              <w:ind w:left="240"/>
              <w:spacing w:after="0"/>
              <w:rPr>
                <w:sz w:val="20"/>
                <w:szCs w:val="20"/>
                <w:color w:val="auto"/>
              </w:rPr>
            </w:pPr>
            <w:r>
              <w:rPr>
                <w:rFonts w:ascii="Arial" w:cs="Arial" w:eastAsia="Arial" w:hAnsi="Arial"/>
                <w:sz w:val="14"/>
                <w:szCs w:val="14"/>
                <w:color w:val="auto"/>
              </w:rPr>
              <w:t>= no incentive fee</w:t>
            </w:r>
          </w:p>
        </w:tc>
      </w:tr>
      <w:tr>
        <w:trPr>
          <w:trHeight w:val="256"/>
        </w:trPr>
        <w:tc>
          <w:tcPr>
            <w:tcW w:w="1360" w:type="dxa"/>
            <w:vAlign w:val="bottom"/>
          </w:tcPr>
          <w:p>
            <w:pPr>
              <w:spacing w:after="0"/>
              <w:rPr>
                <w:sz w:val="20"/>
                <w:szCs w:val="20"/>
                <w:color w:val="auto"/>
              </w:rPr>
            </w:pPr>
            <w:r>
              <w:rPr>
                <w:rFonts w:ascii="Arial" w:cs="Arial" w:eastAsia="Arial" w:hAnsi="Arial"/>
                <w:sz w:val="14"/>
                <w:szCs w:val="14"/>
                <w:color w:val="auto"/>
              </w:rPr>
              <w:t>Year 2 incentive fee</w:t>
            </w:r>
          </w:p>
        </w:tc>
        <w:tc>
          <w:tcPr>
            <w:tcW w:w="640" w:type="dxa"/>
            <w:vAlign w:val="bottom"/>
          </w:tcPr>
          <w:p>
            <w:pPr>
              <w:ind w:left="240"/>
              <w:spacing w:after="0"/>
              <w:rPr>
                <w:sz w:val="20"/>
                <w:szCs w:val="20"/>
                <w:color w:val="auto"/>
              </w:rPr>
            </w:pPr>
            <w:r>
              <w:rPr>
                <w:rFonts w:ascii="Arial" w:cs="Arial" w:eastAsia="Arial" w:hAnsi="Arial"/>
                <w:sz w:val="14"/>
                <w:szCs w:val="14"/>
                <w:color w:val="auto"/>
                <w:w w:val="94"/>
              </w:rPr>
              <w:t>= 20%</w:t>
            </w:r>
          </w:p>
        </w:tc>
        <w:tc>
          <w:tcPr>
            <w:tcW w:w="740" w:type="dxa"/>
            <w:vAlign w:val="bottom"/>
          </w:tcPr>
          <w:p>
            <w:pPr>
              <w:ind w:left="20"/>
              <w:spacing w:after="0"/>
              <w:rPr>
                <w:sz w:val="20"/>
                <w:szCs w:val="20"/>
                <w:color w:val="auto"/>
              </w:rPr>
            </w:pPr>
            <w:r>
              <w:rPr>
                <w:rFonts w:ascii="Arial" w:cs="Arial" w:eastAsia="Arial" w:hAnsi="Arial"/>
                <w:sz w:val="14"/>
                <w:szCs w:val="14"/>
                <w:color w:val="auto"/>
                <w:w w:val="94"/>
              </w:rPr>
              <w:t>× (6% - 1%)</w:t>
            </w:r>
          </w:p>
        </w:tc>
      </w:tr>
    </w:tbl>
    <w:p>
      <w:pPr>
        <w:spacing w:after="0" w:line="74" w:lineRule="exact"/>
        <w:rPr>
          <w:sz w:val="20"/>
          <w:szCs w:val="20"/>
          <w:color w:val="auto"/>
        </w:rPr>
      </w:pPr>
    </w:p>
    <w:p>
      <w:pPr>
        <w:ind w:left="2640" w:hanging="121"/>
        <w:spacing w:after="0"/>
        <w:tabs>
          <w:tab w:leader="none" w:pos="2640" w:val="left"/>
        </w:tabs>
        <w:numPr>
          <w:ilvl w:val="1"/>
          <w:numId w:val="12"/>
        </w:numPr>
        <w:rPr>
          <w:rFonts w:ascii="Arial" w:cs="Arial" w:eastAsia="Arial" w:hAnsi="Arial"/>
          <w:sz w:val="14"/>
          <w:szCs w:val="14"/>
          <w:color w:val="auto"/>
        </w:rPr>
      </w:pPr>
      <w:r>
        <w:rPr>
          <w:rFonts w:ascii="Arial" w:cs="Arial" w:eastAsia="Arial" w:hAnsi="Arial"/>
          <w:sz w:val="14"/>
          <w:szCs w:val="14"/>
          <w:color w:val="auto"/>
        </w:rPr>
        <w:t>20% × 5%</w:t>
      </w:r>
    </w:p>
    <w:p>
      <w:pPr>
        <w:spacing w:after="0" w:line="95" w:lineRule="exact"/>
        <w:rPr>
          <w:rFonts w:ascii="Arial" w:cs="Arial" w:eastAsia="Arial" w:hAnsi="Arial"/>
          <w:sz w:val="14"/>
          <w:szCs w:val="14"/>
          <w:color w:val="auto"/>
        </w:rPr>
      </w:pPr>
    </w:p>
    <w:p>
      <w:pPr>
        <w:ind w:left="2640" w:hanging="121"/>
        <w:spacing w:after="0"/>
        <w:tabs>
          <w:tab w:leader="none" w:pos="2640" w:val="left"/>
        </w:tabs>
        <w:numPr>
          <w:ilvl w:val="1"/>
          <w:numId w:val="12"/>
        </w:numPr>
        <w:rPr>
          <w:rFonts w:ascii="Arial" w:cs="Arial" w:eastAsia="Arial" w:hAnsi="Arial"/>
          <w:sz w:val="14"/>
          <w:szCs w:val="14"/>
          <w:color w:val="auto"/>
        </w:rPr>
      </w:pPr>
      <w:r>
        <w:rPr>
          <w:rFonts w:ascii="Arial" w:cs="Arial" w:eastAsia="Arial" w:hAnsi="Arial"/>
          <w:sz w:val="14"/>
          <w:szCs w:val="14"/>
          <w:color w:val="auto"/>
        </w:rPr>
        <w:t>1%</w:t>
      </w:r>
    </w:p>
    <w:p>
      <w:pPr>
        <w:spacing w:after="0" w:line="29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The hypothetical amount of Pre-Incentive Fee Net Investment Income shown is based on a percentage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8516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ind w:left="560" w:hanging="552"/>
        <w:spacing w:after="0" w:line="221" w:lineRule="auto"/>
        <w:tabs>
          <w:tab w:leader="none" w:pos="5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7.0% annualized hurdle.</w:t>
      </w:r>
    </w:p>
    <w:p>
      <w:pPr>
        <w:ind w:left="560" w:hanging="552"/>
        <w:spacing w:after="0" w:line="221" w:lineRule="auto"/>
        <w:tabs>
          <w:tab w:leader="none" w:pos="5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2.0% annualized base management fee.</w:t>
      </w:r>
    </w:p>
    <w:p>
      <w:pPr>
        <w:ind w:left="560" w:hanging="552"/>
        <w:spacing w:after="0" w:line="237" w:lineRule="auto"/>
        <w:tabs>
          <w:tab w:leader="none" w:pos="5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“catch-up” provision is intended to provide the Investment Adviser with an incentive fee of approximately 20% on all of our Pre-Incentive Fee Net Investment Income as if a hurdle rate did not apply when our net investment income exceeds 2.1875% in any calendar quarter.</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of the Investment Adviser</w:t>
      </w:r>
    </w:p>
    <w:p>
      <w:pPr>
        <w:spacing w:after="0" w:line="96" w:lineRule="exact"/>
        <w:rPr>
          <w:sz w:val="20"/>
          <w:szCs w:val="20"/>
          <w:color w:val="auto"/>
        </w:rPr>
      </w:pPr>
    </w:p>
    <w:p>
      <w:pPr>
        <w:ind w:right="340" w:firstLine="562"/>
        <w:spacing w:after="0" w:line="253" w:lineRule="auto"/>
        <w:rPr>
          <w:sz w:val="20"/>
          <w:szCs w:val="20"/>
          <w:color w:val="auto"/>
        </w:rPr>
      </w:pPr>
      <w:r>
        <w:rPr>
          <w:rFonts w:ascii="Arial" w:cs="Arial" w:eastAsia="Arial" w:hAnsi="Arial"/>
          <w:sz w:val="14"/>
          <w:szCs w:val="14"/>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 of Investment Management Agreement</w:t>
      </w:r>
    </w:p>
    <w:p>
      <w:pPr>
        <w:spacing w:after="0" w:line="96"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The Investment Management Agreement was reapproved by our board of directors, including a majority of our directors who are not interested persons of us or the Investment Adviser, in February 2016. Unless terminated earlier as described below, the Investment Management Agreement will continue in effect for a period of one year through February 2017.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77"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Administration Agreement</w:t>
      </w:r>
    </w:p>
    <w:p>
      <w:pPr>
        <w:spacing w:after="0" w:line="96" w:lineRule="exact"/>
        <w:rPr>
          <w:sz w:val="20"/>
          <w:szCs w:val="20"/>
          <w:color w:val="auto"/>
        </w:rPr>
      </w:pPr>
    </w:p>
    <w:p>
      <w:pPr>
        <w:ind w:right="20" w:firstLine="562"/>
        <w:spacing w:after="0" w:line="244" w:lineRule="auto"/>
        <w:rPr>
          <w:sz w:val="20"/>
          <w:szCs w:val="20"/>
          <w:color w:val="auto"/>
        </w:rPr>
      </w:pPr>
      <w:r>
        <w:rPr>
          <w:rFonts w:ascii="Arial" w:cs="Arial" w:eastAsia="Arial" w:hAnsi="Arial"/>
          <w:sz w:val="13"/>
          <w:szCs w:val="13"/>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amongst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PennantPark Investment, through the Administrator, provides similar services to our SBIC Funds under their administration agreements with us. For providing these services, facilities and personnel, we reimburse the Administrator for its allocable portion of overhead and other expenses incurred by the Administrator in performing its obligations under the Administration Agreement, including rent and our allocable portion of the cost of the compensation and related expenses for our Chief Compliance Officer and Chief Financial Officer and their respective staffs. The Administrator also offers on our behalf managerial assistance to portfolio companies to which we are required to offer such assistance. To the extent that our Administrator outsources any of its functions, we will pay the fees associated with such functions on a direct basis without profit to the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20"/>
          </w:cols>
          <w:pgMar w:left="320" w:top="459"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Administrator. Reimbursement for certain of these costs is included in administrative services expenses in the Consolidated Statements of Operations. For the fiscal years ended</w:t>
      </w:r>
    </w:p>
    <w:p>
      <w:pPr>
        <w:ind w:right="280"/>
        <w:spacing w:after="0" w:line="237" w:lineRule="auto"/>
        <w:rPr>
          <w:sz w:val="20"/>
          <w:szCs w:val="20"/>
          <w:color w:val="auto"/>
        </w:rPr>
      </w:pPr>
      <w:r>
        <w:rPr>
          <w:rFonts w:ascii="Arial" w:cs="Arial" w:eastAsia="Arial" w:hAnsi="Arial"/>
          <w:sz w:val="14"/>
          <w:szCs w:val="14"/>
          <w:color w:val="auto"/>
        </w:rPr>
        <w:t>September 30, 2016, 2015 and 2014, the Investment Adviser was reimbursed $3.7 million, $3.3 million and $3.0 million, respectively, from us, including expenses it incurred on behalf of the Administrator for the services described above.</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 of Administration Agreement</w:t>
      </w:r>
    </w:p>
    <w:p>
      <w:pPr>
        <w:spacing w:after="0" w:line="96"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The Administration Agreement was reapproved by our board of directors, including a majority of our directors who are not interested persons of us, in February 2016. Unless terminated earlier as described below, our Administration Agreement will continue in effect for a period of one year through February 2017.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96" w:lineRule="exact"/>
        <w:rPr>
          <w:sz w:val="20"/>
          <w:szCs w:val="20"/>
          <w:color w:val="auto"/>
        </w:rPr>
      </w:pPr>
    </w:p>
    <w:p>
      <w:pPr>
        <w:ind w:right="140" w:firstLine="562"/>
        <w:spacing w:after="0" w:line="251" w:lineRule="auto"/>
        <w:rPr>
          <w:sz w:val="20"/>
          <w:szCs w:val="20"/>
          <w:color w:val="auto"/>
        </w:rPr>
      </w:pPr>
      <w:r>
        <w:rPr>
          <w:rFonts w:ascii="Arial" w:cs="Arial" w:eastAsia="Arial" w:hAnsi="Arial"/>
          <w:sz w:val="13"/>
          <w:szCs w:val="13"/>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managers,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Agreement</w:t>
      </w:r>
    </w:p>
    <w:p>
      <w:pPr>
        <w:spacing w:after="0" w:line="96"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We have entered into a license agreement, or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Development Company, Regulated Investment Company Regulations and Small Business Investment Company Regulations</w:t>
      </w:r>
    </w:p>
    <w:p>
      <w:pPr>
        <w:spacing w:after="0" w:line="96" w:lineRule="exact"/>
        <w:rPr>
          <w:sz w:val="20"/>
          <w:szCs w:val="20"/>
          <w:color w:val="auto"/>
        </w:rPr>
      </w:pPr>
    </w:p>
    <w:p>
      <w:pPr>
        <w:ind w:right="60" w:firstLine="562"/>
        <w:spacing w:after="0" w:line="255" w:lineRule="auto"/>
        <w:rPr>
          <w:sz w:val="20"/>
          <w:szCs w:val="20"/>
          <w:color w:val="auto"/>
        </w:rPr>
      </w:pPr>
      <w:r>
        <w:rPr>
          <w:rFonts w:ascii="Arial" w:cs="Arial" w:eastAsia="Arial" w:hAnsi="Arial"/>
          <w:sz w:val="13"/>
          <w:szCs w:val="13"/>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67"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may purchase or otherwise receive warrants to purchase the common stock of our portfolio companies in connection with acquisition financing or other investments. Similarly, in connection with an acquisition, we may acquire rights to require the issuers of securities we own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and currency fluctuations. None of these policies are fundamental and they may be changed without stockholder approval.</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Qualifying Assets</w:t>
      </w:r>
    </w:p>
    <w:p>
      <w:pPr>
        <w:spacing w:after="0" w:line="96" w:lineRule="exact"/>
        <w:rPr>
          <w:sz w:val="20"/>
          <w:szCs w:val="20"/>
          <w:color w:val="auto"/>
        </w:rPr>
      </w:pPr>
    </w:p>
    <w:p>
      <w:pPr>
        <w:ind w:right="120" w:firstLine="562"/>
        <w:spacing w:after="0" w:line="290" w:lineRule="auto"/>
        <w:rPr>
          <w:sz w:val="20"/>
          <w:szCs w:val="20"/>
          <w:color w:val="auto"/>
        </w:rPr>
      </w:pPr>
      <w:r>
        <w:rPr>
          <w:rFonts w:ascii="Arial" w:cs="Arial" w:eastAsia="Arial" w:hAnsi="Arial"/>
          <w:sz w:val="13"/>
          <w:szCs w:val="13"/>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57" w:lineRule="exact"/>
        <w:rPr>
          <w:sz w:val="20"/>
          <w:szCs w:val="20"/>
          <w:color w:val="auto"/>
        </w:rPr>
      </w:pPr>
    </w:p>
    <w:p>
      <w:pPr>
        <w:ind w:left="1120" w:right="280" w:hanging="329"/>
        <w:spacing w:after="0" w:line="264" w:lineRule="auto"/>
        <w:tabs>
          <w:tab w:leader="none" w:pos="11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73" w:lineRule="exact"/>
        <w:rPr>
          <w:rFonts w:ascii="Arial" w:cs="Arial" w:eastAsia="Arial" w:hAnsi="Arial"/>
          <w:sz w:val="13"/>
          <w:szCs w:val="13"/>
          <w:color w:val="auto"/>
        </w:rPr>
      </w:pPr>
    </w:p>
    <w:p>
      <w:pPr>
        <w:ind w:left="1900" w:hanging="326"/>
        <w:spacing w:after="0"/>
        <w:tabs>
          <w:tab w:leader="none" w:pos="1900" w:val="left"/>
        </w:tabs>
        <w:numPr>
          <w:ilvl w:val="1"/>
          <w:numId w:val="14"/>
        </w:numPr>
        <w:rPr>
          <w:rFonts w:ascii="Arial" w:cs="Arial" w:eastAsia="Arial" w:hAnsi="Arial"/>
          <w:sz w:val="14"/>
          <w:szCs w:val="14"/>
          <w:color w:val="auto"/>
        </w:rPr>
      </w:pPr>
      <w:r>
        <w:rPr>
          <w:rFonts w:ascii="Arial" w:cs="Arial" w:eastAsia="Arial" w:hAnsi="Arial"/>
          <w:sz w:val="14"/>
          <w:szCs w:val="14"/>
          <w:color w:val="auto"/>
        </w:rPr>
        <w:t>is organized under the laws of, and has its principal place of business in, the United States;</w:t>
      </w:r>
    </w:p>
    <w:p>
      <w:pPr>
        <w:spacing w:after="0" w:line="109" w:lineRule="exact"/>
        <w:rPr>
          <w:rFonts w:ascii="Arial" w:cs="Arial" w:eastAsia="Arial" w:hAnsi="Arial"/>
          <w:sz w:val="14"/>
          <w:szCs w:val="14"/>
          <w:color w:val="auto"/>
        </w:rPr>
      </w:pPr>
    </w:p>
    <w:p>
      <w:pPr>
        <w:ind w:left="1900" w:right="80" w:hanging="326"/>
        <w:spacing w:after="0" w:line="253" w:lineRule="auto"/>
        <w:tabs>
          <w:tab w:leader="none" w:pos="1900" w:val="left"/>
        </w:tabs>
        <w:numPr>
          <w:ilvl w:val="1"/>
          <w:numId w:val="14"/>
        </w:numPr>
        <w:rPr>
          <w:rFonts w:ascii="Arial" w:cs="Arial" w:eastAsia="Arial" w:hAnsi="Arial"/>
          <w:sz w:val="14"/>
          <w:szCs w:val="14"/>
          <w:color w:val="auto"/>
        </w:rPr>
      </w:pPr>
      <w:r>
        <w:rPr>
          <w:rFonts w:ascii="Arial" w:cs="Arial" w:eastAsia="Arial" w:hAnsi="Arial"/>
          <w:sz w:val="14"/>
          <w:szCs w:val="14"/>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79" w:lineRule="exact"/>
        <w:rPr>
          <w:rFonts w:ascii="Arial" w:cs="Arial" w:eastAsia="Arial" w:hAnsi="Arial"/>
          <w:sz w:val="14"/>
          <w:szCs w:val="14"/>
          <w:color w:val="auto"/>
        </w:rPr>
      </w:pPr>
    </w:p>
    <w:p>
      <w:pPr>
        <w:ind w:left="1900" w:hanging="326"/>
        <w:spacing w:after="0"/>
        <w:tabs>
          <w:tab w:leader="none" w:pos="1900" w:val="left"/>
        </w:tabs>
        <w:numPr>
          <w:ilvl w:val="1"/>
          <w:numId w:val="14"/>
        </w:numPr>
        <w:rPr>
          <w:rFonts w:ascii="Arial" w:cs="Arial" w:eastAsia="Arial" w:hAnsi="Arial"/>
          <w:sz w:val="14"/>
          <w:szCs w:val="14"/>
          <w:color w:val="auto"/>
        </w:rPr>
      </w:pPr>
      <w:r>
        <w:rPr>
          <w:rFonts w:ascii="Arial" w:cs="Arial" w:eastAsia="Arial" w:hAnsi="Arial"/>
          <w:sz w:val="14"/>
          <w:szCs w:val="14"/>
          <w:color w:val="auto"/>
        </w:rPr>
        <w:t>satisfies any of the following:</w:t>
      </w:r>
    </w:p>
    <w:p>
      <w:pPr>
        <w:spacing w:after="0" w:line="109" w:lineRule="exact"/>
        <w:rPr>
          <w:rFonts w:ascii="Arial" w:cs="Arial" w:eastAsia="Arial" w:hAnsi="Arial"/>
          <w:sz w:val="14"/>
          <w:szCs w:val="14"/>
          <w:color w:val="auto"/>
        </w:rPr>
      </w:pPr>
    </w:p>
    <w:p>
      <w:pPr>
        <w:ind w:left="2680" w:hanging="323"/>
        <w:spacing w:after="0"/>
        <w:tabs>
          <w:tab w:leader="none" w:pos="2680" w:val="left"/>
        </w:tabs>
        <w:numPr>
          <w:ilvl w:val="2"/>
          <w:numId w:val="14"/>
        </w:numPr>
        <w:rPr>
          <w:rFonts w:ascii="Arial" w:cs="Arial" w:eastAsia="Arial" w:hAnsi="Arial"/>
          <w:sz w:val="14"/>
          <w:szCs w:val="14"/>
          <w:color w:val="auto"/>
        </w:rPr>
      </w:pPr>
      <w:r>
        <w:rPr>
          <w:rFonts w:ascii="Arial" w:cs="Arial" w:eastAsia="Arial" w:hAnsi="Arial"/>
          <w:sz w:val="14"/>
          <w:szCs w:val="14"/>
          <w:color w:val="auto"/>
        </w:rPr>
        <w:t>does not have any class of securities listed on a national securities exchange;</w:t>
      </w:r>
    </w:p>
    <w:p>
      <w:pPr>
        <w:spacing w:after="0" w:line="109" w:lineRule="exact"/>
        <w:rPr>
          <w:rFonts w:ascii="Arial" w:cs="Arial" w:eastAsia="Arial" w:hAnsi="Arial"/>
          <w:sz w:val="14"/>
          <w:szCs w:val="14"/>
          <w:color w:val="auto"/>
        </w:rPr>
      </w:pPr>
    </w:p>
    <w:p>
      <w:pPr>
        <w:ind w:left="2680" w:hanging="323"/>
        <w:spacing w:after="0"/>
        <w:tabs>
          <w:tab w:leader="none" w:pos="2680" w:val="left"/>
        </w:tabs>
        <w:numPr>
          <w:ilvl w:val="2"/>
          <w:numId w:val="14"/>
        </w:numPr>
        <w:rPr>
          <w:rFonts w:ascii="Arial" w:cs="Arial" w:eastAsia="Arial" w:hAnsi="Arial"/>
          <w:sz w:val="14"/>
          <w:szCs w:val="14"/>
          <w:color w:val="auto"/>
        </w:rPr>
      </w:pPr>
      <w:r>
        <w:rPr>
          <w:rFonts w:ascii="Arial" w:cs="Arial" w:eastAsia="Arial" w:hAnsi="Arial"/>
          <w:sz w:val="14"/>
          <w:szCs w:val="14"/>
          <w:color w:val="auto"/>
        </w:rPr>
        <w:t>has any class of securities listed on a national securities exchange subject to a maximum market capitalization of $250.0 million; or</w:t>
      </w:r>
    </w:p>
    <w:p>
      <w:pPr>
        <w:spacing w:after="0" w:line="109" w:lineRule="exact"/>
        <w:rPr>
          <w:rFonts w:ascii="Arial" w:cs="Arial" w:eastAsia="Arial" w:hAnsi="Arial"/>
          <w:sz w:val="14"/>
          <w:szCs w:val="14"/>
          <w:color w:val="auto"/>
        </w:rPr>
      </w:pPr>
    </w:p>
    <w:p>
      <w:pPr>
        <w:ind w:left="2680" w:right="40" w:hanging="323"/>
        <w:spacing w:after="0" w:line="238" w:lineRule="auto"/>
        <w:tabs>
          <w:tab w:leader="none" w:pos="2680" w:val="left"/>
        </w:tabs>
        <w:numPr>
          <w:ilvl w:val="2"/>
          <w:numId w:val="14"/>
        </w:numPr>
        <w:rPr>
          <w:rFonts w:ascii="Arial" w:cs="Arial" w:eastAsia="Arial" w:hAnsi="Arial"/>
          <w:sz w:val="14"/>
          <w:szCs w:val="14"/>
          <w:color w:val="auto"/>
        </w:rPr>
      </w:pPr>
      <w:r>
        <w:rPr>
          <w:rFonts w:ascii="Arial" w:cs="Arial" w:eastAsia="Arial" w:hAnsi="Arial"/>
          <w:sz w:val="14"/>
          <w:szCs w:val="14"/>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88" w:lineRule="exact"/>
        <w:rPr>
          <w:rFonts w:ascii="Arial" w:cs="Arial" w:eastAsia="Arial" w:hAnsi="Arial"/>
          <w:sz w:val="14"/>
          <w:szCs w:val="14"/>
          <w:color w:val="auto"/>
        </w:rPr>
      </w:pPr>
    </w:p>
    <w:p>
      <w:pPr>
        <w:ind w:left="1120" w:hanging="329"/>
        <w:spacing w:after="0"/>
        <w:tabs>
          <w:tab w:leader="none" w:pos="11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Securities of any eligible portfolio company which we control.</w:t>
      </w:r>
    </w:p>
    <w:p>
      <w:pPr>
        <w:spacing w:after="0" w:line="109" w:lineRule="exact"/>
        <w:rPr>
          <w:rFonts w:ascii="Arial" w:cs="Arial" w:eastAsia="Arial" w:hAnsi="Arial"/>
          <w:sz w:val="14"/>
          <w:szCs w:val="14"/>
          <w:color w:val="auto"/>
        </w:rPr>
      </w:pPr>
    </w:p>
    <w:p>
      <w:pPr>
        <w:ind w:left="1120" w:hanging="329"/>
        <w:spacing w:after="0" w:line="238" w:lineRule="auto"/>
        <w:tabs>
          <w:tab w:leader="none" w:pos="11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20" w:right="200" w:hanging="329"/>
        <w:spacing w:after="0" w:line="253" w:lineRule="auto"/>
        <w:tabs>
          <w:tab w:leader="none" w:pos="11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9" w:lineRule="exact"/>
        <w:rPr>
          <w:rFonts w:ascii="Arial" w:cs="Arial" w:eastAsia="Arial" w:hAnsi="Arial"/>
          <w:sz w:val="14"/>
          <w:szCs w:val="14"/>
          <w:color w:val="auto"/>
        </w:rPr>
      </w:pPr>
    </w:p>
    <w:p>
      <w:pPr>
        <w:ind w:left="1120" w:right="60" w:hanging="329"/>
        <w:spacing w:after="0" w:line="253" w:lineRule="auto"/>
        <w:tabs>
          <w:tab w:leader="none" w:pos="11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Securities received in exchange for or distributed on or with respect to securities described in (1) through (4) above, or pursuant to the exercise of warrants or rights relating to such securities.</w:t>
      </w:r>
    </w:p>
    <w:p>
      <w:pPr>
        <w:spacing w:after="0" w:line="79" w:lineRule="exact"/>
        <w:rPr>
          <w:rFonts w:ascii="Arial" w:cs="Arial" w:eastAsia="Arial" w:hAnsi="Arial"/>
          <w:sz w:val="14"/>
          <w:szCs w:val="14"/>
          <w:color w:val="auto"/>
        </w:rPr>
      </w:pPr>
    </w:p>
    <w:p>
      <w:pPr>
        <w:ind w:left="1120" w:hanging="329"/>
        <w:spacing w:after="0"/>
        <w:tabs>
          <w:tab w:leader="none" w:pos="11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Cash, cash equivalents, U.S. government securities or high-quality debt securities maturing in one year or less from the time of investment.</w:t>
      </w:r>
    </w:p>
    <w:p>
      <w:pPr>
        <w:spacing w:after="0" w:line="96" w:lineRule="exact"/>
        <w:rPr>
          <w:sz w:val="20"/>
          <w:szCs w:val="20"/>
          <w:color w:val="auto"/>
        </w:rPr>
      </w:pPr>
    </w:p>
    <w:p>
      <w:pPr>
        <w:ind w:right="200" w:firstLine="562"/>
        <w:spacing w:after="0" w:line="253" w:lineRule="auto"/>
        <w:rPr>
          <w:sz w:val="20"/>
          <w:szCs w:val="20"/>
          <w:color w:val="auto"/>
        </w:rPr>
      </w:pPr>
      <w:r>
        <w:rPr>
          <w:rFonts w:ascii="Arial" w:cs="Arial" w:eastAsia="Arial" w:hAnsi="Arial"/>
          <w:sz w:val="14"/>
          <w:szCs w:val="14"/>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Managerial Assistance to Portfolio Companies</w:t>
      </w:r>
    </w:p>
    <w:p>
      <w:pPr>
        <w:spacing w:after="0" w:line="96" w:lineRule="exact"/>
        <w:rPr>
          <w:sz w:val="20"/>
          <w:szCs w:val="20"/>
          <w:color w:val="auto"/>
        </w:rPr>
      </w:pPr>
    </w:p>
    <w:p>
      <w:pPr>
        <w:ind w:right="340" w:firstLine="562"/>
        <w:spacing w:after="0" w:line="251" w:lineRule="auto"/>
        <w:rPr>
          <w:sz w:val="20"/>
          <w:szCs w:val="20"/>
          <w:color w:val="auto"/>
        </w:rPr>
      </w:pPr>
      <w:r>
        <w:rPr>
          <w:rFonts w:ascii="Arial" w:cs="Arial" w:eastAsia="Arial" w:hAnsi="Arial"/>
          <w:sz w:val="13"/>
          <w:szCs w:val="13"/>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Temporary Investments</w:t>
      </w:r>
    </w:p>
    <w:p>
      <w:pPr>
        <w:spacing w:after="0" w:line="96" w:lineRule="exact"/>
        <w:rPr>
          <w:sz w:val="20"/>
          <w:szCs w:val="20"/>
          <w:color w:val="auto"/>
        </w:rPr>
      </w:pPr>
    </w:p>
    <w:p>
      <w:pPr>
        <w:ind w:right="20" w:firstLine="562"/>
        <w:spacing w:after="0" w:line="245" w:lineRule="auto"/>
        <w:rPr>
          <w:sz w:val="20"/>
          <w:szCs w:val="20"/>
          <w:color w:val="auto"/>
        </w:rPr>
      </w:pPr>
      <w:r>
        <w:rPr>
          <w:rFonts w:ascii="Arial" w:cs="Arial" w:eastAsia="Arial" w:hAnsi="Arial"/>
          <w:sz w:val="13"/>
          <w:szCs w:val="13"/>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below under “Regulation—Election to be Treated as a RIC,”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Securities</w:t>
      </w:r>
    </w:p>
    <w:p>
      <w:pPr>
        <w:spacing w:after="0" w:line="96" w:lineRule="exact"/>
        <w:rPr>
          <w:sz w:val="20"/>
          <w:szCs w:val="20"/>
          <w:color w:val="auto"/>
        </w:rPr>
      </w:pPr>
    </w:p>
    <w:p>
      <w:pPr>
        <w:ind w:right="20" w:firstLine="562"/>
        <w:spacing w:after="0" w:line="248" w:lineRule="auto"/>
        <w:rPr>
          <w:sz w:val="20"/>
          <w:szCs w:val="20"/>
          <w:color w:val="auto"/>
        </w:rPr>
      </w:pPr>
      <w:r>
        <w:rPr>
          <w:rFonts w:ascii="Arial" w:cs="Arial" w:eastAsia="Arial" w:hAnsi="Arial"/>
          <w:sz w:val="13"/>
          <w:szCs w:val="13"/>
          <w:color w:val="auto"/>
        </w:rPr>
        <w:t>We are permitted, under specified conditions, to issue multiple classes of indebtedness and one class of stock senior to our common stock if our asset coverage, as defined in the 1940 Act and referred to as the asset coverage ratio,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We received exemptive relief from the SEC allowing us to modify the asset coverage requirement to exclude the SBA debentures from the calculation. For a discussion of the risks associated with leverage, see “Risk Factors —Risks Relating to our Business and Structure—Regulations governing our operation as a BDC will affect our ability to, and the way in which we, raise additional capital” for more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Joint Code of Ethics and Code of Conduct</w:t>
      </w:r>
    </w:p>
    <w:p>
      <w:pPr>
        <w:spacing w:after="0" w:line="96" w:lineRule="exact"/>
        <w:rPr>
          <w:sz w:val="20"/>
          <w:szCs w:val="20"/>
          <w:color w:val="auto"/>
        </w:rPr>
      </w:pPr>
    </w:p>
    <w:p>
      <w:pPr>
        <w:ind w:right="20" w:firstLine="562"/>
        <w:spacing w:after="0" w:line="228" w:lineRule="auto"/>
        <w:rPr>
          <w:sz w:val="20"/>
          <w:szCs w:val="20"/>
          <w:color w:val="auto"/>
        </w:rPr>
      </w:pPr>
      <w:r>
        <w:rPr>
          <w:rFonts w:ascii="Arial" w:cs="Arial" w:eastAsia="Arial" w:hAnsi="Arial"/>
          <w:sz w:val="14"/>
          <w:szCs w:val="14"/>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this Report and is available on the EDGAR Database on the SEC’s Internet 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You may also obtain a copy of our joint code of ethics, after paying a duplicating fee, by electronic request at the following email address: publicinfo@sec.gov, or by writing the SEC’s Public Reference Section, 100 F Street, N.E., Washington, D.C. 20549.</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Proxy Voting Policies and Procedures</w:t>
      </w:r>
    </w:p>
    <w:p>
      <w:pPr>
        <w:spacing w:after="0" w:line="96" w:lineRule="exact"/>
        <w:rPr>
          <w:sz w:val="20"/>
          <w:szCs w:val="20"/>
          <w:color w:val="auto"/>
        </w:rPr>
      </w:pPr>
    </w:p>
    <w:p>
      <w:pPr>
        <w:ind w:right="140" w:firstLine="562"/>
        <w:spacing w:after="0" w:line="238" w:lineRule="auto"/>
        <w:rPr>
          <w:sz w:val="20"/>
          <w:szCs w:val="20"/>
          <w:color w:val="auto"/>
        </w:rPr>
      </w:pPr>
      <w:r>
        <w:rPr>
          <w:rFonts w:ascii="Arial" w:cs="Arial" w:eastAsia="Arial" w:hAnsi="Arial"/>
          <w:sz w:val="14"/>
          <w:szCs w:val="14"/>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i w:val="1"/>
          <w:iCs w:val="1"/>
          <w:color w:val="auto"/>
        </w:rPr>
        <w:t>Introduction</w:t>
      </w:r>
    </w:p>
    <w:p>
      <w:pPr>
        <w:spacing w:after="0" w:line="96"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66" w:lineRule="exact"/>
        <w:rPr>
          <w:sz w:val="20"/>
          <w:szCs w:val="20"/>
          <w:color w:val="auto"/>
        </w:rPr>
      </w:pPr>
    </w:p>
    <w:p>
      <w:pPr>
        <w:ind w:left="560" w:right="720"/>
        <w:spacing w:after="0" w:line="382" w:lineRule="auto"/>
        <w:rPr>
          <w:sz w:val="20"/>
          <w:szCs w:val="20"/>
          <w:color w:val="auto"/>
        </w:rPr>
      </w:pPr>
      <w:r>
        <w:rPr>
          <w:rFonts w:ascii="Arial" w:cs="Arial" w:eastAsia="Arial" w:hAnsi="Arial"/>
          <w:sz w:val="14"/>
          <w:szCs w:val="14"/>
          <w:color w:val="auto"/>
        </w:rPr>
        <w:t xml:space="preserve">These policies and procedures for voting proxies for our investment advisory clients are intended to comply with Section 206 of, and Rule 206(4)-6 under, the Advisers Act. </w:t>
      </w:r>
      <w:r>
        <w:rPr>
          <w:rFonts w:ascii="Arial" w:cs="Arial" w:eastAsia="Arial" w:hAnsi="Arial"/>
          <w:sz w:val="14"/>
          <w:szCs w:val="14"/>
          <w:i w:val="1"/>
          <w:iCs w:val="1"/>
          <w:color w:val="auto"/>
        </w:rPr>
        <w:t>Proxy Policies</w:t>
      </w:r>
    </w:p>
    <w:p>
      <w:pPr>
        <w:spacing w:after="0" w:line="1"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We vote proxies relating to our portfolio securities in what we perceive to be the best interests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75"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20" w:top="459"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4"/>
          <w:szCs w:val="14"/>
          <w:i w:val="1"/>
          <w:iCs w:val="1"/>
          <w:color w:val="auto"/>
        </w:rPr>
        <w:t>Proxy Voting Records</w:t>
      </w:r>
    </w:p>
    <w:p>
      <w:pPr>
        <w:spacing w:after="0" w:line="96" w:lineRule="exact"/>
        <w:rPr>
          <w:sz w:val="20"/>
          <w:szCs w:val="20"/>
          <w:color w:val="auto"/>
        </w:rPr>
      </w:pPr>
    </w:p>
    <w:p>
      <w:pPr>
        <w:ind w:right="200" w:firstLine="562"/>
        <w:spacing w:after="0" w:line="253" w:lineRule="auto"/>
        <w:rPr>
          <w:sz w:val="20"/>
          <w:szCs w:val="20"/>
          <w:color w:val="auto"/>
        </w:rPr>
      </w:pPr>
      <w:r>
        <w:rPr>
          <w:rFonts w:ascii="Arial" w:cs="Arial" w:eastAsia="Arial" w:hAnsi="Arial"/>
          <w:sz w:val="14"/>
          <w:szCs w:val="14"/>
          <w:color w:val="auto"/>
        </w:rPr>
        <w:t>You may obtain information about how we voted proxies, free of charge, by calling us collect at (212) 905-1000 or by making a written request for proxy voting information to: Aviv Efrat, Chief Financial Officer and Treasurer, 590 Madison Avenue, 15th Floor, New York, New York 10022.</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Privacy Protection Principles</w:t>
      </w:r>
    </w:p>
    <w:p>
      <w:pPr>
        <w:spacing w:after="0" w:line="96" w:lineRule="exact"/>
        <w:rPr>
          <w:sz w:val="20"/>
          <w:szCs w:val="20"/>
          <w:color w:val="auto"/>
        </w:rPr>
      </w:pPr>
    </w:p>
    <w:p>
      <w:pPr>
        <w:ind w:right="560" w:firstLine="562"/>
        <w:spacing w:after="0" w:line="253" w:lineRule="auto"/>
        <w:rPr>
          <w:sz w:val="20"/>
          <w:szCs w:val="20"/>
          <w:color w:val="auto"/>
        </w:rPr>
      </w:pPr>
      <w:r>
        <w:rPr>
          <w:rFonts w:ascii="Arial" w:cs="Arial" w:eastAsia="Arial" w:hAnsi="Arial"/>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66"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75" w:lineRule="exact"/>
        <w:rPr>
          <w:sz w:val="20"/>
          <w:szCs w:val="20"/>
          <w:color w:val="auto"/>
        </w:rPr>
      </w:pPr>
    </w:p>
    <w:p>
      <w:pPr>
        <w:ind w:right="680" w:firstLine="562"/>
        <w:spacing w:after="0" w:line="253" w:lineRule="auto"/>
        <w:rPr>
          <w:sz w:val="20"/>
          <w:szCs w:val="20"/>
          <w:color w:val="auto"/>
        </w:rPr>
      </w:pPr>
      <w:r>
        <w:rPr>
          <w:rFonts w:ascii="Arial" w:cs="Arial" w:eastAsia="Arial" w:hAnsi="Arial"/>
          <w:sz w:val="14"/>
          <w:szCs w:val="14"/>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66" w:lineRule="exact"/>
        <w:rPr>
          <w:sz w:val="20"/>
          <w:szCs w:val="20"/>
          <w:color w:val="auto"/>
        </w:rPr>
      </w:pPr>
    </w:p>
    <w:p>
      <w:pPr>
        <w:ind w:firstLine="562"/>
        <w:spacing w:after="0" w:line="264" w:lineRule="auto"/>
        <w:rPr>
          <w:sz w:val="20"/>
          <w:szCs w:val="20"/>
          <w:color w:val="auto"/>
        </w:rPr>
      </w:pPr>
      <w:r>
        <w:rPr>
          <w:rFonts w:ascii="Arial" w:cs="Arial" w:eastAsia="Arial" w:hAnsi="Arial"/>
          <w:sz w:val="13"/>
          <w:szCs w:val="13"/>
          <w:color w:val="auto"/>
        </w:rPr>
        <w:t xml:space="preserve">Our privacy protection policies are available, free of charge, on our website at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In addition, the privacy policy is available on the EDGAR Database on the SEC’s Internet 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filed as an exhibit to our annual report on Form 10-K (File No. 814-00736, filed on November 16, 2011). You may also obtain copies of our privacy policy, after paying a duplicating fee, by electronic request at the following email address: </w:t>
      </w:r>
      <w:r>
        <w:rPr>
          <w:rFonts w:ascii="Arial" w:cs="Arial" w:eastAsia="Arial" w:hAnsi="Arial"/>
          <w:sz w:val="13"/>
          <w:szCs w:val="13"/>
          <w:i w:val="1"/>
          <w:iCs w:val="1"/>
          <w:u w:val="single" w:color="auto"/>
          <w:color w:val="auto"/>
        </w:rPr>
        <w:t>publicinfo@sec.gov</w:t>
      </w:r>
      <w:r>
        <w:rPr>
          <w:rFonts w:ascii="Arial" w:cs="Arial" w:eastAsia="Arial" w:hAnsi="Arial"/>
          <w:sz w:val="13"/>
          <w:szCs w:val="13"/>
          <w:color w:val="auto"/>
        </w:rPr>
        <w:t>, or by writing the SEC’s Public Reference Section, 100 F Street, N.E., Washington, D.C. 20549.</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w:t>
      </w:r>
    </w:p>
    <w:p>
      <w:pPr>
        <w:spacing w:after="0" w:line="96" w:lineRule="exact"/>
        <w:rPr>
          <w:sz w:val="20"/>
          <w:szCs w:val="20"/>
          <w:color w:val="auto"/>
        </w:rPr>
      </w:pPr>
    </w:p>
    <w:p>
      <w:pPr>
        <w:ind w:right="180" w:firstLine="562"/>
        <w:spacing w:after="0" w:line="253" w:lineRule="auto"/>
        <w:rPr>
          <w:sz w:val="20"/>
          <w:szCs w:val="20"/>
          <w:color w:val="auto"/>
        </w:rPr>
      </w:pPr>
      <w:r>
        <w:rPr>
          <w:rFonts w:ascii="Arial" w:cs="Arial" w:eastAsia="Arial" w:hAnsi="Arial"/>
          <w:sz w:val="14"/>
          <w:szCs w:val="14"/>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will be periodically examined by the SEC and SBA for compliance with the 1940 Act and 1958 Act, respectively.</w:t>
      </w:r>
    </w:p>
    <w:p>
      <w:pPr>
        <w:spacing w:after="0" w:line="9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75" w:lineRule="exact"/>
        <w:rPr>
          <w:sz w:val="20"/>
          <w:szCs w:val="20"/>
          <w:color w:val="auto"/>
        </w:rPr>
      </w:pPr>
    </w:p>
    <w:p>
      <w:pPr>
        <w:ind w:right="180" w:firstLine="562"/>
        <w:spacing w:after="0" w:line="238" w:lineRule="auto"/>
        <w:rPr>
          <w:sz w:val="20"/>
          <w:szCs w:val="20"/>
          <w:color w:val="auto"/>
        </w:rPr>
      </w:pPr>
      <w:r>
        <w:rPr>
          <w:rFonts w:ascii="Arial" w:cs="Arial" w:eastAsia="Arial" w:hAnsi="Arial"/>
          <w:sz w:val="14"/>
          <w:szCs w:val="14"/>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Sarbanes-Oxley Act of 2002</w:t>
      </w:r>
    </w:p>
    <w:p>
      <w:pPr>
        <w:spacing w:after="0" w:line="96" w:lineRule="exact"/>
        <w:rPr>
          <w:sz w:val="20"/>
          <w:szCs w:val="20"/>
          <w:color w:val="auto"/>
        </w:rPr>
      </w:pPr>
    </w:p>
    <w:p>
      <w:pPr>
        <w:ind w:right="460" w:firstLine="562"/>
        <w:spacing w:after="0" w:line="253" w:lineRule="auto"/>
        <w:rPr>
          <w:sz w:val="20"/>
          <w:szCs w:val="20"/>
          <w:color w:val="auto"/>
        </w:rPr>
      </w:pPr>
      <w:r>
        <w:rPr>
          <w:rFonts w:ascii="Arial" w:cs="Arial" w:eastAsia="Arial" w:hAnsi="Arial"/>
          <w:sz w:val="14"/>
          <w:szCs w:val="14"/>
          <w:color w:val="auto"/>
        </w:rPr>
        <w:t>The Sarbanes-Oxley Act of 2002, as amended, or the Sarbanes-Oxley Act, imposes several regulatory requirements on publicly held companies and their insiders. Many of these requirements affect us.</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For example:</w:t>
      </w:r>
    </w:p>
    <w:p>
      <w:pPr>
        <w:spacing w:after="0" w:line="109" w:lineRule="exact"/>
        <w:rPr>
          <w:sz w:val="20"/>
          <w:szCs w:val="20"/>
          <w:color w:val="auto"/>
        </w:rPr>
      </w:pPr>
    </w:p>
    <w:p>
      <w:pPr>
        <w:ind w:left="1000" w:right="300" w:hanging="331"/>
        <w:spacing w:after="0" w:line="253" w:lineRule="auto"/>
        <w:tabs>
          <w:tab w:leader="none" w:pos="10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pursuant to Rule 13a-14 of the Securities Exchange Act of 1934, as amended, or the Exchange Act, our Chief Executive Officer and Chief Financial Officer must certify the accuracy of the financial statements contained in our periodic reports;</w:t>
      </w:r>
    </w:p>
    <w:p>
      <w:pPr>
        <w:spacing w:after="0" w:line="79" w:lineRule="exact"/>
        <w:rPr>
          <w:rFonts w:ascii="Arial" w:cs="Arial" w:eastAsia="Arial" w:hAnsi="Arial"/>
          <w:sz w:val="14"/>
          <w:szCs w:val="14"/>
          <w:color w:val="auto"/>
        </w:rPr>
      </w:pPr>
    </w:p>
    <w:p>
      <w:pPr>
        <w:ind w:left="1000" w:hanging="331"/>
        <w:spacing w:after="0"/>
        <w:tabs>
          <w:tab w:leader="none" w:pos="10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pursuant to Item 307 of Regulation S-K, our periodic reports must disclose our conclusions about the effectiveness of our disclosure controls and procedures;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pursuant to Rule 13a-15 of the Exchange Act, our management must prepare an annual report regarding its assessment of our internal controls over financial reporting; and</w:t>
      </w:r>
    </w:p>
    <w:p>
      <w:pPr>
        <w:spacing w:after="0" w:line="120" w:lineRule="exact"/>
        <w:rPr>
          <w:rFonts w:ascii="Arial" w:cs="Arial" w:eastAsia="Arial" w:hAnsi="Arial"/>
          <w:sz w:val="13"/>
          <w:szCs w:val="13"/>
          <w:color w:val="auto"/>
        </w:rPr>
      </w:pPr>
    </w:p>
    <w:p>
      <w:pPr>
        <w:jc w:val="both"/>
        <w:ind w:left="1000" w:right="80" w:hanging="331"/>
        <w:spacing w:after="0" w:line="238" w:lineRule="auto"/>
        <w:tabs>
          <w:tab w:leader="none" w:pos="10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75" w:lineRule="exact"/>
        <w:rPr>
          <w:sz w:val="20"/>
          <w:szCs w:val="20"/>
          <w:color w:val="auto"/>
        </w:rPr>
      </w:pPr>
    </w:p>
    <w:p>
      <w:pPr>
        <w:jc w:val="both"/>
        <w:ind w:right="20" w:firstLine="562"/>
        <w:spacing w:after="0" w:line="238" w:lineRule="auto"/>
        <w:rPr>
          <w:sz w:val="20"/>
          <w:szCs w:val="20"/>
          <w:color w:val="auto"/>
        </w:rPr>
      </w:pPr>
      <w:r>
        <w:rPr>
          <w:rFonts w:ascii="Arial" w:cs="Arial" w:eastAsia="Arial" w:hAnsi="Arial"/>
          <w:sz w:val="14"/>
          <w:szCs w:val="14"/>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Election to be Treated as a RIC</w:t>
      </w:r>
    </w:p>
    <w:p>
      <w:pPr>
        <w:spacing w:after="0" w:line="96" w:lineRule="exact"/>
        <w:rPr>
          <w:sz w:val="20"/>
          <w:szCs w:val="20"/>
          <w:color w:val="auto"/>
        </w:rPr>
      </w:pPr>
    </w:p>
    <w:p>
      <w:pPr>
        <w:ind w:right="260" w:firstLine="562"/>
        <w:spacing w:after="0" w:line="231" w:lineRule="auto"/>
        <w:rPr>
          <w:sz w:val="20"/>
          <w:szCs w:val="20"/>
          <w:color w:val="auto"/>
        </w:rPr>
      </w:pPr>
      <w:r>
        <w:rPr>
          <w:rFonts w:ascii="Arial" w:cs="Arial" w:eastAsia="Arial" w:hAnsi="Arial"/>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investment company taxable income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 order to qualify as a RIC for federal income tax purposes, we must:</w:t>
      </w:r>
    </w:p>
    <w:p>
      <w:pPr>
        <w:spacing w:after="0" w:line="109" w:lineRule="exact"/>
        <w:rPr>
          <w:sz w:val="20"/>
          <w:szCs w:val="20"/>
          <w:color w:val="auto"/>
        </w:rPr>
      </w:pPr>
    </w:p>
    <w:p>
      <w:pPr>
        <w:ind w:left="1000" w:hanging="331"/>
        <w:spacing w:after="0"/>
        <w:tabs>
          <w:tab w:leader="none" w:pos="10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maintain an election to be treated as a BDC under the 1940 Act at all times during each taxable year;</w:t>
      </w:r>
    </w:p>
    <w:p>
      <w:pPr>
        <w:spacing w:after="0" w:line="109" w:lineRule="exact"/>
        <w:rPr>
          <w:rFonts w:ascii="Arial" w:cs="Arial" w:eastAsia="Arial" w:hAnsi="Arial"/>
          <w:sz w:val="14"/>
          <w:szCs w:val="14"/>
          <w:color w:val="auto"/>
        </w:rPr>
      </w:pPr>
    </w:p>
    <w:p>
      <w:pPr>
        <w:ind w:left="1000" w:right="60" w:hanging="331"/>
        <w:spacing w:after="0" w:line="238" w:lineRule="auto"/>
        <w:tabs>
          <w:tab w:leader="none" w:pos="10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8" w:lineRule="exact"/>
        <w:rPr>
          <w:rFonts w:ascii="Arial" w:cs="Arial" w:eastAsia="Arial" w:hAnsi="Arial"/>
          <w:sz w:val="14"/>
          <w:szCs w:val="14"/>
          <w:color w:val="auto"/>
        </w:rPr>
      </w:pPr>
    </w:p>
    <w:p>
      <w:pPr>
        <w:ind w:left="1000" w:hanging="331"/>
        <w:spacing w:after="0"/>
        <w:tabs>
          <w:tab w:leader="none" w:pos="10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diversify our holdings, or the Diversification Tests, so that at the end of each quarter of the taxable year:</w:t>
      </w:r>
    </w:p>
    <w:p>
      <w:pPr>
        <w:spacing w:after="0" w:line="109" w:lineRule="exact"/>
        <w:rPr>
          <w:rFonts w:ascii="Arial" w:cs="Arial" w:eastAsia="Arial" w:hAnsi="Arial"/>
          <w:sz w:val="14"/>
          <w:szCs w:val="14"/>
          <w:color w:val="auto"/>
        </w:rPr>
      </w:pPr>
    </w:p>
    <w:p>
      <w:pPr>
        <w:ind w:left="1340" w:right="20" w:hanging="333"/>
        <w:spacing w:after="0" w:line="290" w:lineRule="auto"/>
        <w:tabs>
          <w:tab w:leader="none" w:pos="1340" w:val="left"/>
        </w:tabs>
        <w:numPr>
          <w:ilvl w:val="1"/>
          <w:numId w:val="17"/>
        </w:numPr>
        <w:rPr>
          <w:rFonts w:ascii="Arial" w:cs="Arial" w:eastAsia="Arial" w:hAnsi="Arial"/>
          <w:sz w:val="13"/>
          <w:szCs w:val="13"/>
          <w:color w:val="auto"/>
        </w:rPr>
      </w:pPr>
      <w:r>
        <w:rPr>
          <w:rFonts w:ascii="Arial" w:cs="Arial" w:eastAsia="Arial" w:hAnsi="Arial"/>
          <w:sz w:val="13"/>
          <w:szCs w:val="13"/>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57" w:lineRule="exact"/>
        <w:rPr>
          <w:rFonts w:ascii="Arial" w:cs="Arial" w:eastAsia="Arial" w:hAnsi="Arial"/>
          <w:sz w:val="13"/>
          <w:szCs w:val="13"/>
          <w:color w:val="auto"/>
        </w:rPr>
      </w:pPr>
    </w:p>
    <w:p>
      <w:pPr>
        <w:jc w:val="both"/>
        <w:ind w:left="1340" w:right="100" w:hanging="333"/>
        <w:spacing w:after="0" w:line="238" w:lineRule="auto"/>
        <w:tabs>
          <w:tab w:leader="none" w:pos="1340" w:val="left"/>
        </w:tabs>
        <w:numPr>
          <w:ilvl w:val="1"/>
          <w:numId w:val="17"/>
        </w:numPr>
        <w:rPr>
          <w:rFonts w:ascii="Arial" w:cs="Arial" w:eastAsia="Arial" w:hAnsi="Arial"/>
          <w:sz w:val="14"/>
          <w:szCs w:val="14"/>
          <w:color w:val="auto"/>
        </w:rPr>
      </w:pPr>
      <w:r>
        <w:rPr>
          <w:rFonts w:ascii="Arial" w:cs="Arial" w:eastAsia="Arial" w:hAnsi="Arial"/>
          <w:sz w:val="14"/>
          <w:szCs w:val="14"/>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20"/>
          </w:cols>
          <w:pgMar w:left="320" w:top="45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 w:firstLine="562"/>
        <w:spacing w:after="0" w:line="248"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in respect of each calendar year dividends to our stockholders of an amount at least equal to the sum of (1) 98% of our net ordinary income (subject to certain deferrals and elections) for the calendar year,</w:t>
      </w:r>
    </w:p>
    <w:p>
      <w:pPr>
        <w:ind w:right="20" w:firstLine="8"/>
        <w:spacing w:after="0" w:line="227" w:lineRule="auto"/>
        <w:tabs>
          <w:tab w:leader="none" w:pos="204" w:val="left"/>
        </w:tabs>
        <w:numPr>
          <w:ilvl w:val="0"/>
          <w:numId w:val="18"/>
        </w:numPr>
        <w:rPr>
          <w:rFonts w:ascii="Arial" w:cs="Arial" w:eastAsia="Arial" w:hAnsi="Arial"/>
          <w:sz w:val="14"/>
          <w:szCs w:val="14"/>
          <w:color w:val="auto"/>
        </w:rPr>
      </w:pPr>
      <w:r>
        <w:rPr>
          <w:rFonts w:ascii="Arial" w:cs="Arial" w:eastAsia="Arial" w:hAnsi="Arial"/>
          <w:sz w:val="14"/>
          <w:szCs w:val="14"/>
          <w:color w:val="auto"/>
        </w:rPr>
        <w:t>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may retain and be subject to excise tax on such net capital gains or investment company taxable income, subject to maintaining our ability to be treated as a RIC for federal income tax purposes, in order to provide us with additional liquidity.</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Taxation as a RIC</w:t>
      </w:r>
    </w:p>
    <w:p>
      <w:pPr>
        <w:spacing w:after="0" w:line="96" w:lineRule="exact"/>
        <w:rPr>
          <w:sz w:val="20"/>
          <w:szCs w:val="20"/>
          <w:color w:val="auto"/>
        </w:rPr>
      </w:pPr>
    </w:p>
    <w:p>
      <w:pPr>
        <w:jc w:val="both"/>
        <w:ind w:right="20" w:firstLine="562"/>
        <w:spacing w:after="0" w:line="233" w:lineRule="auto"/>
        <w:rPr>
          <w:sz w:val="20"/>
          <w:szCs w:val="20"/>
          <w:color w:val="auto"/>
        </w:rPr>
      </w:pPr>
      <w:r>
        <w:rPr>
          <w:rFonts w:ascii="Arial" w:cs="Arial" w:eastAsia="Arial" w:hAnsi="Arial"/>
          <w:sz w:val="14"/>
          <w:szCs w:val="14"/>
          <w:color w:val="auto"/>
        </w:rPr>
        <w:t>If we qualify as a RIC, and satisfy the Annual Distribution Requirement, then we will not be subject to federal income tax on the portion of our investment company taxable income and net capital gains,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77"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76" w:lineRule="exact"/>
        <w:rPr>
          <w:sz w:val="20"/>
          <w:szCs w:val="20"/>
          <w:color w:val="auto"/>
        </w:rPr>
      </w:pPr>
    </w:p>
    <w:p>
      <w:pPr>
        <w:ind w:right="60" w:firstLine="562"/>
        <w:spacing w:after="0" w:line="255" w:lineRule="auto"/>
        <w:rPr>
          <w:sz w:val="20"/>
          <w:szCs w:val="20"/>
          <w:color w:val="auto"/>
        </w:rPr>
      </w:pPr>
      <w:r>
        <w:rPr>
          <w:rFonts w:ascii="Arial" w:cs="Arial" w:eastAsia="Arial" w:hAnsi="Arial"/>
          <w:sz w:val="13"/>
          <w:szCs w:val="13"/>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treated as a RIC for federal income tax purposes.</w:t>
      </w:r>
    </w:p>
    <w:p>
      <w:pPr>
        <w:spacing w:after="0" w:line="67" w:lineRule="exact"/>
        <w:rPr>
          <w:sz w:val="20"/>
          <w:szCs w:val="20"/>
          <w:color w:val="auto"/>
        </w:rPr>
      </w:pPr>
    </w:p>
    <w:p>
      <w:pPr>
        <w:ind w:right="220" w:firstLine="562"/>
        <w:spacing w:after="0" w:line="253" w:lineRule="auto"/>
        <w:rPr>
          <w:sz w:val="20"/>
          <w:szCs w:val="20"/>
          <w:color w:val="auto"/>
        </w:rPr>
      </w:pPr>
      <w:r>
        <w:rPr>
          <w:rFonts w:ascii="Arial" w:cs="Arial" w:eastAsia="Arial" w:hAnsi="Arial"/>
          <w:sz w:val="14"/>
          <w:szCs w:val="14"/>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6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76"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Qualify as a RIC</w:t>
      </w:r>
    </w:p>
    <w:p>
      <w:pPr>
        <w:spacing w:after="0" w:line="96"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If we fail to satisfy the Annual Distribution Requirement or fail to qualify as a RIC in any taxable year, unless certain cure provisions of the Code apply, we will be subject to tax in that taxable year on all of our taxable income at regular corporate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77"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Regulations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SBIC Funds are licensed under the SBA as SBICs under Section 301(c) of the 1958 Act. SBIC I and SBIC II received their licenses in 2010 and 2013, respectively.</w:t>
      </w:r>
    </w:p>
    <w:p>
      <w:pPr>
        <w:spacing w:after="0" w:line="96" w:lineRule="exact"/>
        <w:rPr>
          <w:sz w:val="20"/>
          <w:szCs w:val="20"/>
          <w:color w:val="auto"/>
        </w:rPr>
      </w:pPr>
    </w:p>
    <w:p>
      <w:pPr>
        <w:jc w:val="both"/>
        <w:ind w:right="240" w:firstLine="562"/>
        <w:spacing w:after="0" w:line="233" w:lineRule="auto"/>
        <w:rPr>
          <w:sz w:val="20"/>
          <w:szCs w:val="20"/>
          <w:color w:val="auto"/>
        </w:rPr>
      </w:pPr>
      <w:r>
        <w:rPr>
          <w:rFonts w:ascii="Arial" w:cs="Arial" w:eastAsia="Arial" w:hAnsi="Arial"/>
          <w:sz w:val="14"/>
          <w:szCs w:val="14"/>
          <w:color w:val="auto"/>
        </w:rPr>
        <w:t>SBICs are designed to stimulate the flow of capital to businesses that meet specified eligibility requirements discussed below. Under SBA regulations, our SBIC Funds are subject to regulatory requirements including making investments in SBA eligible businesses, investing at least 25% of regulatory capital in eligible smaller businesses, placing certain limitations on the financing terms of investments, prohibiting investing in certain industries, and required capitalization thresholds among other regulations. Furthermore, our SBIC Funds are subject to periodic audits and examinations of their financial statements that are prepared on a basis of</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accounting other than GAAP pursuant to SBA accounting standards and financial reporting requirements for SBICs. For example, our SBIC Funds do not use fair value accounting on its assets or liabilities under SBA valuation guidelines. If either of our SBIC Funds fails to comply with applicable SBA regulations, the SBA could, depending on the severity of the violation, limit or prohibit use of debentures, declare outstanding debentures immediately due and payable, and/or limit our SBIC Funds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4"/>
          <w:szCs w:val="14"/>
          <w:i w:val="1"/>
          <w:iCs w:val="1"/>
          <w:color w:val="auto"/>
        </w:rPr>
        <w:t>Eligible Small and Smaller Businesses</w:t>
      </w:r>
    </w:p>
    <w:p>
      <w:pPr>
        <w:spacing w:after="0" w:line="96"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Under present SBA regulations, eligible small business include businesses that (together with their affiliates) have tangible net worth not exceeding $19.5 million and have average annual net income of $6.5 million for the two most recent fiscal years. In addition, each of our SBIC Funds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an SBIC has invested in a company, it may continue to make follow-on investments in the company, regardless of the size of the business, up and until the time a business offers its securities in a public market.</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i w:val="1"/>
          <w:iCs w:val="1"/>
          <w:color w:val="auto"/>
        </w:rPr>
        <w:t>Financing Limitations, Terms and Changes in Control</w:t>
      </w:r>
    </w:p>
    <w:p>
      <w:pPr>
        <w:spacing w:after="0" w:line="96" w:lineRule="exact"/>
        <w:rPr>
          <w:sz w:val="20"/>
          <w:szCs w:val="20"/>
          <w:color w:val="auto"/>
        </w:rPr>
      </w:pPr>
    </w:p>
    <w:p>
      <w:pPr>
        <w:ind w:right="80" w:firstLine="562"/>
        <w:spacing w:after="0" w:line="255" w:lineRule="auto"/>
        <w:rPr>
          <w:sz w:val="20"/>
          <w:szCs w:val="20"/>
          <w:color w:val="auto"/>
        </w:rPr>
      </w:pPr>
      <w:r>
        <w:rPr>
          <w:rFonts w:ascii="Arial" w:cs="Arial" w:eastAsia="Arial" w:hAnsi="Arial"/>
          <w:sz w:val="13"/>
          <w:szCs w:val="13"/>
          <w:color w:val="auto"/>
        </w:rPr>
        <w:t>The SBA prohibits an SBIC from financing small businesses in certain industries such as relending, gambling, oil and gas exploration and other passive businesses. Additional SBA prohibitions include investing outside the United States, investing more than 30% of regulatory capital in one company and lending money to any officer, director or employee or to invest in any affiliate thereof. The SBA places certain limits on the financing terms of investments by our SBIC Funds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67"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The SBA also prohibits, without prior written approval, a “change in control” of our SBIC Funds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i w:val="1"/>
          <w:iCs w:val="1"/>
          <w:color w:val="auto"/>
        </w:rPr>
        <w:t>Idle Funds Limitation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SBA limits an SBIC to investing idle funds in the following types of securities:</w:t>
      </w:r>
    </w:p>
    <w:p>
      <w:pPr>
        <w:spacing w:after="0" w:line="109" w:lineRule="exact"/>
        <w:rPr>
          <w:sz w:val="20"/>
          <w:szCs w:val="20"/>
          <w:color w:val="auto"/>
        </w:rPr>
      </w:pPr>
    </w:p>
    <w:p>
      <w:pPr>
        <w:ind w:left="1000" w:hanging="331"/>
        <w:spacing w:after="0"/>
        <w:tabs>
          <w:tab w:leader="none" w:pos="10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direct obligations of, or obligations guaranteed as to principal and interest by, the United States Government, which mature within 15 months from the date of the investment;</w:t>
      </w:r>
    </w:p>
    <w:p>
      <w:pPr>
        <w:spacing w:after="0" w:line="120" w:lineRule="exact"/>
        <w:rPr>
          <w:rFonts w:ascii="Arial" w:cs="Arial" w:eastAsia="Arial" w:hAnsi="Arial"/>
          <w:sz w:val="13"/>
          <w:szCs w:val="13"/>
          <w:color w:val="auto"/>
        </w:rPr>
      </w:pPr>
    </w:p>
    <w:p>
      <w:pPr>
        <w:ind w:left="1000" w:hanging="331"/>
        <w:spacing w:after="0" w:line="253" w:lineRule="auto"/>
        <w:tabs>
          <w:tab w:leader="none" w:pos="10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79" w:lineRule="exact"/>
        <w:rPr>
          <w:rFonts w:ascii="Arial" w:cs="Arial" w:eastAsia="Arial" w:hAnsi="Arial"/>
          <w:sz w:val="14"/>
          <w:szCs w:val="14"/>
          <w:color w:val="auto"/>
        </w:rPr>
      </w:pPr>
    </w:p>
    <w:p>
      <w:pPr>
        <w:ind w:left="1000" w:hanging="331"/>
        <w:spacing w:after="0"/>
        <w:tabs>
          <w:tab w:leader="none" w:pos="10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certificates of deposit with a maturity of one year or less, issued by a federally insured institution; or</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deposit account in a federally insured institution that is subject to withdrawal restriction of one year or less.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i w:val="1"/>
          <w:iCs w:val="1"/>
          <w:color w:val="auto"/>
        </w:rPr>
        <w:t>SBA Leverage or Debentures</w:t>
      </w:r>
    </w:p>
    <w:p>
      <w:pPr>
        <w:spacing w:after="0" w:line="96"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an SBIC may borrow to a maximum of $150.0 million, which is up to twice its regulatory capital, and a maximum of $350.0 million as part of a group of SBICs under common control.</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00"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i w:val="1"/>
          <w:iCs w:val="1"/>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our Notes, or any securities we may issue, may decline, and you may lose all or part of your investment.</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100" w:lineRule="exact"/>
        <w:rPr>
          <w:sz w:val="20"/>
          <w:szCs w:val="20"/>
          <w:color w:val="auto"/>
        </w:rPr>
      </w:pPr>
    </w:p>
    <w:p>
      <w:pPr>
        <w:spacing w:after="0" w:line="290" w:lineRule="auto"/>
        <w:rPr>
          <w:sz w:val="20"/>
          <w:szCs w:val="20"/>
          <w:color w:val="auto"/>
        </w:rPr>
      </w:pPr>
      <w:r>
        <w:rPr>
          <w:rFonts w:ascii="Arial" w:cs="Arial" w:eastAsia="Arial" w:hAnsi="Arial"/>
          <w:sz w:val="13"/>
          <w:szCs w:val="13"/>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44" w:lineRule="exact"/>
        <w:rPr>
          <w:sz w:val="20"/>
          <w:szCs w:val="20"/>
          <w:color w:val="auto"/>
        </w:rPr>
      </w:pPr>
    </w:p>
    <w:p>
      <w:pPr>
        <w:ind w:right="20" w:firstLine="562"/>
        <w:spacing w:after="0" w:line="226" w:lineRule="auto"/>
        <w:rPr>
          <w:sz w:val="20"/>
          <w:szCs w:val="20"/>
          <w:color w:val="auto"/>
        </w:rPr>
      </w:pPr>
      <w:r>
        <w:rPr>
          <w:rFonts w:ascii="Arial" w:cs="Arial" w:eastAsia="Arial" w:hAnsi="Arial"/>
          <w:sz w:val="14"/>
          <w:szCs w:val="14"/>
          <w:color w:val="auto"/>
        </w:rPr>
        <w:t>The U.S. and global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uncertainty regarding the United Kingdom referendum decision to leave the European Union (the so called “Brexit”), continuing signs of deteriorating sovereign debt conditions in Europe and an economic slowdown in China create uncertainty that could lead to further disruptions, instability and weakening consumer, corporate and financial confidence. We may in the future have difficulty accessing debt and equity capital markets, and a severe disruption in the global financial markets, deterioration in credit and financing conditions or uncertainty regarding U.S. government spending and deficit levels, Brexit, European sovereign debt, Chinese economic slowdown or other global economic conditions could have a material adverse effect on our business,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Volatility or a prolonged disruption in the credit markets could materially damage our business.</w:t>
      </w:r>
    </w:p>
    <w:p>
      <w:pPr>
        <w:spacing w:after="0" w:line="96" w:lineRule="exact"/>
        <w:rPr>
          <w:sz w:val="20"/>
          <w:szCs w:val="20"/>
          <w:color w:val="auto"/>
        </w:rPr>
      </w:pPr>
    </w:p>
    <w:p>
      <w:pPr>
        <w:ind w:right="60" w:firstLine="562"/>
        <w:spacing w:after="0" w:line="245" w:lineRule="auto"/>
        <w:rPr>
          <w:sz w:val="20"/>
          <w:szCs w:val="20"/>
          <w:color w:val="auto"/>
        </w:rPr>
      </w:pPr>
      <w:r>
        <w:rPr>
          <w:rFonts w:ascii="Arial" w:cs="Arial" w:eastAsia="Arial" w:hAnsi="Arial"/>
          <w:sz w:val="13"/>
          <w:szCs w:val="13"/>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exclusive of the SBA debentures pursuant to our SEC exemptive relief.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75" w:lineRule="exact"/>
        <w:rPr>
          <w:sz w:val="20"/>
          <w:szCs w:val="20"/>
          <w:color w:val="auto"/>
        </w:rPr>
      </w:pPr>
    </w:p>
    <w:p>
      <w:pPr>
        <w:ind w:right="100" w:firstLine="562"/>
        <w:spacing w:after="0" w:line="228" w:lineRule="auto"/>
        <w:rPr>
          <w:sz w:val="20"/>
          <w:szCs w:val="20"/>
          <w:color w:val="auto"/>
        </w:rPr>
      </w:pPr>
      <w:r>
        <w:rPr>
          <w:rFonts w:ascii="Arial" w:cs="Arial" w:eastAsia="Arial" w:hAnsi="Arial"/>
          <w:sz w:val="14"/>
          <w:szCs w:val="14"/>
          <w:color w:val="auto"/>
        </w:rPr>
        <w:t>The significant disruption in the capital markets experienced in the past has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be subject to reduced availability and/or mandatory prepayments under our Credit Facility, our Notes and SBA debentures.</w:t>
      </w:r>
    </w:p>
    <w:p>
      <w:pPr>
        <w:spacing w:after="0" w:line="96" w:lineRule="exact"/>
        <w:rPr>
          <w:sz w:val="20"/>
          <w:szCs w:val="20"/>
          <w:color w:val="auto"/>
        </w:rPr>
      </w:pPr>
    </w:p>
    <w:p>
      <w:pPr>
        <w:ind w:right="160" w:firstLine="562"/>
        <w:spacing w:after="0" w:line="233" w:lineRule="auto"/>
        <w:rPr>
          <w:sz w:val="20"/>
          <w:szCs w:val="20"/>
          <w:color w:val="auto"/>
        </w:rPr>
      </w:pPr>
      <w:r>
        <w:rPr>
          <w:rFonts w:ascii="Arial" w:cs="Arial" w:eastAsia="Arial" w:hAnsi="Arial"/>
          <w:sz w:val="14"/>
          <w:szCs w:val="14"/>
          <w:color w:val="auto"/>
        </w:rPr>
        <w:t>In addition to the asset coverage ratio requirements, our Credit Facility and the indenture governing our Notes contain various covenants which, if not complied with, could accelerate repayment under the Credit Facility and our Notes. This could have a material adverse effect on our business, financial condition and results of operations. Our borrowings under our Credit Facility are collateralized by the assets in our investment portfolio, excluding those portfolio investments held by our SBIC Funds. The agreements governing the Credit Facility require us to comply with certain financial and operational covenants. These covenants include:</w:t>
      </w:r>
    </w:p>
    <w:p>
      <w:pPr>
        <w:spacing w:after="0" w:line="90" w:lineRule="exact"/>
        <w:rPr>
          <w:sz w:val="20"/>
          <w:szCs w:val="20"/>
          <w:color w:val="auto"/>
        </w:rPr>
      </w:pPr>
    </w:p>
    <w:p>
      <w:pPr>
        <w:ind w:left="1000" w:hanging="331"/>
        <w:spacing w:after="0"/>
        <w:tabs>
          <w:tab w:leader="none" w:pos="10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 requirement to retain our status as a RIC;</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 requirement to maintain a minimum amount of stockholder’s equity; and</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 requirement that our outstanding borrowings under the Credit Facility not exceed a certain percentage of the value of our portfolio.</w:t>
      </w:r>
    </w:p>
    <w:p>
      <w:pPr>
        <w:spacing w:after="0" w:line="96" w:lineRule="exact"/>
        <w:rPr>
          <w:sz w:val="20"/>
          <w:szCs w:val="20"/>
          <w:color w:val="auto"/>
        </w:rPr>
      </w:pPr>
    </w:p>
    <w:p>
      <w:pPr>
        <w:ind w:right="180" w:firstLine="562"/>
        <w:spacing w:after="0" w:line="264" w:lineRule="auto"/>
        <w:rPr>
          <w:sz w:val="20"/>
          <w:szCs w:val="20"/>
          <w:color w:val="auto"/>
        </w:rPr>
      </w:pPr>
      <w:r>
        <w:rPr>
          <w:rFonts w:ascii="Arial" w:cs="Arial" w:eastAsia="Arial" w:hAnsi="Arial"/>
          <w:sz w:val="13"/>
          <w:szCs w:val="13"/>
          <w:color w:val="auto"/>
        </w:rPr>
        <w:t>In addition to the Credit Facility, we have issued our Notes and our SBIC Funds have issued SBA debentures that require us and our SBIC Funds to generate sufficient cash flow to make required interest payments. Further, our SBIC Funds must maintain a minimum capitalization that, if impaired, could materially and adversely affect our liquidity, financial condition and results of operations by accelerating repayment under the SBA debentures. Our borrowings under the SBA debentures are secured by the assets of our SBIC Funds.</w:t>
      </w:r>
    </w:p>
    <w:p>
      <w:pPr>
        <w:spacing w:after="0" w:line="60" w:lineRule="exact"/>
        <w:rPr>
          <w:sz w:val="20"/>
          <w:szCs w:val="20"/>
          <w:color w:val="auto"/>
        </w:rPr>
      </w:pPr>
    </w:p>
    <w:p>
      <w:pPr>
        <w:ind w:right="160" w:firstLine="562"/>
        <w:spacing w:after="0" w:line="233" w:lineRule="auto"/>
        <w:rPr>
          <w:sz w:val="20"/>
          <w:szCs w:val="20"/>
          <w:color w:val="auto"/>
        </w:rPr>
      </w:pPr>
      <w:r>
        <w:rPr>
          <w:rFonts w:ascii="Arial" w:cs="Arial" w:eastAsia="Arial" w:hAnsi="Arial"/>
          <w:sz w:val="14"/>
          <w:szCs w:val="14"/>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Credit Facility and could trigger mandatory prepayment obligations under the terms of the Credit Facility and our Notes.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operate in a highly competitive market for investment opportunities.</w:t>
      </w:r>
    </w:p>
    <w:p>
      <w:pPr>
        <w:spacing w:after="0" w:line="96" w:lineRule="exact"/>
        <w:rPr>
          <w:sz w:val="20"/>
          <w:szCs w:val="20"/>
          <w:color w:val="auto"/>
        </w:rPr>
      </w:pPr>
    </w:p>
    <w:p>
      <w:pPr>
        <w:ind w:right="40" w:firstLine="562"/>
        <w:spacing w:after="0" w:line="226" w:lineRule="auto"/>
        <w:rPr>
          <w:sz w:val="20"/>
          <w:szCs w:val="20"/>
          <w:color w:val="auto"/>
        </w:rPr>
      </w:pPr>
      <w:r>
        <w:rPr>
          <w:rFonts w:ascii="Arial" w:cs="Arial" w:eastAsia="Arial" w:hAnsi="Arial"/>
          <w:sz w:val="14"/>
          <w:szCs w:val="14"/>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80"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20"/>
          </w:cols>
          <w:pgMar w:left="320" w:top="45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borrowers may default on their payments, which may have a materially negative effect on our financial performance.</w:t>
      </w:r>
    </w:p>
    <w:p>
      <w:pPr>
        <w:spacing w:after="0" w:line="96"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66" w:lineRule="exact"/>
        <w:rPr>
          <w:sz w:val="20"/>
          <w:szCs w:val="20"/>
          <w:color w:val="auto"/>
        </w:rPr>
      </w:pPr>
    </w:p>
    <w:p>
      <w:pPr>
        <w:ind w:right="220" w:firstLine="562"/>
        <w:spacing w:after="0" w:line="264" w:lineRule="auto"/>
        <w:rPr>
          <w:sz w:val="20"/>
          <w:szCs w:val="20"/>
          <w:color w:val="auto"/>
        </w:rPr>
      </w:pPr>
      <w:r>
        <w:rPr>
          <w:rFonts w:ascii="Arial" w:cs="Arial" w:eastAsia="Arial" w:hAnsi="Arial"/>
          <w:sz w:val="13"/>
          <w:szCs w:val="13"/>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60" w:lineRule="exact"/>
        <w:rPr>
          <w:sz w:val="20"/>
          <w:szCs w:val="20"/>
          <w:color w:val="auto"/>
        </w:rPr>
      </w:pPr>
    </w:p>
    <w:p>
      <w:pPr>
        <w:ind w:right="20" w:firstLine="562"/>
        <w:spacing w:after="0" w:line="244" w:lineRule="auto"/>
        <w:rPr>
          <w:sz w:val="20"/>
          <w:szCs w:val="20"/>
          <w:color w:val="auto"/>
        </w:rPr>
      </w:pPr>
      <w:r>
        <w:rPr>
          <w:rFonts w:ascii="Arial" w:cs="Arial" w:eastAsia="Arial" w:hAnsi="Arial"/>
          <w:sz w:val="13"/>
          <w:szCs w:val="13"/>
          <w:color w:val="auto"/>
        </w:rPr>
        <w:t>We make long-term loans and debt investments, which may involve a high degree of repayment risk. Our investments with a deferred interest feature, such as OID income and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unrealized losses we experience on our investment portfolio may be an indication of future realized losses, which could reduce our income available for distribution.</w:t>
      </w:r>
    </w:p>
    <w:p>
      <w:pPr>
        <w:spacing w:after="0" w:line="107" w:lineRule="exact"/>
        <w:rPr>
          <w:sz w:val="20"/>
          <w:szCs w:val="20"/>
          <w:color w:val="auto"/>
        </w:rPr>
      </w:pPr>
    </w:p>
    <w:p>
      <w:pPr>
        <w:jc w:val="both"/>
        <w:ind w:right="120" w:firstLine="562"/>
        <w:spacing w:after="0" w:line="233" w:lineRule="auto"/>
        <w:rPr>
          <w:sz w:val="20"/>
          <w:szCs w:val="20"/>
          <w:color w:val="auto"/>
        </w:rPr>
      </w:pPr>
      <w:r>
        <w:rPr>
          <w:rFonts w:ascii="Arial" w:cs="Arial" w:eastAsia="Arial" w:hAnsi="Arial"/>
          <w:sz w:val="14"/>
          <w:szCs w:val="14"/>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77" w:lineRule="exact"/>
        <w:rPr>
          <w:sz w:val="20"/>
          <w:szCs w:val="20"/>
          <w:color w:val="auto"/>
        </w:rPr>
      </w:pPr>
    </w:p>
    <w:p>
      <w:pPr>
        <w:ind w:right="280" w:firstLine="562"/>
        <w:spacing w:after="0" w:line="253" w:lineRule="auto"/>
        <w:rPr>
          <w:sz w:val="20"/>
          <w:szCs w:val="20"/>
          <w:color w:val="auto"/>
        </w:rPr>
      </w:pPr>
      <w:r>
        <w:rPr>
          <w:rFonts w:ascii="Arial" w:cs="Arial" w:eastAsia="Arial" w:hAnsi="Arial"/>
          <w:sz w:val="14"/>
          <w:szCs w:val="14"/>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the target of litigation.</w:t>
      </w:r>
    </w:p>
    <w:p>
      <w:pPr>
        <w:spacing w:after="0" w:line="9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We may be the target of securities litigation in the future, particularly if the trading price of our common stock and our Notes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75"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66" w:lineRule="exact"/>
        <w:rPr>
          <w:sz w:val="20"/>
          <w:szCs w:val="20"/>
          <w:color w:val="auto"/>
        </w:rPr>
      </w:pPr>
    </w:p>
    <w:p>
      <w:pPr>
        <w:ind w:right="160" w:firstLine="562"/>
        <w:spacing w:after="0" w:line="248" w:lineRule="auto"/>
        <w:rPr>
          <w:sz w:val="20"/>
          <w:szCs w:val="20"/>
          <w:color w:val="auto"/>
        </w:rPr>
      </w:pPr>
      <w:r>
        <w:rPr>
          <w:rFonts w:ascii="Arial" w:cs="Arial" w:eastAsia="Arial" w:hAnsi="Arial"/>
          <w:sz w:val="13"/>
          <w:szCs w:val="13"/>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72"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exposed to risks associated with changes in interest rates that may affect our cost of capital and net investment income.</w:t>
      </w:r>
    </w:p>
    <w:p>
      <w:pPr>
        <w:spacing w:after="0" w:line="96" w:lineRule="exact"/>
        <w:rPr>
          <w:sz w:val="20"/>
          <w:szCs w:val="20"/>
          <w:color w:val="auto"/>
        </w:rPr>
      </w:pPr>
    </w:p>
    <w:p>
      <w:pPr>
        <w:ind w:firstLine="562"/>
        <w:spacing w:after="0" w:line="226" w:lineRule="auto"/>
        <w:rPr>
          <w:sz w:val="20"/>
          <w:szCs w:val="20"/>
          <w:color w:val="auto"/>
        </w:rPr>
      </w:pPr>
      <w:r>
        <w:rPr>
          <w:rFonts w:ascii="Arial" w:cs="Arial" w:eastAsia="Arial" w:hAnsi="Arial"/>
          <w:sz w:val="14"/>
          <w:szCs w:val="14"/>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 Quantitative and Qualitative Disclosures about Market Risk” for more information.</w:t>
      </w:r>
    </w:p>
    <w:p>
      <w:pPr>
        <w:spacing w:after="0" w:line="80"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75"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Facility,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financial condition and results of operation depend on our ability to manage future growth effectively.</w:t>
      </w:r>
    </w:p>
    <w:p>
      <w:pPr>
        <w:spacing w:after="0" w:line="96" w:lineRule="exact"/>
        <w:rPr>
          <w:sz w:val="20"/>
          <w:szCs w:val="20"/>
          <w:color w:val="auto"/>
        </w:rPr>
      </w:pPr>
    </w:p>
    <w:p>
      <w:pPr>
        <w:jc w:val="both"/>
        <w:ind w:right="40" w:firstLine="562"/>
        <w:spacing w:after="0" w:line="238" w:lineRule="auto"/>
        <w:rPr>
          <w:sz w:val="20"/>
          <w:szCs w:val="20"/>
          <w:color w:val="auto"/>
        </w:rPr>
      </w:pPr>
      <w:r>
        <w:rPr>
          <w:rFonts w:ascii="Arial" w:cs="Arial" w:eastAsia="Arial" w:hAnsi="Arial"/>
          <w:sz w:val="14"/>
          <w:szCs w:val="14"/>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51" w:lineRule="auto"/>
        <w:rPr>
          <w:sz w:val="20"/>
          <w:szCs w:val="20"/>
          <w:color w:val="auto"/>
        </w:rPr>
      </w:pPr>
      <w:r>
        <w:rPr>
          <w:rFonts w:ascii="Arial" w:cs="Arial" w:eastAsia="Arial" w:hAnsi="Arial"/>
          <w:sz w:val="13"/>
          <w:szCs w:val="13"/>
          <w:color w:val="auto"/>
        </w:rPr>
        <w:t>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highly dependent on information systems and systems failures could have a material adverse effect on our business, financial condition and results of operations.</w:t>
      </w:r>
    </w:p>
    <w:p>
      <w:pPr>
        <w:spacing w:after="0" w:line="107" w:lineRule="exact"/>
        <w:rPr>
          <w:sz w:val="20"/>
          <w:szCs w:val="20"/>
          <w:color w:val="auto"/>
        </w:rPr>
      </w:pPr>
    </w:p>
    <w:p>
      <w:pPr>
        <w:ind w:right="400" w:firstLine="562"/>
        <w:spacing w:after="0" w:line="238" w:lineRule="auto"/>
        <w:rPr>
          <w:sz w:val="20"/>
          <w:szCs w:val="20"/>
          <w:color w:val="auto"/>
        </w:rPr>
      </w:pPr>
      <w:r>
        <w:rPr>
          <w:rFonts w:ascii="Arial" w:cs="Arial" w:eastAsia="Arial" w:hAnsi="Arial"/>
          <w:sz w:val="14"/>
          <w:szCs w:val="14"/>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replicate the historical performance of other investment companies and funds with which our senior and other investment professionals have been affiliated.</w:t>
      </w:r>
    </w:p>
    <w:p>
      <w:pPr>
        <w:spacing w:after="0" w:line="107" w:lineRule="exact"/>
        <w:rPr>
          <w:sz w:val="20"/>
          <w:szCs w:val="20"/>
          <w:color w:val="auto"/>
        </w:rPr>
      </w:pPr>
    </w:p>
    <w:p>
      <w:pPr>
        <w:jc w:val="both"/>
        <w:ind w:right="40" w:firstLine="562"/>
        <w:spacing w:after="0" w:line="248" w:lineRule="auto"/>
        <w:rPr>
          <w:sz w:val="20"/>
          <w:szCs w:val="20"/>
          <w:color w:val="auto"/>
        </w:rPr>
      </w:pPr>
      <w:r>
        <w:rPr>
          <w:rFonts w:ascii="Arial" w:cs="Arial" w:eastAsia="Arial" w:hAnsi="Arial"/>
          <w:sz w:val="13"/>
          <w:szCs w:val="13"/>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failure on our part to maintain our status as a BDC would reduce our operating flexibility.</w:t>
      </w:r>
    </w:p>
    <w:p>
      <w:pPr>
        <w:spacing w:after="0" w:line="96" w:lineRule="exact"/>
        <w:rPr>
          <w:sz w:val="20"/>
          <w:szCs w:val="20"/>
          <w:color w:val="auto"/>
        </w:rPr>
      </w:pPr>
    </w:p>
    <w:p>
      <w:pPr>
        <w:ind w:right="120" w:firstLine="562"/>
        <w:spacing w:after="0" w:line="290" w:lineRule="auto"/>
        <w:rPr>
          <w:sz w:val="20"/>
          <w:szCs w:val="20"/>
          <w:color w:val="auto"/>
        </w:rPr>
      </w:pPr>
      <w:r>
        <w:rPr>
          <w:rFonts w:ascii="Arial" w:cs="Arial" w:eastAsia="Arial" w:hAnsi="Arial"/>
          <w:sz w:val="13"/>
          <w:szCs w:val="13"/>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of RIC tax status would substantially reduce our net assets and income available for debt service and distributions.</w:t>
      </w:r>
    </w:p>
    <w:p>
      <w:pPr>
        <w:spacing w:after="0" w:line="96" w:lineRule="exact"/>
        <w:rPr>
          <w:sz w:val="20"/>
          <w:szCs w:val="20"/>
          <w:color w:val="auto"/>
        </w:rPr>
      </w:pPr>
    </w:p>
    <w:p>
      <w:pPr>
        <w:ind w:right="60" w:firstLine="562"/>
        <w:spacing w:after="0" w:line="244" w:lineRule="auto"/>
        <w:rPr>
          <w:sz w:val="20"/>
          <w:szCs w:val="20"/>
          <w:color w:val="auto"/>
        </w:rPr>
      </w:pPr>
      <w:r>
        <w:rPr>
          <w:rFonts w:ascii="Arial" w:cs="Arial" w:eastAsia="Arial" w:hAnsi="Arial"/>
          <w:sz w:val="13"/>
          <w:szCs w:val="13"/>
          <w:color w:val="auto"/>
        </w:rPr>
        <w:t>We have operated and continue to operate so as to maintain our election to be treated as a RIC under Subchapter M of the Code. If we meet the annual source of income, Diversification Tests, and Annual Distribution Requirement, we generally will not be subject to corporate-level income taxation on income we timely distribute, or deem to distribute, as dividends for U.S. federal income tax purposes to our stockholders. We would cease to qualify for such tax treatment if we were unable to comply with these requirements. In addition, we may have difficulty meeting our Annual Distribution Requirement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to our stockholders in respect of each calendar year of an amount at least equal to the sum of (1) 98% of our net ordinary income (subject to certain deferrals and elections) for the calendar year, (2) 98.2% of our capital gain net income (adjusted for certain ordinary losses) generally for the one-year period ending on October 31 of the calendar year plus (3) any net ordinary income or capital gain net income for preceding years that was not distributed during such years.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have difficulty paying our Annual Distribution Requirement if we recognize income before or without receiving cash representing such income.</w:t>
      </w:r>
    </w:p>
    <w:p>
      <w:pPr>
        <w:spacing w:after="0" w:line="96"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77"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75"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In some cases, we may recognize income before or without receiving cash representing such income. As a result, we may have difficulty meeting the Annual Distribution Requirement. Accordingly,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RIC tax status and thus be subject to corporate-level income tax.</w:t>
      </w:r>
    </w:p>
    <w:p>
      <w:pPr>
        <w:spacing w:after="0" w:line="77"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tax status as a RIC, we will need to raise additional capital to finance our growth. If funds are not available to us, we may need to curtail new investments, and our common stock value could decline.</w:t>
      </w:r>
    </w:p>
    <w:p>
      <w:pPr>
        <w:spacing w:after="0" w:line="6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In order to satisfy the requirements to be treated as a RIC for federal income tax purposes,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75"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As a BDC, we generally are required to meet a 200% asset coverage ratio of total assets to total senior securities, which includes all of our borrowings, exclusive of the SBA debentures pursuant to SEC exemptive relief,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76" w:lineRule="exact"/>
        <w:rPr>
          <w:sz w:val="20"/>
          <w:szCs w:val="20"/>
          <w:color w:val="auto"/>
        </w:rPr>
      </w:pPr>
    </w:p>
    <w:p>
      <w:pPr>
        <w:ind w:right="20" w:firstLine="562"/>
        <w:spacing w:after="0" w:line="255" w:lineRule="auto"/>
        <w:rPr>
          <w:sz w:val="20"/>
          <w:szCs w:val="20"/>
          <w:color w:val="auto"/>
        </w:rPr>
      </w:pPr>
      <w:r>
        <w:rPr>
          <w:rFonts w:ascii="Arial" w:cs="Arial" w:eastAsia="Arial" w:hAnsi="Arial"/>
          <w:sz w:val="13"/>
          <w:szCs w:val="13"/>
          <w:color w:val="auto"/>
        </w:rPr>
        <w:t>We are partially dependent on our SBIC Funds for cash distributions to enable us to meet the RIC distribution requirements. Our SBIC Funds may be limited by the SBA regulations governing SBICs from making certain distributions to us that may be necessary to fulfill our requirements to be treated as a RIC for federal income tax purposes. We may have to request a waiver of the SBA’s restrictions for our SBIC Funds to make certain distributions to enable us to be treated as a RIC for federal income tax purposes. We cannot assure you that the SBA will grant such waiver, and if our SBIC Funds are unable to obtain a waiver, compliance with the SBA regulations may cause us to incur corporate-level income tax.</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Regulations governing our operation as a BDC will affect our ability to, and the way in which we, raise additional capital.</w:t>
      </w:r>
    </w:p>
    <w:p>
      <w:pPr>
        <w:spacing w:after="0" w:line="96"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or through SBA debentures. However, we may not be able to raise additional capital in the future on favorable terms or at all. We may issue additional debt securities or preferred securities, which we refer to collectively as “senior securities,” and we may borrow money from banks, through the SBA debenture program or other financial institutions, up to the maximum amount permitted by the 1940 Act. Under the 1940 Act, the asset coverage ratio requirements permit us to issue senior securities or incur indebtedness subject to certain limitations, exclusive of the SBA debentures pursuant to our SEC exemptive relief.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damage our business, financial condition and results of operations.</w:t>
      </w:r>
    </w:p>
    <w:p>
      <w:pPr>
        <w:spacing w:after="0" w:line="89" w:lineRule="exact"/>
        <w:rPr>
          <w:sz w:val="20"/>
          <w:szCs w:val="20"/>
          <w:color w:val="auto"/>
        </w:rPr>
      </w:pPr>
    </w:p>
    <w:p>
      <w:pPr>
        <w:ind w:left="1000" w:right="80" w:hanging="331"/>
        <w:spacing w:after="0" w:line="251" w:lineRule="auto"/>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Senior Securities. </w:t>
      </w:r>
      <w:r>
        <w:rPr>
          <w:rFonts w:ascii="Arial" w:cs="Arial" w:eastAsia="Arial" w:hAnsi="Arial"/>
          <w:sz w:val="13"/>
          <w:szCs w:val="13"/>
          <w:color w:val="auto"/>
        </w:rPr>
        <w:t>As a result of issuing senior securities, including our Notes, we are exposed to typical risks associated with leverage, including an increased risk of loss. If 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82" w:lineRule="exact"/>
        <w:rPr>
          <w:rFonts w:ascii="Arial" w:cs="Arial" w:eastAsia="Arial" w:hAnsi="Arial"/>
          <w:sz w:val="13"/>
          <w:szCs w:val="13"/>
          <w:color w:val="auto"/>
        </w:rPr>
      </w:pPr>
    </w:p>
    <w:p>
      <w:pPr>
        <w:ind w:left="1000" w:right="20" w:hanging="331"/>
        <w:spacing w:after="0" w:line="242" w:lineRule="auto"/>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Additional Common Stock. </w:t>
      </w:r>
      <w:r>
        <w:rPr>
          <w:rFonts w:ascii="Arial" w:cs="Arial" w:eastAsia="Arial" w:hAnsi="Arial"/>
          <w:sz w:val="13"/>
          <w:szCs w:val="13"/>
          <w:color w:val="auto"/>
        </w:rPr>
        <w:t>Our board of directors may decide to issue common stock to finance our operations rather than issuing debt or other senior securities. As a BDC, 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an extensive process each quarter to determine the NAV per share of our common stock which cannot be completed in 48 hours. Such procedures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87" w:lineRule="exact"/>
        <w:rPr>
          <w:rFonts w:ascii="Arial" w:cs="Arial" w:eastAsia="Arial" w:hAnsi="Arial"/>
          <w:sz w:val="13"/>
          <w:szCs w:val="13"/>
          <w:color w:val="auto"/>
        </w:rPr>
      </w:pPr>
    </w:p>
    <w:p>
      <w:pPr>
        <w:ind w:left="1000" w:right="40" w:hanging="331"/>
        <w:spacing w:after="0" w:line="242" w:lineRule="auto"/>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Securitization. </w:t>
      </w:r>
      <w:r>
        <w:rPr>
          <w:rFonts w:ascii="Arial" w:cs="Arial" w:eastAsia="Arial" w:hAnsi="Arial"/>
          <w:sz w:val="13"/>
          <w:szCs w:val="13"/>
          <w:color w:val="auto"/>
        </w:rPr>
        <w:t>In addition to issuing securities to raise capital as described above, we anticipate that in the future, as market conditions permit, we may securitize our loans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90" w:lineRule="exact"/>
        <w:rPr>
          <w:rFonts w:ascii="Arial" w:cs="Arial" w:eastAsia="Arial" w:hAnsi="Arial"/>
          <w:sz w:val="13"/>
          <w:szCs w:val="13"/>
          <w:color w:val="auto"/>
        </w:rPr>
      </w:pPr>
    </w:p>
    <w:p>
      <w:pPr>
        <w:ind w:left="1000" w:right="40" w:hanging="331"/>
        <w:spacing w:after="0" w:line="233" w:lineRule="auto"/>
        <w:tabs>
          <w:tab w:leader="none" w:pos="1000" w:val="left"/>
        </w:tabs>
        <w:numPr>
          <w:ilvl w:val="0"/>
          <w:numId w:val="2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SBA Debentures. </w:t>
      </w:r>
      <w:r>
        <w:rPr>
          <w:rFonts w:ascii="Arial" w:cs="Arial" w:eastAsia="Arial" w:hAnsi="Arial"/>
          <w:sz w:val="14"/>
          <w:szCs w:val="14"/>
          <w:color w:val="auto"/>
        </w:rPr>
        <w:t>In addition to issuing securities and using securitizations to raise capital as described above, we have issued and may in the future issue, as permitted under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SBA regulations and through our wholly owned subsidiaries, SBIC I, SBIC II and any future SBIC subsidiary, SBA debentures to generate cash for funding new investments. To issue SBA debentures, we may request commitments for debt capital from the SBA. Our SBIC Funds are and any future SBIC subsidiary may be exposed to any losses on its portfolio of loans, however, such debentures are non-recourse to us.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SBIC Funds may be unable to make distributions to us that will enable us to meet or maintain RIC tax status.</w:t>
      </w:r>
    </w:p>
    <w:p>
      <w:pPr>
        <w:spacing w:after="0" w:line="96" w:lineRule="exact"/>
        <w:rPr>
          <w:sz w:val="20"/>
          <w:szCs w:val="20"/>
          <w:color w:val="auto"/>
        </w:rPr>
      </w:pPr>
    </w:p>
    <w:p>
      <w:pPr>
        <w:ind w:right="120" w:firstLine="562"/>
        <w:spacing w:after="0" w:line="229" w:lineRule="auto"/>
        <w:rPr>
          <w:sz w:val="20"/>
          <w:szCs w:val="20"/>
          <w:color w:val="auto"/>
        </w:rPr>
      </w:pPr>
      <w:r>
        <w:rPr>
          <w:rFonts w:ascii="Arial" w:cs="Arial" w:eastAsia="Arial" w:hAnsi="Arial"/>
          <w:sz w:val="14"/>
          <w:szCs w:val="14"/>
          <w:color w:val="auto"/>
        </w:rPr>
        <w:t>In order for us to continue to qualify for RIC tax treatment and to minimize corporate-level income taxes, we will be required to distribute substantially all of our consolidated investment company taxable income and capital gains net income, including income from our SBIC Funds, each taxable year as dividends to our stockholders. We will be partially dependent on our SBIC Funds for cash distributions to enable us to meet the RIC distribution requirements. Our SBIC Funds may be limited by SBA regulations governing SBICs from making certain distributions to us that may be necessary to maintain our status as a RIC. We may have to request a waiver of the SBA’s restrictions for our SBIC Funds to make certain distributions to maintain our RIC tax status. We cannot assure you that the SBA will grant such waiver and if our SBIC Funds are unable to obtain a waiver, compliance with the SBA regulations may result in corporate level income tax on us.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SBIC Funds are licensed by the SBA and are subject to SBA regulations.</w:t>
      </w:r>
    </w:p>
    <w:p>
      <w:pPr>
        <w:spacing w:after="0" w:line="96" w:lineRule="exact"/>
        <w:rPr>
          <w:sz w:val="20"/>
          <w:szCs w:val="20"/>
          <w:color w:val="auto"/>
        </w:rPr>
      </w:pPr>
    </w:p>
    <w:p>
      <w:pPr>
        <w:jc w:val="both"/>
        <w:ind w:right="20" w:firstLine="562"/>
        <w:spacing w:after="0" w:line="238" w:lineRule="auto"/>
        <w:rPr>
          <w:sz w:val="20"/>
          <w:szCs w:val="20"/>
          <w:color w:val="auto"/>
        </w:rPr>
      </w:pPr>
      <w:r>
        <w:rPr>
          <w:rFonts w:ascii="Arial" w:cs="Arial" w:eastAsia="Arial" w:hAnsi="Arial"/>
          <w:sz w:val="14"/>
          <w:szCs w:val="14"/>
          <w:color w:val="auto"/>
        </w:rPr>
        <w:t>Our wholly owned subsidiaries, SBIC I and SBIC II, received licenses to operate as SBICs under the 1958 Act and are regulated by the SBA. The SBA places certain limitations on the financing terms of investments by SBICs in portfolio companies and regulates the types of financings and prohibits investing in certain industries. Compliance with SBIC requirements may cause our SBIC Funds to make investments at lower rates in order to qualify investments under the SBA regulations.</w:t>
      </w:r>
    </w:p>
    <w:p>
      <w:pPr>
        <w:spacing w:after="0" w:line="75"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Further, SBA regulations require that a licensed SBIC be periodically examined and audited by the SBA to determine its compliance with the relevant regulations. If our SBIC Funds fail to comply with applicable regulations, the SBA could, depending on the severity of the violation, limit or prohibit their use of debentures, declare outstanding debentures immediately due and payable, and/or limit them from making new investments. In addition, the SBA could revoke or suspend our SBIC Funds’ licenses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Current SBA regulations limit the amount that any single SBIC may borrow to a maximum of $150.0 million, which is up to twice its regulatory capital, and a maximum of $350.0 million as part of a group of SBICs under common control.</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currently use borrowed funds to make investments and are exposed to the typical risks associated with leverage.</w:t>
      </w:r>
    </w:p>
    <w:p>
      <w:pPr>
        <w:spacing w:after="0" w:line="96" w:lineRule="exact"/>
        <w:rPr>
          <w:sz w:val="20"/>
          <w:szCs w:val="20"/>
          <w:color w:val="auto"/>
        </w:rPr>
      </w:pPr>
    </w:p>
    <w:p>
      <w:pPr>
        <w:jc w:val="both"/>
        <w:ind w:right="20" w:firstLine="562"/>
        <w:spacing w:after="0" w:line="264" w:lineRule="auto"/>
        <w:rPr>
          <w:sz w:val="20"/>
          <w:szCs w:val="20"/>
          <w:color w:val="auto"/>
        </w:rPr>
      </w:pPr>
      <w:r>
        <w:rPr>
          <w:rFonts w:ascii="Arial" w:cs="Arial" w:eastAsia="Arial" w:hAnsi="Arial"/>
          <w:sz w:val="13"/>
          <w:szCs w:val="13"/>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exclusive of the SBA debentures pursuant to SEC exemptive relief, and any cash that we use to service our indebtedness is not available for distribution to our common stockholders.</w:t>
      </w:r>
    </w:p>
    <w:p>
      <w:pPr>
        <w:spacing w:after="0" w:line="60" w:lineRule="exact"/>
        <w:rPr>
          <w:sz w:val="20"/>
          <w:szCs w:val="20"/>
          <w:color w:val="auto"/>
        </w:rPr>
      </w:pPr>
    </w:p>
    <w:p>
      <w:pPr>
        <w:ind w:right="340" w:firstLine="562"/>
        <w:spacing w:after="0" w:line="238" w:lineRule="auto"/>
        <w:rPr>
          <w:sz w:val="20"/>
          <w:szCs w:val="20"/>
          <w:color w:val="auto"/>
        </w:rPr>
      </w:pPr>
      <w:r>
        <w:rPr>
          <w:rFonts w:ascii="Arial" w:cs="Arial" w:eastAsia="Arial" w:hAnsi="Arial"/>
          <w:sz w:val="14"/>
          <w:szCs w:val="14"/>
          <w:color w:val="auto"/>
        </w:rPr>
        <w:t>Our current debt is governed by the terms of our Notes, Credit Facility and the SBA debentures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w:t>
      </w:r>
    </w:p>
    <w:p>
      <w:pPr>
        <w:spacing w:after="0" w:line="75"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Additionally, our SBIC Funds have received borrowed funds and may in the future receive funds from the SBA through its debenture program. In connection with the filing of its initial SBA license application, PennantPark Investment received exemptive relief, in 2011, from the SEC to permit us to exclude the debt of our SBIC Funds from our consolidated asset coverage ratio. Our ratio of total assets on a consolidated basis to outstanding indebtedness may be less than the applicable asset coverage ratio, which while providing increased investment flexibility, would also increase our exposure to risks associated with leverage.</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96" w:lineRule="exact"/>
        <w:rPr>
          <w:sz w:val="20"/>
          <w:szCs w:val="20"/>
          <w:color w:val="auto"/>
        </w:rPr>
      </w:pPr>
    </w:p>
    <w:p>
      <w:pPr>
        <w:ind w:right="120" w:firstLine="562"/>
        <w:spacing w:after="0" w:line="243" w:lineRule="auto"/>
        <w:rPr>
          <w:sz w:val="20"/>
          <w:szCs w:val="20"/>
          <w:color w:val="auto"/>
        </w:rPr>
      </w:pPr>
      <w:r>
        <w:rPr>
          <w:rFonts w:ascii="Arial" w:cs="Arial" w:eastAsia="Arial" w:hAnsi="Arial"/>
          <w:sz w:val="13"/>
          <w:szCs w:val="13"/>
          <w:color w:val="auto"/>
        </w:rPr>
        <w:t>We have indebtedness outstanding pursuant to our Notes, Credit Facility and SBA debentures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our SBIC Funds, in connection with our Credit Facility borrowings. In the case of a liquidation event, those lenders would receive proceeds before our stockholders. Additionally, the SBA, as a lender and an administrative agent, has a superior claim over the assets of our SBIC Funds in relation to our other creditors. Any future debt issuance will increase our leverage and may be subordinate to our Credit Facility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77" w:lineRule="exact"/>
        <w:rPr>
          <w:sz w:val="20"/>
          <w:szCs w:val="20"/>
          <w:color w:val="auto"/>
        </w:rPr>
      </w:pPr>
    </w:p>
    <w:p>
      <w:pPr>
        <w:ind w:right="40" w:firstLine="562"/>
        <w:spacing w:after="0" w:line="248" w:lineRule="auto"/>
        <w:rPr>
          <w:sz w:val="20"/>
          <w:szCs w:val="20"/>
          <w:color w:val="auto"/>
        </w:rPr>
      </w:pPr>
      <w:r>
        <w:rPr>
          <w:rFonts w:ascii="Arial" w:cs="Arial" w:eastAsia="Arial" w:hAnsi="Arial"/>
          <w:sz w:val="13"/>
          <w:szCs w:val="13"/>
          <w:color w:val="auto"/>
        </w:rPr>
        <w:t>As of September 30, 2016, we had outstanding borrowings of $50.3 million under our Credit Facility, $250.0 million outstanding under our 2019 Notes, $71.3 million outstanding under our 2025 Notes and $197.5 million outstanding under the SBA debentures. Our consolidated debt outstanding was $569.1 million and had a weighted average annual interest rate at the time of</w:t>
      </w:r>
    </w:p>
    <w:p>
      <w:pPr>
        <w:ind w:right="20"/>
        <w:spacing w:after="0" w:line="229" w:lineRule="auto"/>
        <w:rPr>
          <w:sz w:val="20"/>
          <w:szCs w:val="20"/>
          <w:color w:val="auto"/>
        </w:rPr>
      </w:pPr>
      <w:r>
        <w:rPr>
          <w:rFonts w:ascii="Arial" w:cs="Arial" w:eastAsia="Arial" w:hAnsi="Arial"/>
          <w:sz w:val="14"/>
          <w:szCs w:val="14"/>
          <w:color w:val="auto"/>
        </w:rPr>
        <w:t>4.20%, exclusive of the fee on undrawn commitment on our Credit Facility and 3.43% of upfront fees on the SBA debentures. To cover the annual interest on our borrowings of $569.1 million outstanding at September 30, 2016, at the weighted average annual rate of 4.20%, we would have to receive an annual yield of at least 1.97%.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76"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The following table is designed to illustrate the effect on the return to a holder of our common stock of the leverage created by our use of borrowing at September 30, 2016 of 45% of total assets (including such borrowed funds), at the weighted average rate at the time of 4.20%,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shd w:val="clear" w:color="auto" w:fill="CCEEFF"/>
          </w:tcPr>
          <w:p>
            <w:pPr>
              <w:spacing w:after="0"/>
              <w:rPr>
                <w:sz w:val="20"/>
                <w:szCs w:val="20"/>
                <w:color w:val="auto"/>
              </w:rPr>
            </w:pPr>
            <w:r>
              <w:rPr>
                <w:rFonts w:ascii="Arial" w:cs="Arial" w:eastAsia="Arial" w:hAnsi="Arial"/>
                <w:sz w:val="14"/>
                <w:szCs w:val="14"/>
                <w:color w:val="auto"/>
              </w:rPr>
              <w:t>Assumed return on portfolio (net of expenses)</w:t>
            </w:r>
            <w:r>
              <w:rPr>
                <w:rFonts w:ascii="Arial" w:cs="Arial" w:eastAsia="Arial" w:hAnsi="Arial"/>
                <w:sz w:val="12"/>
                <w:szCs w:val="12"/>
                <w:color w:val="auto"/>
              </w:rPr>
              <w:t>(1)</w:t>
            </w:r>
          </w:p>
        </w:tc>
        <w:tc>
          <w:tcPr>
            <w:tcW w:w="3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w:t>
            </w:r>
          </w:p>
        </w:tc>
        <w:tc>
          <w:tcPr>
            <w:tcW w:w="6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82"/>
        </w:trPr>
        <w:tc>
          <w:tcPr>
            <w:tcW w:w="5460" w:type="dxa"/>
            <w:vAlign w:val="bottom"/>
          </w:tcPr>
          <w:p>
            <w:pPr>
              <w:spacing w:after="0"/>
              <w:rPr>
                <w:sz w:val="20"/>
                <w:szCs w:val="20"/>
                <w:color w:val="auto"/>
              </w:rPr>
            </w:pPr>
            <w:r>
              <w:rPr>
                <w:rFonts w:ascii="Arial" w:cs="Arial" w:eastAsia="Arial" w:hAnsi="Arial"/>
                <w:sz w:val="14"/>
                <w:szCs w:val="14"/>
                <w:color w:val="auto"/>
              </w:rPr>
              <w:t>Corresponding return to common stockholders</w:t>
            </w:r>
            <w:r>
              <w:rPr>
                <w:rFonts w:ascii="Arial" w:cs="Arial" w:eastAsia="Arial" w:hAnsi="Arial"/>
                <w:sz w:val="12"/>
                <w:szCs w:val="12"/>
                <w:color w:val="auto"/>
              </w:rPr>
              <w:t>(2)</w:t>
            </w:r>
          </w:p>
        </w:tc>
        <w:tc>
          <w:tcPr>
            <w:tcW w:w="3220" w:type="dxa"/>
            <w:vAlign w:val="bottom"/>
          </w:tcPr>
          <w:p>
            <w:pPr>
              <w:jc w:val="right"/>
              <w:ind w:right="68"/>
              <w:spacing w:after="0"/>
              <w:rPr>
                <w:sz w:val="20"/>
                <w:szCs w:val="20"/>
                <w:color w:val="auto"/>
              </w:rPr>
            </w:pPr>
            <w:r>
              <w:rPr>
                <w:rFonts w:ascii="Arial" w:cs="Arial" w:eastAsia="Arial" w:hAnsi="Arial"/>
                <w:sz w:val="14"/>
                <w:szCs w:val="14"/>
                <w:color w:val="auto"/>
              </w:rPr>
              <w:t>(23.1)%</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(13.4)%</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(3.7)%</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6.0%</w:t>
            </w:r>
          </w:p>
        </w:tc>
        <w:tc>
          <w:tcPr>
            <w:tcW w:w="560" w:type="dxa"/>
            <w:vAlign w:val="bottom"/>
          </w:tcPr>
          <w:p>
            <w:pPr>
              <w:jc w:val="right"/>
              <w:spacing w:after="0"/>
              <w:rPr>
                <w:sz w:val="20"/>
                <w:szCs w:val="20"/>
                <w:color w:val="auto"/>
              </w:rPr>
            </w:pPr>
            <w:r>
              <w:rPr>
                <w:rFonts w:ascii="Arial" w:cs="Arial" w:eastAsia="Arial" w:hAnsi="Arial"/>
                <w:sz w:val="14"/>
                <w:szCs w:val="14"/>
                <w:color w:val="auto"/>
              </w:rPr>
              <w:t>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18516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16" w:lineRule="exact"/>
        <w:rPr>
          <w:sz w:val="20"/>
          <w:szCs w:val="20"/>
          <w:color w:val="auto"/>
        </w:rPr>
      </w:pPr>
    </w:p>
    <w:p>
      <w:pPr>
        <w:ind w:left="560" w:hanging="552"/>
        <w:spacing w:after="0"/>
        <w:tabs>
          <w:tab w:leader="none" w:pos="560" w:val="left"/>
        </w:tabs>
        <w:numPr>
          <w:ilvl w:val="0"/>
          <w:numId w:val="22"/>
        </w:numPr>
        <w:rPr>
          <w:rFonts w:ascii="Arial" w:cs="Arial" w:eastAsia="Arial" w:hAnsi="Arial"/>
          <w:sz w:val="12"/>
          <w:szCs w:val="12"/>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560" w:right="20" w:hanging="552"/>
        <w:spacing w:after="0" w:line="255" w:lineRule="auto"/>
        <w:tabs>
          <w:tab w:leader="none" w:pos="560" w:val="left"/>
        </w:tabs>
        <w:numPr>
          <w:ilvl w:val="0"/>
          <w:numId w:val="22"/>
        </w:numPr>
        <w:rPr>
          <w:rFonts w:ascii="Arial" w:cs="Arial" w:eastAsia="Arial" w:hAnsi="Arial"/>
          <w:sz w:val="11"/>
          <w:szCs w:val="11"/>
          <w:color w:val="auto"/>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preferred stock, which would magnify the potential for loss and the risks of investing in us.</w:t>
      </w:r>
    </w:p>
    <w:p>
      <w:pPr>
        <w:spacing w:after="0" w:line="96" w:lineRule="exact"/>
        <w:rPr>
          <w:sz w:val="20"/>
          <w:szCs w:val="20"/>
          <w:color w:val="auto"/>
        </w:rPr>
      </w:pPr>
    </w:p>
    <w:p>
      <w:pPr>
        <w:ind w:right="20" w:firstLine="562"/>
        <w:spacing w:after="0" w:line="248" w:lineRule="auto"/>
        <w:rPr>
          <w:sz w:val="20"/>
          <w:szCs w:val="20"/>
          <w:color w:val="auto"/>
        </w:rPr>
      </w:pPr>
      <w:r>
        <w:rPr>
          <w:rFonts w:ascii="Arial" w:cs="Arial" w:eastAsia="Arial" w:hAnsi="Arial"/>
          <w:sz w:val="13"/>
          <w:szCs w:val="13"/>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debt securities, which would magnify the potential for loss and the risks of investing in us.</w:t>
      </w:r>
    </w:p>
    <w:p>
      <w:pPr>
        <w:spacing w:after="0" w:line="96" w:lineRule="exact"/>
        <w:rPr>
          <w:sz w:val="20"/>
          <w:szCs w:val="20"/>
          <w:color w:val="auto"/>
        </w:rPr>
      </w:pPr>
    </w:p>
    <w:p>
      <w:pPr>
        <w:ind w:right="20" w:firstLine="562"/>
        <w:spacing w:after="0" w:line="251" w:lineRule="auto"/>
        <w:rPr>
          <w:sz w:val="20"/>
          <w:szCs w:val="20"/>
          <w:color w:val="auto"/>
        </w:rPr>
      </w:pPr>
      <w:r>
        <w:rPr>
          <w:rFonts w:ascii="Arial" w:cs="Arial" w:eastAsia="Arial" w:hAnsi="Arial"/>
          <w:sz w:val="13"/>
          <w:szCs w:val="13"/>
          <w:color w:val="auto"/>
        </w:rPr>
        <w:t>As a result of the issuance of our Notes and SBA debentures, we are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credit ratings may not reflect all risks of an investment in our debt securities.</w:t>
      </w:r>
    </w:p>
    <w:p>
      <w:pPr>
        <w:spacing w:after="0" w:line="96" w:lineRule="exact"/>
        <w:rPr>
          <w:sz w:val="20"/>
          <w:szCs w:val="20"/>
          <w:color w:val="auto"/>
        </w:rPr>
      </w:pPr>
    </w:p>
    <w:p>
      <w:pPr>
        <w:jc w:val="both"/>
        <w:ind w:right="120" w:firstLine="562"/>
        <w:spacing w:after="0" w:line="238" w:lineRule="auto"/>
        <w:rPr>
          <w:sz w:val="20"/>
          <w:szCs w:val="20"/>
          <w:color w:val="auto"/>
        </w:rPr>
      </w:pPr>
      <w:r>
        <w:rPr>
          <w:rFonts w:ascii="Arial" w:cs="Arial" w:eastAsia="Arial" w:hAnsi="Arial"/>
          <w:sz w:val="14"/>
          <w:szCs w:val="14"/>
          <w:color w:val="auto"/>
        </w:rPr>
        <w:t>Our credit ratings, if any, are an assessment of our ability to pay our obligations. Consequently, real or anticipated changes in our credit ratings will generally affect the market value of our publicly issued debt securities. Our credit ratings, generally may not reflect the potential impact of risks related to market conditions or other factors discussed above on the market value of, or trading market for, any publicly issued debt securities.</w:t>
      </w:r>
    </w:p>
    <w:p>
      <w:pPr>
        <w:spacing w:after="0" w:line="75"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b w:val="1"/>
          <w:bCs w:val="1"/>
          <w:i w:val="1"/>
          <w:iCs w:val="1"/>
          <w:color w:val="auto"/>
        </w:rPr>
        <w:t>A downgrade, suspension or withdrawal of the credit rating assigned by a rating agency to us or our Notes, if any, or change in the debt markets could cause the liquidity or market value of our Notes to decline significantly.</w:t>
      </w:r>
    </w:p>
    <w:p>
      <w:pPr>
        <w:spacing w:after="0" w:line="66" w:lineRule="exact"/>
        <w:rPr>
          <w:sz w:val="20"/>
          <w:szCs w:val="20"/>
          <w:color w:val="auto"/>
        </w:rPr>
      </w:pPr>
    </w:p>
    <w:p>
      <w:pPr>
        <w:ind w:firstLine="562"/>
        <w:spacing w:after="0" w:line="228" w:lineRule="auto"/>
        <w:rPr>
          <w:sz w:val="20"/>
          <w:szCs w:val="20"/>
          <w:color w:val="auto"/>
        </w:rPr>
      </w:pPr>
      <w:r>
        <w:rPr>
          <w:rFonts w:ascii="Arial" w:cs="Arial" w:eastAsia="Arial" w:hAnsi="Arial"/>
          <w:sz w:val="14"/>
          <w:szCs w:val="14"/>
          <w:color w:val="auto"/>
        </w:rPr>
        <w:t>Our credit ratings are an assessment by rating agencies of our ability to pay our debts when they come due. Consequently, real or anticipated changes in our credit ratings will generally affect the market value of our Notes. These credit ratings may not reflect the potential impact of risks relating to the structure or marketing of our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our Notes of any changes in our credit ratings. The 2019 Notes are rated by Standard &amp; Poor’s Ratings Services, or S&amp;P, and Fitch Ratings, or Fitch. There can be no assurance that their respective credit ratings will remain for any given period of time or that such credit ratings will not be lowered or withdrawn entirely by S&amp;P or Fitch if in either of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107" w:lineRule="exact"/>
        <w:rPr>
          <w:sz w:val="20"/>
          <w:szCs w:val="20"/>
          <w:color w:val="auto"/>
        </w:rPr>
      </w:pPr>
    </w:p>
    <w:p>
      <w:pPr>
        <w:ind w:firstLine="562"/>
        <w:spacing w:after="0" w:line="226" w:lineRule="auto"/>
        <w:rPr>
          <w:sz w:val="20"/>
          <w:szCs w:val="20"/>
          <w:color w:val="auto"/>
        </w:rPr>
      </w:pPr>
      <w:r>
        <w:rPr>
          <w:rFonts w:ascii="Arial" w:cs="Arial" w:eastAsia="Arial" w:hAnsi="Arial"/>
          <w:sz w:val="14"/>
          <w:szCs w:val="14"/>
          <w:color w:val="auto"/>
        </w:rPr>
        <w:t>Our Credit Facility expires and our 2019 Notes mature in June and October 2019, respectively. We utilize proceeds from the Credit Facility and our 2019 Notes to make investments in our portfolio companies. The duration of many of our investments exceeds the duration of our indebtedness under our Credit Facility and 2019 Notes. This means that we will have to extend the maturity of our Credit Facility or refinance our indebtedness in order to avoid selling investments at maturity of any of our debt investments, at which time such sales may be at prices that are disadvantageous to us, which could materially damage our business. In addition, future market conditions may affect our ability to extend or refinance our Credit Facility and 2019 Notes on terms as favorable as those in our existing indebtedness.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are significant potential conflicts of interest which could impact our investment returns.</w:t>
      </w:r>
    </w:p>
    <w:p>
      <w:pPr>
        <w:spacing w:after="0" w:line="96" w:lineRule="exact"/>
        <w:rPr>
          <w:sz w:val="20"/>
          <w:szCs w:val="20"/>
          <w:color w:val="auto"/>
        </w:rPr>
      </w:pPr>
    </w:p>
    <w:p>
      <w:pPr>
        <w:ind w:right="80" w:firstLine="562"/>
        <w:spacing w:after="0" w:line="243" w:lineRule="auto"/>
        <w:rPr>
          <w:sz w:val="20"/>
          <w:szCs w:val="20"/>
          <w:color w:val="auto"/>
        </w:rPr>
      </w:pPr>
      <w:r>
        <w:rPr>
          <w:rFonts w:ascii="Arial" w:cs="Arial" w:eastAsia="Arial" w:hAnsi="Arial"/>
          <w:sz w:val="13"/>
          <w:szCs w:val="13"/>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controlled affiliates and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and our allocation procedures.</w:t>
      </w:r>
    </w:p>
    <w:p>
      <w:pPr>
        <w:spacing w:after="0" w:line="77"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77"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We have entered into a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76" w:lineRule="exact"/>
        <w:rPr>
          <w:sz w:val="20"/>
          <w:szCs w:val="20"/>
          <w:color w:val="auto"/>
        </w:rPr>
      </w:pPr>
    </w:p>
    <w:p>
      <w:pPr>
        <w:ind w:right="420" w:firstLine="562"/>
        <w:spacing w:after="0" w:line="238" w:lineRule="auto"/>
        <w:rPr>
          <w:sz w:val="20"/>
          <w:szCs w:val="20"/>
          <w:color w:val="auto"/>
        </w:rPr>
      </w:pPr>
      <w:r>
        <w:rPr>
          <w:rFonts w:ascii="Arial" w:cs="Arial" w:eastAsia="Arial" w:hAnsi="Arial"/>
          <w:sz w:val="14"/>
          <w:szCs w:val="14"/>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experience fluctuations in our quarterly results.</w:t>
      </w:r>
    </w:p>
    <w:p>
      <w:pPr>
        <w:spacing w:after="0" w:line="96" w:lineRule="exact"/>
        <w:rPr>
          <w:sz w:val="20"/>
          <w:szCs w:val="20"/>
          <w:color w:val="auto"/>
        </w:rPr>
      </w:pPr>
    </w:p>
    <w:p>
      <w:pPr>
        <w:ind w:right="100" w:firstLine="562"/>
        <w:spacing w:after="0" w:line="248" w:lineRule="auto"/>
        <w:rPr>
          <w:sz w:val="20"/>
          <w:szCs w:val="20"/>
          <w:color w:val="auto"/>
        </w:rPr>
      </w:pPr>
      <w:r>
        <w:rPr>
          <w:rFonts w:ascii="Arial" w:cs="Arial" w:eastAsia="Arial" w:hAnsi="Arial"/>
          <w:sz w:val="13"/>
          <w:szCs w:val="13"/>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and our Notes,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Credit Facility and our Notes. This is expected to mitigate volatility in our earnings and NAV. As a result of these factors, results for any period should not be relied upon as being indicative of performance in future periods.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Holders of any preferred stock that we may issue will have the right to elect members of the board of directors and have class voting rights on certain matters.</w:t>
      </w:r>
    </w:p>
    <w:p>
      <w:pPr>
        <w:spacing w:after="0" w:line="96"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 the future issue securities for which there is no public market and for which we expect no public market to develop.</w:t>
      </w:r>
    </w:p>
    <w:p>
      <w:pPr>
        <w:spacing w:after="0" w:line="96"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issue preferred stock, other debt securities, convertible debt securities or units, the NAV and market value of our common stock may become more volatile.</w:t>
      </w:r>
    </w:p>
    <w:p>
      <w:pPr>
        <w:spacing w:after="0" w:line="96"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We cannot assure you that the issuance of preferred stock and/or debt securities would result in a higher yield or return to the holders of our common stock. The issuance of preferred stock, debt securities, convertible debt or units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71" w:lineRule="exact"/>
        <w:rPr>
          <w:sz w:val="20"/>
          <w:szCs w:val="20"/>
          <w:color w:val="auto"/>
        </w:rPr>
      </w:pPr>
    </w:p>
    <w:p>
      <w:pPr>
        <w:ind w:right="20" w:firstLine="562"/>
        <w:spacing w:after="0" w:line="228" w:lineRule="auto"/>
        <w:rPr>
          <w:sz w:val="20"/>
          <w:szCs w:val="20"/>
          <w:color w:val="auto"/>
        </w:rPr>
      </w:pPr>
      <w:r>
        <w:rPr>
          <w:rFonts w:ascii="Arial" w:cs="Arial" w:eastAsia="Arial" w:hAnsi="Arial"/>
          <w:sz w:val="14"/>
          <w:szCs w:val="14"/>
          <w:color w:val="auto"/>
        </w:rPr>
        <w:t>There is also a risk that, in the event of a sharp decline in the value of our net assets, we would be in danger of failing to maintain required asset coverage ratios or other covenants which may be required by the preferred stock, debt securities, convertible debt or risk a downgrade in the ratings of the preferred stock, debt securities, convertible debt or units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convertible debt or units.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units may have different interests than holders of common stock and may at times have disproportionate influence over our business.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trading market or market value of any publicly issued debt or convertible debt securities may be volatile.</w:t>
      </w:r>
    </w:p>
    <w:p>
      <w:pPr>
        <w:spacing w:after="0" w:line="96" w:lineRule="exact"/>
        <w:rPr>
          <w:sz w:val="20"/>
          <w:szCs w:val="20"/>
          <w:color w:val="auto"/>
        </w:rPr>
      </w:pPr>
    </w:p>
    <w:p>
      <w:pPr>
        <w:ind w:right="280" w:firstLine="562"/>
        <w:spacing w:after="0" w:line="238" w:lineRule="auto"/>
        <w:rPr>
          <w:sz w:val="20"/>
          <w:szCs w:val="20"/>
          <w:color w:val="auto"/>
        </w:rPr>
      </w:pPr>
      <w:r>
        <w:rPr>
          <w:rFonts w:ascii="Arial" w:cs="Arial" w:eastAsia="Arial" w:hAnsi="Arial"/>
          <w:sz w:val="14"/>
          <w:szCs w:val="14"/>
          <w:color w:val="auto"/>
        </w:rPr>
        <w:t>If we publicly issue debt or convertible debt securities, such as the 2025 Notes,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These factors include the following:</w:t>
      </w:r>
    </w:p>
    <w:p>
      <w:pPr>
        <w:spacing w:after="0" w:line="109" w:lineRule="exact"/>
        <w:rPr>
          <w:sz w:val="20"/>
          <w:szCs w:val="20"/>
          <w:color w:val="auto"/>
        </w:rPr>
      </w:pPr>
    </w:p>
    <w:p>
      <w:pPr>
        <w:ind w:left="1000" w:hanging="331"/>
        <w:spacing w:after="0"/>
        <w:tabs>
          <w:tab w:leader="none" w:pos="10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time remaining to the maturity of these debt securities;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outstanding principal amount of debt securities with terms identical or similar to these debt securities;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supply of debt securities trading in the secondary market, if any;</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redemption, repayment or convertible features, if any, of these debt securities;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level, direction and volatility of market interest rates; and</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market rates of interest higher or lower than rates borne by the debt securities.</w:t>
      </w:r>
    </w:p>
    <w:p>
      <w:pPr>
        <w:spacing w:after="0" w:line="96"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relating to debt redemption may have a material adverse effect on the return on any debt securities.</w:t>
      </w:r>
    </w:p>
    <w:p>
      <w:pPr>
        <w:spacing w:after="0" w:line="96"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issue subscription rights or warrants for our common stock, your interest in us may be diluted as a result of such rights or warrants offering.</w:t>
      </w:r>
    </w:p>
    <w:p>
      <w:pPr>
        <w:spacing w:after="0" w:line="96" w:lineRule="exact"/>
        <w:rPr>
          <w:sz w:val="20"/>
          <w:szCs w:val="20"/>
          <w:color w:val="auto"/>
        </w:rPr>
      </w:pPr>
    </w:p>
    <w:p>
      <w:pPr>
        <w:jc w:val="both"/>
        <w:ind w:right="100" w:firstLine="562"/>
        <w:spacing w:after="0" w:line="238" w:lineRule="auto"/>
        <w:rPr>
          <w:sz w:val="20"/>
          <w:szCs w:val="20"/>
          <w:color w:val="auto"/>
        </w:rPr>
      </w:pPr>
      <w:r>
        <w:rPr>
          <w:rFonts w:ascii="Arial" w:cs="Arial" w:eastAsia="Arial" w:hAnsi="Arial"/>
          <w:sz w:val="14"/>
          <w:szCs w:val="14"/>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75"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impact of recent financial reform legislation on us is uncertain.</w:t>
      </w:r>
    </w:p>
    <w:p>
      <w:pPr>
        <w:spacing w:after="0" w:line="96" w:lineRule="exact"/>
        <w:rPr>
          <w:sz w:val="20"/>
          <w:szCs w:val="20"/>
          <w:color w:val="auto"/>
        </w:rPr>
      </w:pPr>
    </w:p>
    <w:p>
      <w:pPr>
        <w:ind w:right="140" w:firstLine="562"/>
        <w:spacing w:after="0" w:line="251" w:lineRule="auto"/>
        <w:rPr>
          <w:sz w:val="20"/>
          <w:szCs w:val="20"/>
          <w:color w:val="auto"/>
        </w:rPr>
      </w:pPr>
      <w:r>
        <w:rPr>
          <w:rFonts w:ascii="Arial" w:cs="Arial" w:eastAsia="Arial" w:hAnsi="Arial"/>
          <w:sz w:val="13"/>
          <w:szCs w:val="13"/>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became effective in 2010. Although many provisions of the Dodd-Frank Act have delayed effectiveness or will not become effective until the relevant federal agencies issue new rules to implement the Dodd-Frank Act, the Dodd-Frank Act may nevertheless have a material adverse impact on the financial services industry as a whole and on our business, financial condition and results of operations. Accordingly, we are continuing to evaluate the effect the Dodd-Frank Act or implementing its regulations will have on our business, financial condition and results of operations.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00"/>
          </w:cols>
          <w:pgMar w:left="320" w:top="459" w:right="3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laws or regulations governing our operations or those of our portfolio companies may adversely affect our business.</w:t>
      </w:r>
    </w:p>
    <w:p>
      <w:pPr>
        <w:spacing w:after="0" w:line="9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 material adverse effect on our business, financial condition and results of operations. See “Business—Regulation” for more information.</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board of directors may change our investment objectives, operating policies and strategies without prior notice or stockholder approval.</w:t>
      </w:r>
    </w:p>
    <w:p>
      <w:pPr>
        <w:spacing w:after="0" w:line="96"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risks associated with cybersecurity and cyber incidents.</w:t>
      </w:r>
    </w:p>
    <w:p>
      <w:pPr>
        <w:spacing w:after="0" w:line="96"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THE ILLIQUID NATURE OF OUR PORTFOLIO ASSETS</w:t>
      </w:r>
    </w:p>
    <w:p>
      <w:pPr>
        <w:spacing w:after="0" w:line="100"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6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 820. 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71" w:lineRule="exact"/>
        <w:rPr>
          <w:sz w:val="20"/>
          <w:szCs w:val="20"/>
          <w:color w:val="auto"/>
        </w:rPr>
      </w:pPr>
    </w:p>
    <w:p>
      <w:pPr>
        <w:ind w:right="140" w:firstLine="562"/>
        <w:spacing w:after="0" w:line="248" w:lineRule="auto"/>
        <w:rPr>
          <w:sz w:val="20"/>
          <w:szCs w:val="20"/>
          <w:color w:val="auto"/>
        </w:rPr>
      </w:pPr>
      <w:r>
        <w:rPr>
          <w:rFonts w:ascii="Arial" w:cs="Arial" w:eastAsia="Arial" w:hAnsi="Arial"/>
          <w:sz w:val="13"/>
          <w:szCs w:val="13"/>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72" w:lineRule="exact"/>
        <w:rPr>
          <w:sz w:val="20"/>
          <w:szCs w:val="20"/>
          <w:color w:val="auto"/>
        </w:rPr>
      </w:pPr>
    </w:p>
    <w:p>
      <w:pPr>
        <w:ind w:right="80" w:firstLine="562"/>
        <w:spacing w:after="0" w:line="248" w:lineRule="auto"/>
        <w:rPr>
          <w:sz w:val="20"/>
          <w:szCs w:val="20"/>
          <w:color w:val="auto"/>
        </w:rPr>
      </w:pPr>
      <w:r>
        <w:rPr>
          <w:rFonts w:ascii="Arial" w:cs="Arial" w:eastAsia="Arial" w:hAnsi="Arial"/>
          <w:sz w:val="13"/>
          <w:szCs w:val="13"/>
          <w:color w:val="auto"/>
        </w:rPr>
        <w:t>All of our investments were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lack of liquidity in our investments may adversely affect our business.</w:t>
      </w:r>
    </w:p>
    <w:p>
      <w:pPr>
        <w:spacing w:after="0" w:line="96" w:lineRule="exact"/>
        <w:rPr>
          <w:sz w:val="20"/>
          <w:szCs w:val="20"/>
          <w:color w:val="auto"/>
        </w:rPr>
      </w:pPr>
    </w:p>
    <w:p>
      <w:pPr>
        <w:jc w:val="both"/>
        <w:ind w:firstLine="562"/>
        <w:spacing w:after="0" w:line="238" w:lineRule="auto"/>
        <w:rPr>
          <w:sz w:val="20"/>
          <w:szCs w:val="20"/>
          <w:color w:val="auto"/>
        </w:rPr>
      </w:pPr>
      <w:r>
        <w:rPr>
          <w:rFonts w:ascii="Arial" w:cs="Arial" w:eastAsia="Arial" w:hAnsi="Arial"/>
          <w:sz w:val="14"/>
          <w:szCs w:val="14"/>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75"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77" w:lineRule="exact"/>
        <w:rPr>
          <w:sz w:val="20"/>
          <w:szCs w:val="20"/>
          <w:color w:val="auto"/>
        </w:rPr>
      </w:pPr>
    </w:p>
    <w:p>
      <w:pPr>
        <w:jc w:val="both"/>
        <w:ind w:right="180" w:firstLine="562"/>
        <w:spacing w:after="0" w:line="264" w:lineRule="auto"/>
        <w:rPr>
          <w:sz w:val="20"/>
          <w:szCs w:val="20"/>
          <w:color w:val="auto"/>
        </w:rPr>
      </w:pPr>
      <w:r>
        <w:rPr>
          <w:rFonts w:ascii="Arial" w:cs="Arial" w:eastAsia="Arial" w:hAnsi="Arial"/>
          <w:sz w:val="13"/>
          <w:szCs w:val="13"/>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general disruption in the credit markets could materially damage our business.</w:t>
      </w:r>
    </w:p>
    <w:p>
      <w:pPr>
        <w:spacing w:after="0" w:line="96"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We are susceptible to the risk of significant loss if we are forced to discount the value of our investments in order to provide liquidity to meet our debt maturities. Our borrowings under our Credit Facility are collateralized by the assets in our investment portfolio (excluding assets held by our SBIC Funds).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77"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invest in over-the-counter securities, which have and may continue to face liquidity constraints, to provide us with liquidity.</w:t>
      </w:r>
    </w:p>
    <w:p>
      <w:pPr>
        <w:spacing w:after="0" w:line="96" w:lineRule="exact"/>
        <w:rPr>
          <w:sz w:val="20"/>
          <w:szCs w:val="20"/>
          <w:color w:val="auto"/>
        </w:rPr>
      </w:pPr>
    </w:p>
    <w:p>
      <w:pPr>
        <w:ind w:right="280" w:firstLine="562"/>
        <w:spacing w:after="0" w:line="253" w:lineRule="auto"/>
        <w:rPr>
          <w:sz w:val="20"/>
          <w:szCs w:val="20"/>
          <w:color w:val="auto"/>
        </w:rPr>
      </w:pPr>
      <w:r>
        <w:rPr>
          <w:rFonts w:ascii="Arial" w:cs="Arial" w:eastAsia="Arial" w:hAnsi="Arial"/>
          <w:sz w:val="14"/>
          <w:szCs w:val="14"/>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INVESTMENTS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in prospective portfolio companies may be risky, and you could lose all or part of your investment.</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intend to invest primarily in senior secured debt, mezzanine debt and selected equity investments issued by U.S. and foreign middle-market companies.</w:t>
      </w:r>
    </w:p>
    <w:p>
      <w:pPr>
        <w:spacing w:after="0" w:line="109" w:lineRule="exact"/>
        <w:rPr>
          <w:sz w:val="20"/>
          <w:szCs w:val="20"/>
          <w:color w:val="auto"/>
        </w:rPr>
      </w:pPr>
    </w:p>
    <w:p>
      <w:pPr>
        <w:ind w:left="1000" w:right="40" w:hanging="331"/>
        <w:spacing w:after="0" w:line="245" w:lineRule="auto"/>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Senior Secured Debt: </w:t>
      </w:r>
      <w:r>
        <w:rPr>
          <w:rFonts w:ascii="Arial" w:cs="Arial" w:eastAsia="Arial" w:hAnsi="Arial"/>
          <w:sz w:val="13"/>
          <w:szCs w:val="13"/>
          <w:color w:val="auto"/>
        </w:rPr>
        <w:t>When we extend senior secured debt, which we define to include first lien debt, we will generally take a security interest in the available assets of these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portfolio companies, including the equity interests of their subsidiaries, although this may not always be the case. We expect this security interest, if any, to help mitigate the risk that we will not be repaid. However, there is a risk that the collateral securing our debts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senior secured debt investment is secured does not guarantee that we will receive principal and interest payments according to the loan’s terms, or at all, or that we will be able to collect on the loan should we be forced to enforce our remedies.</w:t>
      </w:r>
    </w:p>
    <w:p>
      <w:pPr>
        <w:spacing w:after="0" w:line="88" w:lineRule="exact"/>
        <w:rPr>
          <w:rFonts w:ascii="Arial" w:cs="Arial" w:eastAsia="Arial" w:hAnsi="Arial"/>
          <w:sz w:val="13"/>
          <w:szCs w:val="13"/>
          <w:color w:val="auto"/>
        </w:rPr>
      </w:pPr>
    </w:p>
    <w:p>
      <w:pPr>
        <w:ind w:left="1000" w:right="20" w:hanging="331"/>
        <w:spacing w:after="0" w:line="229" w:lineRule="auto"/>
        <w:tabs>
          <w:tab w:leader="none" w:pos="1000" w:val="left"/>
        </w:tabs>
        <w:numPr>
          <w:ilvl w:val="0"/>
          <w:numId w:val="2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Mezzanine Debt: </w:t>
      </w:r>
      <w:r>
        <w:rPr>
          <w:rFonts w:ascii="Arial" w:cs="Arial" w:eastAsia="Arial" w:hAnsi="Arial"/>
          <w:sz w:val="14"/>
          <w:szCs w:val="14"/>
          <w:color w:val="auto"/>
        </w:rPr>
        <w:t>Our mezzanine debt investments, which we define to include second lien secured and subordinated debt, will generally be subordinated to senior secured debt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mezzanine debt investments, such investments may be of greater risk than cash paying loans.</w:t>
      </w:r>
    </w:p>
    <w:p>
      <w:pPr>
        <w:spacing w:after="0" w:line="90" w:lineRule="exact"/>
        <w:rPr>
          <w:rFonts w:ascii="Arial" w:cs="Arial" w:eastAsia="Arial" w:hAnsi="Arial"/>
          <w:sz w:val="14"/>
          <w:szCs w:val="14"/>
          <w:color w:val="auto"/>
        </w:rPr>
      </w:pPr>
    </w:p>
    <w:p>
      <w:pPr>
        <w:ind w:left="1000" w:right="40" w:hanging="331"/>
        <w:spacing w:after="0" w:line="247" w:lineRule="auto"/>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Equity Investments: </w:t>
      </w:r>
      <w:r>
        <w:rPr>
          <w:rFonts w:ascii="Arial" w:cs="Arial" w:eastAsia="Arial" w:hAnsi="Arial"/>
          <w:sz w:val="13"/>
          <w:szCs w:val="13"/>
          <w:color w:val="auto"/>
        </w:rPr>
        <w:t>We have made and expect to continue to make select equity investments, all of which are subordinated to debt investments. In addition, when we invest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senior secured debt or 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 we may pay taxes at regular corporate tax rates, which will reduce the amount on gains or dividends available for distributions to our stockholders.</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 addition, investing in middle-market companies involves a number of significant risks, including:</w:t>
      </w:r>
    </w:p>
    <w:p>
      <w:pPr>
        <w:spacing w:after="0" w:line="109" w:lineRule="exact"/>
        <w:rPr>
          <w:sz w:val="20"/>
          <w:szCs w:val="20"/>
          <w:color w:val="auto"/>
        </w:rPr>
      </w:pPr>
    </w:p>
    <w:p>
      <w:pPr>
        <w:ind w:left="1000" w:right="420" w:hanging="331"/>
        <w:spacing w:after="0" w:line="238" w:lineRule="auto"/>
        <w:tabs>
          <w:tab w:leader="none" w:pos="10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8" w:lineRule="exact"/>
        <w:rPr>
          <w:rFonts w:ascii="Arial" w:cs="Arial" w:eastAsia="Arial" w:hAnsi="Arial"/>
          <w:sz w:val="14"/>
          <w:szCs w:val="14"/>
          <w:color w:val="auto"/>
        </w:rPr>
      </w:pPr>
    </w:p>
    <w:p>
      <w:pPr>
        <w:ind w:left="1000" w:right="100" w:hanging="331"/>
        <w:spacing w:after="0" w:line="238" w:lineRule="auto"/>
        <w:tabs>
          <w:tab w:leader="none" w:pos="10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88" w:lineRule="exact"/>
        <w:rPr>
          <w:rFonts w:ascii="Arial" w:cs="Arial" w:eastAsia="Arial" w:hAnsi="Arial"/>
          <w:sz w:val="14"/>
          <w:szCs w:val="14"/>
          <w:color w:val="auto"/>
        </w:rPr>
      </w:pPr>
    </w:p>
    <w:p>
      <w:pPr>
        <w:ind w:left="1000" w:right="240" w:hanging="331"/>
        <w:spacing w:after="0" w:line="253" w:lineRule="auto"/>
        <w:tabs>
          <w:tab w:leader="none" w:pos="10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9" w:lineRule="exact"/>
        <w:rPr>
          <w:rFonts w:ascii="Arial" w:cs="Arial" w:eastAsia="Arial" w:hAnsi="Arial"/>
          <w:sz w:val="14"/>
          <w:szCs w:val="14"/>
          <w:color w:val="auto"/>
        </w:rPr>
      </w:pPr>
    </w:p>
    <w:p>
      <w:pPr>
        <w:ind w:left="1000" w:right="120" w:hanging="331"/>
        <w:spacing w:after="0" w:line="233" w:lineRule="auto"/>
        <w:tabs>
          <w:tab w:leader="none" w:pos="10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90" w:lineRule="exact"/>
        <w:rPr>
          <w:rFonts w:ascii="Arial" w:cs="Arial" w:eastAsia="Arial" w:hAnsi="Arial"/>
          <w:sz w:val="14"/>
          <w:szCs w:val="14"/>
          <w:color w:val="auto"/>
        </w:rPr>
      </w:pPr>
    </w:p>
    <w:p>
      <w:pPr>
        <w:ind w:left="1000" w:right="300" w:hanging="331"/>
        <w:spacing w:after="0" w:line="253" w:lineRule="auto"/>
        <w:tabs>
          <w:tab w:leader="none" w:pos="10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they may have difficulty accessing the capital markets to meet future capital needs, which may limit their ability to grow or to refinance their outstanding indebtedness upon maturity.</w:t>
      </w:r>
    </w:p>
    <w:p>
      <w:pPr>
        <w:spacing w:after="0" w:line="66" w:lineRule="exact"/>
        <w:rPr>
          <w:sz w:val="20"/>
          <w:szCs w:val="20"/>
          <w:color w:val="auto"/>
        </w:rPr>
      </w:pPr>
    </w:p>
    <w:p>
      <w:pPr>
        <w:ind w:right="220"/>
        <w:spacing w:after="0" w:line="253" w:lineRule="auto"/>
        <w:rPr>
          <w:sz w:val="20"/>
          <w:szCs w:val="20"/>
          <w:color w:val="auto"/>
        </w:rPr>
      </w:pPr>
      <w:r>
        <w:rPr>
          <w:rFonts w:ascii="Arial" w:cs="Arial" w:eastAsia="Arial" w:hAnsi="Arial"/>
          <w:sz w:val="14"/>
          <w:szCs w:val="14"/>
          <w:b w:val="1"/>
          <w:bCs w:val="1"/>
          <w:i w:val="1"/>
          <w:iCs w:val="1"/>
          <w:color w:val="auto"/>
        </w:rPr>
        <w:t>Under the 1940 Act we may invest up to 30% of our assets in investments that are not qualifying assets for business development companies. If we do not invest a sufficient portion of our assets in qualifying assets, we could be precluded from investing in assets that we deem to be attractive.</w:t>
      </w:r>
    </w:p>
    <w:p>
      <w:pPr>
        <w:spacing w:after="0" w:line="66"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77"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at the time of the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20"/>
          </w:cols>
          <w:pgMar w:left="32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66"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the Diversification Requirements, we do not have fixed guidelines for portfolio diversification, and our investments could be concentrated in relatively few portfolio companies or industries.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Economic recessions or downturns could impair our portfolio companies and harm our operating results.</w:t>
      </w:r>
    </w:p>
    <w:p>
      <w:pPr>
        <w:spacing w:after="0" w:line="96"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76" w:lineRule="exact"/>
        <w:rPr>
          <w:sz w:val="20"/>
          <w:szCs w:val="20"/>
          <w:color w:val="auto"/>
        </w:rPr>
      </w:pPr>
    </w:p>
    <w:p>
      <w:pPr>
        <w:ind w:right="40" w:firstLine="562"/>
        <w:spacing w:after="0" w:line="248" w:lineRule="auto"/>
        <w:rPr>
          <w:sz w:val="20"/>
          <w:szCs w:val="20"/>
          <w:color w:val="auto"/>
        </w:rPr>
      </w:pPr>
      <w:r>
        <w:rPr>
          <w:rFonts w:ascii="Arial" w:cs="Arial" w:eastAsia="Arial" w:hAnsi="Arial"/>
          <w:sz w:val="13"/>
          <w:szCs w:val="13"/>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make follow-on investments in our portfolio companies, this could materially impair the value of our portfolio.</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Following an initial investment in a portfolio company, we may make additional investments in that portfolio company as “follow-on” investments, in order to:</w:t>
      </w:r>
    </w:p>
    <w:p>
      <w:pPr>
        <w:spacing w:after="0" w:line="109" w:lineRule="exact"/>
        <w:rPr>
          <w:sz w:val="20"/>
          <w:szCs w:val="20"/>
          <w:color w:val="auto"/>
        </w:rPr>
      </w:pPr>
    </w:p>
    <w:p>
      <w:pPr>
        <w:ind w:left="1000" w:hanging="331"/>
        <w:spacing w:after="0"/>
        <w:tabs>
          <w:tab w:leader="none" w:pos="10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increase or maintain in whole or in part our equity ownership percentage;</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exercise warrants, options or convertible securities that were acquired in the original or subsequent financing; or</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attempt to preserve or enhance the value of our investment.</w:t>
      </w:r>
    </w:p>
    <w:p>
      <w:pPr>
        <w:spacing w:after="0" w:line="9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tax status.</w:t>
      </w:r>
    </w:p>
    <w:p>
      <w:pPr>
        <w:spacing w:after="0" w:line="76" w:lineRule="exact"/>
        <w:rPr>
          <w:sz w:val="20"/>
          <w:szCs w:val="20"/>
          <w:color w:val="auto"/>
        </w:rPr>
      </w:pPr>
    </w:p>
    <w:p>
      <w:pPr>
        <w:ind w:right="120"/>
        <w:spacing w:after="0" w:line="253" w:lineRule="auto"/>
        <w:rPr>
          <w:sz w:val="20"/>
          <w:szCs w:val="20"/>
          <w:color w:val="auto"/>
        </w:rPr>
      </w:pPr>
      <w:r>
        <w:rPr>
          <w:rFonts w:ascii="Arial" w:cs="Arial" w:eastAsia="Arial" w:hAnsi="Arial"/>
          <w:sz w:val="14"/>
          <w:szCs w:val="14"/>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66"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77" w:lineRule="exact"/>
        <w:rPr>
          <w:sz w:val="20"/>
          <w:szCs w:val="20"/>
          <w:color w:val="auto"/>
        </w:rPr>
      </w:pPr>
    </w:p>
    <w:p>
      <w:pPr>
        <w:ind w:right="440"/>
        <w:spacing w:after="0" w:line="335" w:lineRule="auto"/>
        <w:rPr>
          <w:sz w:val="20"/>
          <w:szCs w:val="20"/>
          <w:color w:val="auto"/>
        </w:rPr>
      </w:pPr>
      <w:r>
        <w:rPr>
          <w:rFonts w:ascii="Arial" w:cs="Arial" w:eastAsia="Arial" w:hAnsi="Arial"/>
          <w:sz w:val="12"/>
          <w:szCs w:val="12"/>
          <w:b w:val="1"/>
          <w:bCs w:val="1"/>
          <w:i w:val="1"/>
          <w:i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20" w:lineRule="exact"/>
        <w:rPr>
          <w:sz w:val="20"/>
          <w:szCs w:val="20"/>
          <w:color w:val="auto"/>
        </w:rPr>
      </w:pPr>
    </w:p>
    <w:p>
      <w:pPr>
        <w:ind w:right="120" w:firstLine="562"/>
        <w:spacing w:after="0" w:line="231" w:lineRule="auto"/>
        <w:rPr>
          <w:sz w:val="20"/>
          <w:szCs w:val="20"/>
          <w:color w:val="auto"/>
        </w:rPr>
      </w:pPr>
      <w:r>
        <w:rPr>
          <w:rFonts w:ascii="Arial" w:cs="Arial" w:eastAsia="Arial" w:hAnsi="Arial"/>
          <w:sz w:val="14"/>
          <w:szCs w:val="14"/>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portfolio companies may incur debt that ranks equally with, or senior to, our investments in such companies and our portfolio companies may be highly leveraged.</w:t>
      </w:r>
    </w:p>
    <w:p>
      <w:pPr>
        <w:spacing w:after="0" w:line="96" w:lineRule="exact"/>
        <w:rPr>
          <w:sz w:val="20"/>
          <w:szCs w:val="20"/>
          <w:color w:val="auto"/>
        </w:rPr>
      </w:pPr>
    </w:p>
    <w:p>
      <w:pPr>
        <w:jc w:val="both"/>
        <w:ind w:firstLine="562"/>
        <w:spacing w:after="0" w:line="247" w:lineRule="auto"/>
        <w:rPr>
          <w:sz w:val="20"/>
          <w:szCs w:val="20"/>
          <w:color w:val="auto"/>
        </w:rPr>
      </w:pPr>
      <w:r>
        <w:rPr>
          <w:rFonts w:ascii="Arial" w:cs="Arial" w:eastAsia="Arial" w:hAnsi="Arial"/>
          <w:sz w:val="13"/>
          <w:szCs w:val="13"/>
          <w:color w:val="auto"/>
        </w:rPr>
        <w:t>We invest primarily in senior secured debt, mezzanine debt and equity investments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incentive fee may induce the Investment Adviser to make speculative investments.</w:t>
      </w:r>
    </w:p>
    <w:p>
      <w:pPr>
        <w:spacing w:after="0" w:line="96"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40" w:firstLine="562"/>
        <w:spacing w:after="0" w:line="264" w:lineRule="auto"/>
        <w:rPr>
          <w:sz w:val="20"/>
          <w:szCs w:val="20"/>
          <w:color w:val="auto"/>
        </w:rPr>
      </w:pPr>
      <w:r>
        <w:rPr>
          <w:rFonts w:ascii="Arial" w:cs="Arial" w:eastAsia="Arial" w:hAnsi="Arial"/>
          <w:sz w:val="13"/>
          <w:szCs w:val="13"/>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investments in distressed debt may not produce income and may require us to bear large expenses in order to protect and recover our investment.</w:t>
      </w:r>
    </w:p>
    <w:p>
      <w:pPr>
        <w:spacing w:after="0" w:line="96"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obligated to pay our Investment Adviser incentive compensation even if we incur a loss.</w:t>
      </w:r>
    </w:p>
    <w:p>
      <w:pPr>
        <w:spacing w:after="0" w:line="9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our Investment Adviser incentive compensation for a fiscal quarter even if there is a decline in the value of our portfolio, NAV or we incur a net loss for that quarter.</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in foreign securities may involve significant risks in addition to the risks inherent in U.S. investments.</w:t>
      </w:r>
    </w:p>
    <w:p>
      <w:pPr>
        <w:spacing w:after="0" w:line="96" w:lineRule="exact"/>
        <w:rPr>
          <w:sz w:val="20"/>
          <w:szCs w:val="20"/>
          <w:color w:val="auto"/>
        </w:rPr>
      </w:pPr>
    </w:p>
    <w:p>
      <w:pPr>
        <w:ind w:right="20" w:firstLine="562"/>
        <w:spacing w:after="0" w:line="251" w:lineRule="auto"/>
        <w:rPr>
          <w:sz w:val="20"/>
          <w:szCs w:val="20"/>
          <w:color w:val="auto"/>
        </w:rPr>
      </w:pPr>
      <w:r>
        <w:rPr>
          <w:rFonts w:ascii="Arial" w:cs="Arial" w:eastAsia="Arial" w:hAnsi="Arial"/>
          <w:sz w:val="13"/>
          <w:szCs w:val="13"/>
          <w:color w:val="auto"/>
        </w:rPr>
        <w:t>Our investment strategy contemplates potential investments in securities of companies located outside of the United States. Investments in securities of companies located outside of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69" w:lineRule="exact"/>
        <w:rPr>
          <w:sz w:val="20"/>
          <w:szCs w:val="20"/>
          <w:color w:val="auto"/>
        </w:rPr>
      </w:pPr>
    </w:p>
    <w:p>
      <w:pPr>
        <w:ind w:right="80" w:firstLine="562"/>
        <w:spacing w:after="0" w:line="255" w:lineRule="auto"/>
        <w:rPr>
          <w:sz w:val="20"/>
          <w:szCs w:val="20"/>
          <w:color w:val="auto"/>
        </w:rPr>
      </w:pPr>
      <w:r>
        <w:rPr>
          <w:rFonts w:ascii="Arial" w:cs="Arial" w:eastAsia="Arial" w:hAnsi="Arial"/>
          <w:sz w:val="13"/>
          <w:szCs w:val="13"/>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economic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make investments that cause our stockholders to bear investment advisory fees and other expenses on such investments in addition to our management fees and expenses.</w:t>
      </w:r>
    </w:p>
    <w:p>
      <w:pPr>
        <w:spacing w:after="0" w:line="107"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the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expose ourselves to risks if we engage in hedging transactions.</w:t>
      </w:r>
    </w:p>
    <w:p>
      <w:pPr>
        <w:spacing w:after="0" w:line="96" w:lineRule="exact"/>
        <w:rPr>
          <w:sz w:val="20"/>
          <w:szCs w:val="20"/>
          <w:color w:val="auto"/>
        </w:rPr>
      </w:pPr>
    </w:p>
    <w:p>
      <w:pPr>
        <w:ind w:right="20" w:firstLine="562"/>
        <w:spacing w:after="0" w:line="228" w:lineRule="auto"/>
        <w:rPr>
          <w:sz w:val="20"/>
          <w:szCs w:val="20"/>
          <w:color w:val="auto"/>
        </w:rPr>
      </w:pPr>
      <w:r>
        <w:rPr>
          <w:rFonts w:ascii="Arial" w:cs="Arial" w:eastAsia="Arial" w:hAnsi="Arial"/>
          <w:sz w:val="14"/>
          <w:szCs w:val="14"/>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77" w:lineRule="exact"/>
        <w:rPr>
          <w:sz w:val="20"/>
          <w:szCs w:val="20"/>
          <w:color w:val="auto"/>
        </w:rPr>
      </w:pPr>
    </w:p>
    <w:p>
      <w:pPr>
        <w:ind w:right="40" w:firstLine="562"/>
        <w:spacing w:after="0" w:line="228" w:lineRule="auto"/>
        <w:rPr>
          <w:sz w:val="20"/>
          <w:szCs w:val="20"/>
          <w:color w:val="auto"/>
        </w:rPr>
      </w:pPr>
      <w:r>
        <w:rPr>
          <w:rFonts w:ascii="Arial" w:cs="Arial" w:eastAsia="Arial" w:hAnsi="Arial"/>
          <w:sz w:val="14"/>
          <w:szCs w:val="14"/>
          <w:color w:val="auto"/>
        </w:rPr>
        <w:t>While we may enter into such transactions to seek to reduce currency exchange rate and interest rate risks, unanticipated changes in currency exchange rates or interest rates may result in worse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effect of global climate change may impact the operations of our portfolio companies.</w:t>
      </w:r>
    </w:p>
    <w:p>
      <w:pPr>
        <w:spacing w:after="0" w:line="96" w:lineRule="exact"/>
        <w:rPr>
          <w:sz w:val="20"/>
          <w:szCs w:val="20"/>
          <w:color w:val="auto"/>
        </w:rPr>
      </w:pPr>
    </w:p>
    <w:p>
      <w:pPr>
        <w:ind w:right="20" w:firstLine="562"/>
        <w:spacing w:after="0" w:line="277" w:lineRule="auto"/>
        <w:rPr>
          <w:sz w:val="20"/>
          <w:szCs w:val="20"/>
          <w:color w:val="auto"/>
        </w:rPr>
      </w:pPr>
      <w:r>
        <w:rPr>
          <w:rFonts w:ascii="Arial" w:cs="Arial" w:eastAsia="Arial" w:hAnsi="Arial"/>
          <w:sz w:val="12"/>
          <w:szCs w:val="12"/>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COMMON STOCK</w:t>
      </w:r>
    </w:p>
    <w:p>
      <w:pPr>
        <w:spacing w:after="0" w:line="100" w:lineRule="exact"/>
        <w:rPr>
          <w:sz w:val="20"/>
          <w:szCs w:val="20"/>
          <w:color w:val="auto"/>
        </w:rPr>
      </w:pPr>
    </w:p>
    <w:p>
      <w:pPr>
        <w:ind w:right="20"/>
        <w:spacing w:after="0" w:line="238" w:lineRule="auto"/>
        <w:rPr>
          <w:sz w:val="20"/>
          <w:szCs w:val="20"/>
          <w:color w:val="auto"/>
        </w:rPr>
      </w:pPr>
      <w:r>
        <w:rPr>
          <w:rFonts w:ascii="Arial" w:cs="Arial" w:eastAsia="Arial" w:hAnsi="Arial"/>
          <w:sz w:val="14"/>
          <w:szCs w:val="14"/>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75" w:lineRule="exact"/>
        <w:rPr>
          <w:sz w:val="20"/>
          <w:szCs w:val="20"/>
          <w:color w:val="auto"/>
        </w:rPr>
      </w:pPr>
    </w:p>
    <w:p>
      <w:pPr>
        <w:jc w:val="both"/>
        <w:ind w:right="40" w:firstLine="562"/>
        <w:spacing w:after="0" w:line="238" w:lineRule="auto"/>
        <w:rPr>
          <w:sz w:val="20"/>
          <w:szCs w:val="20"/>
          <w:color w:val="auto"/>
        </w:rPr>
      </w:pPr>
      <w:r>
        <w:rPr>
          <w:rFonts w:ascii="Arial" w:cs="Arial" w:eastAsia="Arial" w:hAnsi="Arial"/>
          <w:sz w:val="14"/>
          <w:szCs w:val="14"/>
          <w:color w:val="auto"/>
        </w:rPr>
        <w:t>We have in the past obtained the approval of our stockholders to issue shares of our common stock at prices below the then current NAV per share of our common stock in one or more offerings for a twelve-month period, and we may attempt to obtain such approval in the future. Such approval has allowed, and may again allow, us to access the capital markets in a way that we typically are unable to do as a result of restrictions that, absent stockholder approval, apply to BDCs under the 1940 Act.</w:t>
      </w:r>
    </w:p>
    <w:p>
      <w:pPr>
        <w:spacing w:after="0" w:line="75" w:lineRule="exact"/>
        <w:rPr>
          <w:sz w:val="20"/>
          <w:szCs w:val="20"/>
          <w:color w:val="auto"/>
        </w:rPr>
      </w:pPr>
    </w:p>
    <w:p>
      <w:pPr>
        <w:ind w:right="20" w:firstLine="562"/>
        <w:spacing w:after="0" w:line="248" w:lineRule="auto"/>
        <w:rPr>
          <w:sz w:val="20"/>
          <w:szCs w:val="20"/>
          <w:color w:val="auto"/>
        </w:rPr>
      </w:pPr>
      <w:r>
        <w:rPr>
          <w:rFonts w:ascii="Arial" w:cs="Arial" w:eastAsia="Arial" w:hAnsi="Arial"/>
          <w:sz w:val="13"/>
          <w:szCs w:val="13"/>
          <w:color w:val="auto"/>
        </w:rPr>
        <w:t>Any sale or other issuance of shares of our common stock at a price below NAV per share has resulted and will continue to result in an immediate dilution to your interest in our common stock and a reduction of our NAV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72" w:lineRule="exact"/>
        <w:rPr>
          <w:sz w:val="20"/>
          <w:szCs w:val="20"/>
          <w:color w:val="auto"/>
        </w:rPr>
      </w:pPr>
    </w:p>
    <w:p>
      <w:pPr>
        <w:jc w:val="both"/>
        <w:ind w:right="240" w:firstLine="562"/>
        <w:spacing w:after="0" w:line="244" w:lineRule="auto"/>
        <w:rPr>
          <w:sz w:val="20"/>
          <w:szCs w:val="20"/>
          <w:color w:val="auto"/>
        </w:rPr>
      </w:pPr>
      <w:r>
        <w:rPr>
          <w:rFonts w:ascii="Arial" w:cs="Arial" w:eastAsia="Arial" w:hAnsi="Arial"/>
          <w:sz w:val="13"/>
          <w:szCs w:val="13"/>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w:t>
      </w:r>
    </w:p>
    <w:p>
      <w:pPr>
        <w:spacing w:after="0" w:line="2" w:lineRule="exact"/>
        <w:rPr>
          <w:sz w:val="20"/>
          <w:szCs w:val="20"/>
          <w:color w:val="auto"/>
        </w:rPr>
      </w:pPr>
    </w:p>
    <w:p>
      <w:pPr>
        <w:ind w:right="40"/>
        <w:spacing w:after="0" w:line="232" w:lineRule="auto"/>
        <w:rPr>
          <w:sz w:val="20"/>
          <w:szCs w:val="20"/>
          <w:color w:val="auto"/>
        </w:rPr>
      </w:pPr>
      <w:r>
        <w:rPr>
          <w:rFonts w:ascii="Arial" w:cs="Arial" w:eastAsia="Arial" w:hAnsi="Arial"/>
          <w:sz w:val="14"/>
          <w:szCs w:val="14"/>
          <w:color w:val="auto"/>
        </w:rPr>
        <w:t>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a risk that our stockholders may not receive distributions or that our distributions may not grow over time.</w:t>
      </w:r>
    </w:p>
    <w:p>
      <w:pPr>
        <w:spacing w:after="0" w:line="96" w:lineRule="exact"/>
        <w:rPr>
          <w:sz w:val="20"/>
          <w:szCs w:val="20"/>
          <w:color w:val="auto"/>
        </w:rPr>
      </w:pPr>
    </w:p>
    <w:p>
      <w:pPr>
        <w:ind w:firstLine="562"/>
        <w:spacing w:after="0" w:line="248" w:lineRule="auto"/>
        <w:rPr>
          <w:sz w:val="20"/>
          <w:szCs w:val="20"/>
          <w:color w:val="auto"/>
        </w:rPr>
      </w:pPr>
      <w:r>
        <w:rPr>
          <w:rFonts w:ascii="Arial" w:cs="Arial" w:eastAsia="Arial" w:hAnsi="Arial"/>
          <w:sz w:val="13"/>
          <w:szCs w:val="13"/>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 may be limited in our ability to make distributions. Further, if more stockholders opt to receive cash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in our shares may involve an above average degree of risk.</w:t>
      </w:r>
    </w:p>
    <w:p>
      <w:pPr>
        <w:spacing w:after="0" w:line="96" w:lineRule="exact"/>
        <w:rPr>
          <w:sz w:val="20"/>
          <w:szCs w:val="20"/>
          <w:color w:val="auto"/>
        </w:rPr>
      </w:pPr>
    </w:p>
    <w:p>
      <w:pPr>
        <w:ind w:right="40" w:firstLine="562"/>
        <w:spacing w:after="0" w:line="290" w:lineRule="auto"/>
        <w:rPr>
          <w:sz w:val="20"/>
          <w:szCs w:val="20"/>
          <w:color w:val="auto"/>
        </w:rPr>
      </w:pPr>
      <w:r>
        <w:rPr>
          <w:rFonts w:ascii="Arial" w:cs="Arial" w:eastAsia="Arial" w:hAnsi="Arial"/>
          <w:sz w:val="13"/>
          <w:szCs w:val="13"/>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substantial amounts of our securities may have an adverse effect on the market price of our securities.</w:t>
      </w:r>
    </w:p>
    <w:p>
      <w:pPr>
        <w:spacing w:after="0" w:line="96" w:lineRule="exact"/>
        <w:rPr>
          <w:sz w:val="20"/>
          <w:szCs w:val="20"/>
          <w:color w:val="auto"/>
        </w:rPr>
      </w:pPr>
    </w:p>
    <w:p>
      <w:pPr>
        <w:ind w:right="360" w:firstLine="562"/>
        <w:spacing w:after="0" w:line="253" w:lineRule="auto"/>
        <w:rPr>
          <w:sz w:val="20"/>
          <w:szCs w:val="20"/>
          <w:color w:val="auto"/>
        </w:rPr>
      </w:pPr>
      <w:r>
        <w:rPr>
          <w:rFonts w:ascii="Arial" w:cs="Arial" w:eastAsia="Arial" w:hAnsi="Arial"/>
          <w:sz w:val="14"/>
          <w:szCs w:val="14"/>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allocate the net proceeds from any offering of our securities in ways with which you may not agree.</w:t>
      </w:r>
    </w:p>
    <w:p>
      <w:pPr>
        <w:spacing w:after="0" w:line="96"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shares may trade at discounts from NAV or at premiums that are unsustainable over the long term.</w:t>
      </w:r>
    </w:p>
    <w:p>
      <w:pPr>
        <w:spacing w:after="0" w:line="96"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Shares of BDCs may trade at a market price that is less than the NAV that is attributable to those shares. Our shares have traded above and below our NAV. Our shares closed on the NASDAQ Global Select Market at $7.52 and $6.47 on September 30, 2016 and 2015, respectively. Our NAV per share was $9.05 and $9.82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common stock may fluctuate significantly.</w:t>
      </w:r>
    </w:p>
    <w:p>
      <w:pPr>
        <w:spacing w:after="0" w:line="96" w:lineRule="exact"/>
        <w:rPr>
          <w:sz w:val="20"/>
          <w:szCs w:val="20"/>
          <w:color w:val="auto"/>
        </w:rPr>
      </w:pPr>
    </w:p>
    <w:p>
      <w:pPr>
        <w:ind w:right="100" w:firstLine="562"/>
        <w:spacing w:after="0" w:line="253" w:lineRule="auto"/>
        <w:rPr>
          <w:sz w:val="20"/>
          <w:szCs w:val="20"/>
          <w:color w:val="auto"/>
        </w:rPr>
      </w:pPr>
      <w:r>
        <w:rPr>
          <w:rFonts w:ascii="Arial" w:cs="Arial" w:eastAsia="Arial" w:hAnsi="Arial"/>
          <w:sz w:val="14"/>
          <w:szCs w:val="14"/>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9" w:lineRule="exact"/>
        <w:rPr>
          <w:sz w:val="20"/>
          <w:szCs w:val="20"/>
          <w:color w:val="auto"/>
        </w:rPr>
      </w:pPr>
    </w:p>
    <w:p>
      <w:pPr>
        <w:ind w:left="1000" w:right="680" w:hanging="331"/>
        <w:spacing w:after="0" w:line="253" w:lineRule="auto"/>
        <w:tabs>
          <w:tab w:leader="none" w:pos="1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significant volatility in the market price and trading volume of securities of BDCs or other companies in our sector, which are not necessarily related to the operating performance of these companies;</w:t>
      </w:r>
    </w:p>
    <w:p>
      <w:pPr>
        <w:spacing w:after="0" w:line="79" w:lineRule="exact"/>
        <w:rPr>
          <w:rFonts w:ascii="Arial" w:cs="Arial" w:eastAsia="Arial" w:hAnsi="Arial"/>
          <w:sz w:val="14"/>
          <w:szCs w:val="14"/>
          <w:color w:val="auto"/>
        </w:rPr>
      </w:pPr>
    </w:p>
    <w:p>
      <w:pPr>
        <w:ind w:left="1000" w:hanging="331"/>
        <w:spacing w:after="0"/>
        <w:tabs>
          <w:tab w:leader="none" w:pos="1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changes in regulatory policies or tax guidelines, particularly with respect to RICs, BDCs or SBICs;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any loss of our BDC or RIC status or any loss of our subsidiaries’ SBIC licenses;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changes in earnings or variations in operating results;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changes in prevailing interest rates;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changes in the value of our portfolio of investments;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any shortfall in revenue or net income or any increase in losses from levels expected by investors or securities analysts;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inability of our Investment Adviser to employ additional experienced investment professionals or the departure of any of the Investment Adviser’s key personnel;</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operating performance of companies comparable to us;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general national and international economic trends and other external factors;</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180"/>
          </w:cols>
          <w:pgMar w:left="320" w:top="459" w:right="3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hanging="331"/>
        <w:spacing w:after="0"/>
        <w:tabs>
          <w:tab w:leader="none" w:pos="10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general price and volume fluctuations in the stock markets, including as a result of short sales;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conversion features of subscription rights, warrants or convertible debt; and</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loss of a major funding source.</w:t>
      </w:r>
    </w:p>
    <w:p>
      <w:pPr>
        <w:spacing w:after="0" w:line="96" w:lineRule="exact"/>
        <w:rPr>
          <w:sz w:val="20"/>
          <w:szCs w:val="20"/>
          <w:color w:val="auto"/>
        </w:rPr>
      </w:pPr>
    </w:p>
    <w:p>
      <w:pPr>
        <w:ind w:right="60" w:firstLine="562"/>
        <w:spacing w:after="0" w:line="253" w:lineRule="auto"/>
        <w:rPr>
          <w:sz w:val="20"/>
          <w:szCs w:val="20"/>
          <w:color w:val="auto"/>
        </w:rPr>
      </w:pPr>
      <w:r>
        <w:rPr>
          <w:rFonts w:ascii="Arial" w:cs="Arial" w:eastAsia="Arial" w:hAnsi="Arial"/>
          <w:sz w:val="14"/>
          <w:szCs w:val="14"/>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unable to invest the net proceeds raised from offerings on acceptable terms, which would harm our financial condition and operating results.</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SBA also limits an SBIC’s choices to invest idle funds to the following types of securities:</w:t>
      </w:r>
    </w:p>
    <w:p>
      <w:pPr>
        <w:spacing w:after="0" w:line="109" w:lineRule="exact"/>
        <w:rPr>
          <w:sz w:val="20"/>
          <w:szCs w:val="20"/>
          <w:color w:val="auto"/>
        </w:rPr>
      </w:pPr>
    </w:p>
    <w:p>
      <w:pPr>
        <w:ind w:left="1000" w:hanging="331"/>
        <w:spacing w:after="0"/>
        <w:tabs>
          <w:tab w:leader="none" w:pos="10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direct obligations of, or obligations guaranteed as to principal and interest by, the U.S. government, which mature within 15 months from the date of the investment;</w:t>
      </w:r>
    </w:p>
    <w:p>
      <w:pPr>
        <w:spacing w:after="0" w:line="109" w:lineRule="exact"/>
        <w:rPr>
          <w:rFonts w:ascii="Arial" w:cs="Arial" w:eastAsia="Arial" w:hAnsi="Arial"/>
          <w:sz w:val="14"/>
          <w:szCs w:val="14"/>
          <w:color w:val="auto"/>
        </w:rPr>
      </w:pPr>
    </w:p>
    <w:p>
      <w:pPr>
        <w:ind w:left="1000" w:hanging="331"/>
        <w:spacing w:after="0" w:line="253" w:lineRule="auto"/>
        <w:tabs>
          <w:tab w:leader="none" w:pos="10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79" w:lineRule="exact"/>
        <w:rPr>
          <w:rFonts w:ascii="Arial" w:cs="Arial" w:eastAsia="Arial" w:hAnsi="Arial"/>
          <w:sz w:val="14"/>
          <w:szCs w:val="14"/>
          <w:color w:val="auto"/>
        </w:rPr>
      </w:pPr>
    </w:p>
    <w:p>
      <w:pPr>
        <w:ind w:left="1000" w:hanging="331"/>
        <w:spacing w:after="0"/>
        <w:tabs>
          <w:tab w:leader="none" w:pos="10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certificates of deposit with a maturity of one year or less, issued by a federally insured institution; or</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 deposit account in a federally insured institution that is subject to a withdrawal restriction of one year or less.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You may have current tax liabilities on distributions you reinvest in our common stock.</w:t>
      </w:r>
    </w:p>
    <w:p>
      <w:pPr>
        <w:spacing w:after="0" w:line="96"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income tax liabilities on the value of the common stock received. See “Management’s Discussion and Analysis of Financial Condition and Results of Operations—Liquidity and Capital Resources—Distributions” for more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a risk that our common stockholders may receive our stock as distributions in which case they may be required to pay taxes in excess of the cash they receive.</w:t>
      </w:r>
    </w:p>
    <w:p>
      <w:pPr>
        <w:spacing w:after="0" w:line="96"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incur significant costs as a result of being a publicly traded company.</w:t>
      </w:r>
    </w:p>
    <w:p>
      <w:pPr>
        <w:spacing w:after="0" w:line="9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 and the listing standards of the NASDAQ Stock Market LLC and NYSE.</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Provisions of the Maryland General Corporation Law and of our charter and bylaws could deter takeover attempts and have an adverse impact on the price of our common stock.</w:t>
      </w:r>
    </w:p>
    <w:p>
      <w:pPr>
        <w:spacing w:after="0" w:line="107" w:lineRule="exact"/>
        <w:rPr>
          <w:sz w:val="20"/>
          <w:szCs w:val="20"/>
          <w:color w:val="auto"/>
        </w:rPr>
      </w:pPr>
    </w:p>
    <w:p>
      <w:pPr>
        <w:ind w:right="20" w:firstLine="562"/>
        <w:spacing w:after="0" w:line="251" w:lineRule="auto"/>
        <w:rPr>
          <w:sz w:val="20"/>
          <w:szCs w:val="20"/>
          <w:color w:val="auto"/>
        </w:rPr>
      </w:pPr>
      <w:r>
        <w:rPr>
          <w:rFonts w:ascii="Arial" w:cs="Arial" w:eastAsia="Arial" w:hAnsi="Arial"/>
          <w:sz w:val="13"/>
          <w:szCs w:val="13"/>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69"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76" w:lineRule="exact"/>
        <w:rPr>
          <w:sz w:val="20"/>
          <w:szCs w:val="20"/>
          <w:color w:val="auto"/>
        </w:rPr>
      </w:pPr>
    </w:p>
    <w:p>
      <w:pPr>
        <w:ind w:right="340" w:firstLine="562"/>
        <w:spacing w:after="0" w:line="253" w:lineRule="auto"/>
        <w:rPr>
          <w:sz w:val="20"/>
          <w:szCs w:val="20"/>
          <w:color w:val="auto"/>
        </w:rPr>
      </w:pPr>
      <w:r>
        <w:rPr>
          <w:rFonts w:ascii="Arial" w:cs="Arial" w:eastAsia="Arial" w:hAnsi="Arial"/>
          <w:sz w:val="14"/>
          <w:szCs w:val="14"/>
          <w:color w:val="auto"/>
        </w:rPr>
        <w:t>These anti-takeover provisions may inhibit a change of control in circumstances that could give our stockholders the opportunity to realize a premium over the market price for our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DEBT SECURITIES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Notes are unsecured and therefore are effectively subordinated to any secured indebtedness we have currently incurred or may incur in the future.</w:t>
      </w:r>
    </w:p>
    <w:p>
      <w:pPr>
        <w:spacing w:after="0" w:line="96" w:lineRule="exact"/>
        <w:rPr>
          <w:sz w:val="20"/>
          <w:szCs w:val="20"/>
          <w:color w:val="auto"/>
        </w:rPr>
      </w:pPr>
    </w:p>
    <w:p>
      <w:pPr>
        <w:ind w:right="80" w:firstLine="562"/>
        <w:spacing w:after="0" w:line="229" w:lineRule="auto"/>
        <w:rPr>
          <w:sz w:val="20"/>
          <w:szCs w:val="20"/>
          <w:color w:val="auto"/>
        </w:rPr>
      </w:pPr>
      <w:r>
        <w:rPr>
          <w:rFonts w:ascii="Arial" w:cs="Arial" w:eastAsia="Arial" w:hAnsi="Arial"/>
          <w:sz w:val="14"/>
          <w:szCs w:val="14"/>
          <w:color w:val="auto"/>
        </w:rPr>
        <w:t>Our Notes are not secured by any of our assets or any of the assets of our subsidiaries. As a result, our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Effective subordination means that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our Notes. As of September 30, 2016 and 2015, we had $50.3 million and $136.9 million (including a $30.0 million temporary draw),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color w:val="auto"/>
        </w:rPr>
        <w:t>outstanding under the Credit Facility. The Credit Facility is secured by substantially all of the assets in our portfolio (other than assets held by our SBIC Funds), and the indebtedness under the Credit Facility is therefore effectively senior in right of payment to our Notes to the extent of the value of such assets.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Notes are structurally subordinated to the indebtedness and other liabilities of our subsidiaries.</w:t>
      </w:r>
    </w:p>
    <w:p>
      <w:pPr>
        <w:spacing w:after="0" w:line="96" w:lineRule="exact"/>
        <w:rPr>
          <w:sz w:val="20"/>
          <w:szCs w:val="20"/>
          <w:color w:val="auto"/>
        </w:rPr>
      </w:pPr>
    </w:p>
    <w:p>
      <w:pPr>
        <w:ind w:right="40" w:firstLine="562"/>
        <w:spacing w:after="0" w:line="264" w:lineRule="auto"/>
        <w:rPr>
          <w:sz w:val="20"/>
          <w:szCs w:val="20"/>
          <w:color w:val="auto"/>
        </w:rPr>
      </w:pPr>
      <w:r>
        <w:rPr>
          <w:rFonts w:ascii="Arial" w:cs="Arial" w:eastAsia="Arial" w:hAnsi="Arial"/>
          <w:sz w:val="13"/>
          <w:szCs w:val="13"/>
          <w:color w:val="auto"/>
        </w:rPr>
        <w:t>Our Notes are obligations exclusively of PennantPark Investment Corporation and not of any of our subsidiaries. None of our subsidiaries are or act as guarantors of our Notes and neither the 2019 Notes nor the 2025 Notes is required to be guaranteed by any subsidiaries we may acquire or create in the future. Our secured indebtedness with respect to the SBA debentures is held through our SBIC Funds. The assets of any such subsidiaries are not directly available to satisfy the claims of our creditors, including holders of our Notes.</w:t>
      </w:r>
    </w:p>
    <w:p>
      <w:pPr>
        <w:spacing w:after="0" w:line="60" w:lineRule="exact"/>
        <w:rPr>
          <w:sz w:val="20"/>
          <w:szCs w:val="20"/>
          <w:color w:val="auto"/>
        </w:rPr>
      </w:pPr>
    </w:p>
    <w:p>
      <w:pPr>
        <w:ind w:right="20" w:firstLine="562"/>
        <w:spacing w:after="0" w:line="228" w:lineRule="auto"/>
        <w:rPr>
          <w:sz w:val="20"/>
          <w:szCs w:val="20"/>
          <w:color w:val="auto"/>
        </w:rPr>
      </w:pPr>
      <w:r>
        <w:rPr>
          <w:rFonts w:ascii="Arial" w:cs="Arial" w:eastAsia="Arial" w:hAnsi="Arial"/>
          <w:sz w:val="14"/>
          <w:szCs w:val="14"/>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our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our Notes are structurally subordinated to all indebtedness and other liabilities (including trade payables) of our subsidiaries and any subsidiaries that we may in the future acquire or establish as financing vehicles or otherwise. As of September 30, 2016 and 2015, our SBIC Funds had $225.0 million in debt commitments, of which $197.5 million and $150.0 million was drawn, respectively. All of such indebtedness is structurally senior to our Notes. In addition, our subsidiaries may incur substantial additional indebtedness in the future, all of which would be structurally senior to our Notes.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indenture under which our Notes were issued contains limited protection for their respective holders.</w:t>
      </w:r>
    </w:p>
    <w:p>
      <w:pPr>
        <w:spacing w:after="0" w:line="96" w:lineRule="exact"/>
        <w:rPr>
          <w:sz w:val="20"/>
          <w:szCs w:val="20"/>
          <w:color w:val="auto"/>
        </w:rPr>
      </w:pPr>
    </w:p>
    <w:p>
      <w:pPr>
        <w:ind w:right="400" w:firstLine="562"/>
        <w:spacing w:after="0" w:line="238" w:lineRule="auto"/>
        <w:rPr>
          <w:sz w:val="20"/>
          <w:szCs w:val="20"/>
          <w:color w:val="auto"/>
        </w:rPr>
      </w:pPr>
      <w:r>
        <w:rPr>
          <w:rFonts w:ascii="Arial" w:cs="Arial" w:eastAsia="Arial" w:hAnsi="Arial"/>
          <w:sz w:val="14"/>
          <w:szCs w:val="14"/>
          <w:color w:val="auto"/>
        </w:rPr>
        <w:t>The indenture under which our Notes were issued offers limited protection to their respective holders. The terms of the indenture and our Notes do not restrict our or any of our subsidiaries’ ability to engage in, or otherwise be a party to, a variety of corporate transactions, circumstances or events that could have an adverse impact on an investment in our Notes. In particular, the terms of the indentures and our Notes do not place any restrictions on our or our subsidiaries’ ability to:</w:t>
      </w:r>
    </w:p>
    <w:p>
      <w:pPr>
        <w:spacing w:after="0" w:line="88" w:lineRule="exact"/>
        <w:rPr>
          <w:sz w:val="20"/>
          <w:szCs w:val="20"/>
          <w:color w:val="auto"/>
        </w:rPr>
      </w:pPr>
    </w:p>
    <w:p>
      <w:pPr>
        <w:ind w:left="1000" w:right="60" w:hanging="331"/>
        <w:spacing w:after="0" w:line="244" w:lineRule="auto"/>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issue securities or otherwise incur additional indebtedness or other obligations, including (1) any indebtedness or other obligations that would be equal in right of payment to our Notes, (2) any indebtedness or other obligations that would be secured and therefore rank effectively senior in right of payment to our Notes to the extent of the values of the assets securing such debt, (3) indebtedness of ours that is guaranteed by one or more of our subsidiaries and which therefore would rank structurally senior to our Notes and</w:t>
      </w:r>
    </w:p>
    <w:p>
      <w:pPr>
        <w:spacing w:after="0" w:line="1" w:lineRule="exact"/>
        <w:rPr>
          <w:rFonts w:ascii="Arial" w:cs="Arial" w:eastAsia="Arial" w:hAnsi="Arial"/>
          <w:sz w:val="13"/>
          <w:szCs w:val="13"/>
          <w:color w:val="auto"/>
        </w:rPr>
      </w:pPr>
    </w:p>
    <w:p>
      <w:pPr>
        <w:ind w:left="1000" w:right="220"/>
        <w:spacing w:after="0" w:line="255" w:lineRule="auto"/>
        <w:rPr>
          <w:rFonts w:ascii="Arial" w:cs="Arial" w:eastAsia="Arial" w:hAnsi="Arial"/>
          <w:sz w:val="13"/>
          <w:szCs w:val="13"/>
          <w:color w:val="auto"/>
        </w:rPr>
      </w:pPr>
      <w:r>
        <w:rPr>
          <w:rFonts w:ascii="Arial" w:cs="Arial" w:eastAsia="Arial" w:hAnsi="Arial"/>
          <w:sz w:val="13"/>
          <w:szCs w:val="13"/>
          <w:color w:val="auto"/>
        </w:rPr>
        <w:t>(4) securities, indebtedness or other obligations issued or incurred by our subsidiaries that would be senior in right of payment to our equity interests in our subsidiaries and therefore would rank structurally senior in right of payment to our Notes with respect to the assets of our subsidiaries, in each case other than an incurrence of indebtedness or other obligation that would cause a violation of Section 18(a)(1)(A) as modified by Section 61(a)(1) of the 1940 Act or any successor provisions;</w:t>
      </w:r>
    </w:p>
    <w:p>
      <w:pPr>
        <w:spacing w:after="0" w:line="78" w:lineRule="exact"/>
        <w:rPr>
          <w:rFonts w:ascii="Arial" w:cs="Arial" w:eastAsia="Arial" w:hAnsi="Arial"/>
          <w:sz w:val="13"/>
          <w:szCs w:val="13"/>
          <w:color w:val="auto"/>
        </w:rPr>
      </w:pPr>
    </w:p>
    <w:p>
      <w:pPr>
        <w:ind w:left="1000" w:hanging="331"/>
        <w:spacing w:after="0"/>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pay distributions on, or purchase or redeem or make any payments in respect of, capital stock or other securities ranking junior in right of payment to our Notes;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sell assets (other than certain limited restrictions on our ability to consolidate, merge or sell all or substantially all of our assets);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enter into transactions with affiliates;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create liens (including liens on the shares of our subsidiaries) or enter into sale and leaseback transactions;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make investments; or</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create restrictions on the payment of distributions or other amounts to us from our subsidiaries.</w:t>
      </w:r>
    </w:p>
    <w:p>
      <w:pPr>
        <w:spacing w:after="0" w:line="9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Furthermore, the terms of the indenture and our Notes do not protect their respective holders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75" w:lineRule="exact"/>
        <w:rPr>
          <w:sz w:val="20"/>
          <w:szCs w:val="20"/>
          <w:color w:val="auto"/>
        </w:rPr>
      </w:pPr>
    </w:p>
    <w:p>
      <w:pPr>
        <w:ind w:right="260" w:firstLine="562"/>
        <w:spacing w:after="0" w:line="253" w:lineRule="auto"/>
        <w:rPr>
          <w:sz w:val="20"/>
          <w:szCs w:val="20"/>
          <w:color w:val="auto"/>
        </w:rPr>
      </w:pPr>
      <w:r>
        <w:rPr>
          <w:rFonts w:ascii="Arial" w:cs="Arial" w:eastAsia="Arial" w:hAnsi="Arial"/>
          <w:sz w:val="14"/>
          <w:szCs w:val="14"/>
          <w:color w:val="auto"/>
        </w:rPr>
        <w:t>Our ability to recapitalize, incur additional debt and take a number of other actions that are not limited by the terms of our Notes may have important consequences for their holders, including making it more difficult for us to satisfy our obligations with respect to our Notes or negatively affecting their trading value.</w:t>
      </w:r>
    </w:p>
    <w:p>
      <w:pPr>
        <w:spacing w:after="0" w:line="6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Certain of our current debt instruments include more protections for their respective holders than the indenture and our Notes. In addition, other debt we issue or incur in the future could contain more protections for its holders than the indenture and our Notes, including additional covenants and events of default. The issuance or incurrence of any such debt with incremental protections could affect the market for and trading levels and prices of our Notes.</w:t>
      </w:r>
    </w:p>
    <w:p>
      <w:pPr>
        <w:spacing w:after="0" w:line="75"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b w:val="1"/>
          <w:bCs w:val="1"/>
          <w:i w:val="1"/>
          <w:iCs w:val="1"/>
          <w:color w:val="auto"/>
        </w:rPr>
        <w:t>An active trading market for our Notes may not develop, which could limit their market price or the ability of their respective holders to sell them. If a rating agency assigns our Notes a non-investment grade rating, they may be subject to greater price volatility than similar securities without such a rating.</w:t>
      </w:r>
    </w:p>
    <w:p>
      <w:pPr>
        <w:spacing w:after="0" w:line="6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have not and do not intend to list the 2019 Notes on any securities exchange or for quotation on any automated dealer quotation system. We have listed the 2025 Notes on the NYSE. However, we cannot provide any assurances that an active trading market will develop for the 2019 Notes and 2025 Notes or that their holders will be able to sell them. Our Notes may trade at a discount from their initial offering price depending on prevailing interest rates, the market for similar securities, our credit ratings, general economic conditions, our financial condition, performance and prospects and other factors. If a rating agency assigns our Notes a non-investment grade rating, they may be subject to greater price volatility than securities of similar maturity without such a non-investment grade rating. We cannot assure holders of our Notes that a liquid trading market will develop for them, that holders will be able to sell their 2019 Notes and 2025 Notes at a particular time or that the price holders receive upon such sale will be favorable. To the extent an active trading market does not develop, the liquidity and trading price for our Notes may be harmed. Accordingly, holders of our Notes may be required to bear the financial risk for an indefinite period of time.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default on our obligations to pay our other indebtedness, we may not be able to make payments on our Notes.</w:t>
      </w:r>
    </w:p>
    <w:p>
      <w:pPr>
        <w:spacing w:after="0" w:line="96"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Any default under the agreements governing our indebtedness, including a default under our Credit Facility or under other indebtedness to which we may be a party that is not waived by the required lenders or holders, and the remedies sought by the holders of such indebtedness could make us unable to pay principal, premium, if any, and interest on our Notes and substantially decrease their market value.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agreements relating to our Credit Facility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or other debt that we may incur in the future to avoid being in default. If we breach our covenants under our Credit Facility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our Credit Facility, could proceed against the collateral securing the debt. Because our Credit Facility has, and any future debt will likely will have, customary cross-default provisions, if the indebtedness thereunder or under any future credit facility is accelerated, we may be unable to repay or finance the amounts due.</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FATCA withholding may apply to payments to certain foreign entities.</w:t>
      </w:r>
    </w:p>
    <w:p>
      <w:pPr>
        <w:spacing w:after="0" w:line="96" w:lineRule="exact"/>
        <w:rPr>
          <w:sz w:val="20"/>
          <w:szCs w:val="20"/>
          <w:color w:val="auto"/>
        </w:rPr>
      </w:pPr>
    </w:p>
    <w:p>
      <w:pPr>
        <w:ind w:right="120" w:firstLine="562"/>
        <w:spacing w:after="0" w:line="255" w:lineRule="auto"/>
        <w:rPr>
          <w:sz w:val="20"/>
          <w:szCs w:val="20"/>
          <w:color w:val="auto"/>
        </w:rPr>
      </w:pPr>
      <w:r>
        <w:rPr>
          <w:rFonts w:ascii="Arial" w:cs="Arial" w:eastAsia="Arial" w:hAnsi="Arial"/>
          <w:sz w:val="13"/>
          <w:szCs w:val="13"/>
          <w:color w:val="auto"/>
        </w:rPr>
        <w:t>Payments made under our Notes to a foreign financial institution or non-financial foreign entity (including such an institution or entity acting as an intermediary) may be subject to a U.S. withholding tax of 30% under a U.S. federal tax law (commonly known as “FATCA”). This tax may apply to certain payments of interest as well as payments made upon maturity, redemption, or sale of our Notes, unless the foreign financial institution or non-financial foreign entity complies with certain information reporting, withholding, identification, certification and related requirements imposed by FATCA. Holders of our Notes should consult their own tax advisors regarding FATCA and how it may affect their investment in our Notes.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180"/>
          </w:cols>
          <w:pgMar w:left="320" w:top="459" w:right="3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color w:val="auto"/>
        </w:rPr>
        <w:t>Unresolved Staff Comments</w:t>
      </w:r>
    </w:p>
    <w:p>
      <w:pPr>
        <w:spacing w:after="0" w:line="100" w:lineRule="exact"/>
        <w:rPr>
          <w:sz w:val="20"/>
          <w:szCs w:val="20"/>
          <w:color w:val="auto"/>
        </w:rPr>
      </w:pPr>
    </w:p>
    <w:p>
      <w:pPr>
        <w:jc w:val="center"/>
        <w:ind w:right="9700"/>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100" w:lineRule="exact"/>
        <w:rPr>
          <w:sz w:val="20"/>
          <w:szCs w:val="20"/>
          <w:color w:val="auto"/>
        </w:rPr>
      </w:pPr>
    </w:p>
    <w:p>
      <w:pPr>
        <w:ind w:right="380" w:firstLine="562"/>
        <w:spacing w:after="0" w:line="253" w:lineRule="auto"/>
        <w:rPr>
          <w:sz w:val="20"/>
          <w:szCs w:val="20"/>
          <w:color w:val="auto"/>
        </w:rPr>
      </w:pPr>
      <w:r>
        <w:rPr>
          <w:rFonts w:ascii="Arial" w:cs="Arial" w:eastAsia="Arial" w:hAnsi="Arial"/>
          <w:sz w:val="14"/>
          <w:szCs w:val="14"/>
          <w:color w:val="auto"/>
        </w:rPr>
        <w:t>As of September 30, 2016, we did not own any real estate or other physical properties materially important to our operation. We believe that the office facilities of the Investment Adviser and Administrator are suitable and adequate for our business as it is contemplated to be conducted.</w:t>
      </w:r>
    </w:p>
    <w:p>
      <w:pPr>
        <w:spacing w:after="0" w:line="7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Legal Proceedings</w:t>
      </w:r>
    </w:p>
    <w:p>
      <w:pPr>
        <w:spacing w:after="0" w:line="100"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86"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Not applicable.</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180"/>
          </w:cols>
          <w:pgMar w:left="32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23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Market for Registrant’s Common Equity, Related Stockholder Matters and Issuer Purchases of Equity Securities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PRICE RANGE OF COMMON STOCK</w:t>
      </w:r>
    </w:p>
    <w:p>
      <w:pPr>
        <w:spacing w:after="0" w:line="208" w:lineRule="exact"/>
        <w:rPr>
          <w:sz w:val="20"/>
          <w:szCs w:val="20"/>
          <w:color w:val="auto"/>
        </w:rPr>
      </w:pPr>
    </w:p>
    <w:p>
      <w:pPr>
        <w:ind w:right="60" w:firstLine="562"/>
        <w:spacing w:after="0" w:line="253" w:lineRule="auto"/>
        <w:rPr>
          <w:sz w:val="20"/>
          <w:szCs w:val="20"/>
          <w:color w:val="auto"/>
        </w:rPr>
      </w:pPr>
      <w:r>
        <w:rPr>
          <w:rFonts w:ascii="Arial" w:cs="Arial" w:eastAsia="Arial" w:hAnsi="Arial"/>
          <w:sz w:val="14"/>
          <w:szCs w:val="14"/>
          <w:color w:val="auto"/>
        </w:rPr>
        <w:t>Our common stock is traded on the NASDAQ Global Select Market under the symbol “PNNT.” The following table lists the high and low closing sale prices for our common stock, the closing sale prices as a premium or (discount) to our NAV per share and distributions declared per share since October 1, 2014.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7"/>
              </w:rPr>
              <w:t>Premium /</w:t>
            </w:r>
          </w:p>
        </w:tc>
        <w:tc>
          <w:tcPr>
            <w:tcW w:w="15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Premium /</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(Discount)</w:t>
            </w: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(Discount)</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ind w:left="140"/>
              <w:spacing w:after="0"/>
              <w:rPr>
                <w:sz w:val="20"/>
                <w:szCs w:val="20"/>
                <w:color w:val="auto"/>
              </w:rPr>
            </w:pPr>
            <w:r>
              <w:rPr>
                <w:rFonts w:ascii="Arial" w:cs="Arial" w:eastAsia="Arial" w:hAnsi="Arial"/>
                <w:sz w:val="14"/>
                <w:szCs w:val="14"/>
                <w:b w:val="1"/>
                <w:bCs w:val="1"/>
                <w:color w:val="auto"/>
              </w:rPr>
              <w:t>Closing Sale Prices</w:t>
            </w: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of High Sale</w:t>
            </w:r>
          </w:p>
        </w:tc>
        <w:tc>
          <w:tcPr>
            <w:tcW w:w="15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of Low Sale</w:t>
            </w:r>
          </w:p>
        </w:tc>
        <w:tc>
          <w:tcPr>
            <w:tcW w:w="9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2"/>
              </w:rPr>
              <w:t>Distributions</w:t>
            </w:r>
          </w:p>
        </w:tc>
        <w:tc>
          <w:tcPr>
            <w:tcW w:w="0" w:type="dxa"/>
            <w:vAlign w:val="bottom"/>
          </w:tcPr>
          <w:p>
            <w:pPr>
              <w:spacing w:after="0"/>
              <w:rPr>
                <w:sz w:val="1"/>
                <w:szCs w:val="1"/>
                <w:color w:val="auto"/>
              </w:rPr>
            </w:pPr>
          </w:p>
        </w:tc>
      </w:tr>
      <w:tr>
        <w:trPr>
          <w:trHeight w:val="142"/>
        </w:trPr>
        <w:tc>
          <w:tcPr>
            <w:tcW w:w="4440" w:type="dxa"/>
            <w:vAlign w:val="bottom"/>
            <w:gridSpan w:val="2"/>
            <w:vMerge w:val="continue"/>
          </w:tcPr>
          <w:p>
            <w:pPr>
              <w:spacing w:after="0"/>
              <w:rPr>
                <w:sz w:val="12"/>
                <w:szCs w:val="12"/>
                <w:color w:val="auto"/>
              </w:rPr>
            </w:pPr>
          </w:p>
        </w:tc>
        <w:tc>
          <w:tcPr>
            <w:tcW w:w="68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4"/>
              </w:rPr>
              <w:t>NAV</w:t>
            </w:r>
            <w:r>
              <w:rPr>
                <w:rFonts w:ascii="Arial" w:cs="Arial" w:eastAsia="Arial" w:hAnsi="Arial"/>
                <w:sz w:val="12"/>
                <w:szCs w:val="12"/>
                <w:b w:val="1"/>
                <w:bCs w:val="1"/>
                <w:color w:val="auto"/>
                <w:w w:val="94"/>
              </w:rPr>
              <w:t>(1)</w:t>
            </w:r>
          </w:p>
        </w:tc>
        <w:tc>
          <w:tcPr>
            <w:tcW w:w="220" w:type="dxa"/>
            <w:vAlign w:val="bottom"/>
          </w:tcPr>
          <w:p>
            <w:pPr>
              <w:spacing w:after="0"/>
              <w:rPr>
                <w:sz w:val="12"/>
                <w:szCs w:val="12"/>
                <w:color w:val="auto"/>
              </w:rPr>
            </w:pPr>
          </w:p>
        </w:tc>
        <w:tc>
          <w:tcPr>
            <w:tcW w:w="76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High</w:t>
            </w:r>
          </w:p>
        </w:tc>
        <w:tc>
          <w:tcPr>
            <w:tcW w:w="2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Low</w:t>
            </w:r>
          </w:p>
        </w:tc>
        <w:tc>
          <w:tcPr>
            <w:tcW w:w="460" w:type="dxa"/>
            <w:vAlign w:val="bottom"/>
          </w:tcPr>
          <w:p>
            <w:pPr>
              <w:spacing w:after="0"/>
              <w:rPr>
                <w:sz w:val="12"/>
                <w:szCs w:val="12"/>
                <w:color w:val="auto"/>
              </w:rPr>
            </w:pPr>
          </w:p>
        </w:tc>
        <w:tc>
          <w:tcPr>
            <w:tcW w:w="1520" w:type="dxa"/>
            <w:vAlign w:val="bottom"/>
            <w:gridSpan w:val="2"/>
          </w:tcPr>
          <w:p>
            <w:pPr>
              <w:jc w:val="center"/>
              <w:ind w:right="540"/>
              <w:spacing w:after="0" w:line="142" w:lineRule="exact"/>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1560" w:type="dxa"/>
            <w:vAlign w:val="bottom"/>
            <w:gridSpan w:val="2"/>
          </w:tcPr>
          <w:p>
            <w:pPr>
              <w:jc w:val="center"/>
              <w:ind w:right="580"/>
              <w:spacing w:after="0" w:line="142" w:lineRule="exact"/>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12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42"/>
        </w:trPr>
        <w:tc>
          <w:tcPr>
            <w:tcW w:w="4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Fiscal Year Ended September 30, 2016</w:t>
            </w:r>
          </w:p>
        </w:tc>
        <w:tc>
          <w:tcPr>
            <w:tcW w:w="3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Fourth quarter</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7"/>
              </w:rPr>
              <w:t>$  9.05</w:t>
            </w:r>
          </w:p>
        </w:tc>
        <w:tc>
          <w:tcPr>
            <w:tcW w:w="9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   8.16</w:t>
            </w:r>
          </w:p>
        </w:tc>
        <w:tc>
          <w:tcPr>
            <w:tcW w:w="116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  6.88</w:t>
            </w:r>
          </w:p>
        </w:tc>
        <w:tc>
          <w:tcPr>
            <w:tcW w:w="15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w:t>
            </w:r>
          </w:p>
        </w:tc>
        <w:tc>
          <w:tcPr>
            <w:tcW w:w="156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(24)%</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8"/>
        </w:trPr>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Third quarter</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8.94</w:t>
            </w:r>
          </w:p>
        </w:tc>
        <w:tc>
          <w:tcPr>
            <w:tcW w:w="9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6.83</w:t>
            </w:r>
          </w:p>
        </w:tc>
        <w:tc>
          <w:tcPr>
            <w:tcW w:w="11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6.10</w:t>
            </w:r>
          </w:p>
        </w:tc>
        <w:tc>
          <w:tcPr>
            <w:tcW w:w="15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(24)</w:t>
            </w:r>
          </w:p>
        </w:tc>
        <w:tc>
          <w:tcPr>
            <w:tcW w:w="156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8"/>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Second quarter</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8.83</w:t>
            </w:r>
          </w:p>
        </w:tc>
        <w:tc>
          <w:tcPr>
            <w:tcW w:w="9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6.43</w:t>
            </w:r>
          </w:p>
        </w:tc>
        <w:tc>
          <w:tcPr>
            <w:tcW w:w="116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4.95</w:t>
            </w:r>
          </w:p>
        </w:tc>
        <w:tc>
          <w:tcPr>
            <w:tcW w:w="15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(27)</w:t>
            </w:r>
          </w:p>
        </w:tc>
        <w:tc>
          <w:tcPr>
            <w:tcW w:w="156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(44)</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8"/>
        </w:trPr>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 quarter</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9.02</w:t>
            </w:r>
          </w:p>
        </w:tc>
        <w:tc>
          <w:tcPr>
            <w:tcW w:w="9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7.31</w:t>
            </w:r>
          </w:p>
        </w:tc>
        <w:tc>
          <w:tcPr>
            <w:tcW w:w="11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6.00</w:t>
            </w:r>
          </w:p>
        </w:tc>
        <w:tc>
          <w:tcPr>
            <w:tcW w:w="15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(19)</w:t>
            </w:r>
          </w:p>
        </w:tc>
        <w:tc>
          <w:tcPr>
            <w:tcW w:w="156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Fiscal Year Ended September 30, 2015</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Fourth quarter</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9.82</w:t>
            </w:r>
          </w:p>
        </w:tc>
        <w:tc>
          <w:tcPr>
            <w:tcW w:w="9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8.69</w:t>
            </w:r>
          </w:p>
        </w:tc>
        <w:tc>
          <w:tcPr>
            <w:tcW w:w="11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6.37</w:t>
            </w:r>
          </w:p>
        </w:tc>
        <w:tc>
          <w:tcPr>
            <w:tcW w:w="15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(12)</w:t>
            </w:r>
          </w:p>
        </w:tc>
        <w:tc>
          <w:tcPr>
            <w:tcW w:w="156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8"/>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Third quarter</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10.04</w:t>
            </w:r>
          </w:p>
        </w:tc>
        <w:tc>
          <w:tcPr>
            <w:tcW w:w="9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9.70</w:t>
            </w:r>
          </w:p>
        </w:tc>
        <w:tc>
          <w:tcPr>
            <w:tcW w:w="116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8.78</w:t>
            </w:r>
          </w:p>
        </w:tc>
        <w:tc>
          <w:tcPr>
            <w:tcW w:w="15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(3)</w:t>
            </w:r>
          </w:p>
        </w:tc>
        <w:tc>
          <w:tcPr>
            <w:tcW w:w="156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8"/>
        </w:trPr>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Second quarter</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10.25</w:t>
            </w:r>
          </w:p>
        </w:tc>
        <w:tc>
          <w:tcPr>
            <w:tcW w:w="9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9.77</w:t>
            </w:r>
          </w:p>
        </w:tc>
        <w:tc>
          <w:tcPr>
            <w:tcW w:w="11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8.17</w:t>
            </w:r>
          </w:p>
        </w:tc>
        <w:tc>
          <w:tcPr>
            <w:tcW w:w="15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w:t>
            </w:r>
          </w:p>
        </w:tc>
        <w:tc>
          <w:tcPr>
            <w:tcW w:w="156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82"/>
        </w:trPr>
        <w:tc>
          <w:tcPr>
            <w:tcW w:w="4440" w:type="dxa"/>
            <w:vAlign w:val="bottom"/>
            <w:gridSpan w:val="2"/>
          </w:tcPr>
          <w:p>
            <w:pPr>
              <w:spacing w:after="0"/>
              <w:rPr>
                <w:sz w:val="20"/>
                <w:szCs w:val="20"/>
                <w:color w:val="auto"/>
              </w:rPr>
            </w:pPr>
            <w:r>
              <w:rPr>
                <w:rFonts w:ascii="Arial" w:cs="Arial" w:eastAsia="Arial" w:hAnsi="Arial"/>
                <w:sz w:val="14"/>
                <w:szCs w:val="14"/>
                <w:color w:val="auto"/>
              </w:rPr>
              <w:t>First quarter</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10.43</w:t>
            </w:r>
          </w:p>
        </w:tc>
        <w:tc>
          <w:tcPr>
            <w:tcW w:w="980" w:type="dxa"/>
            <w:vAlign w:val="bottom"/>
            <w:gridSpan w:val="3"/>
          </w:tcPr>
          <w:p>
            <w:pPr>
              <w:jc w:val="right"/>
              <w:ind w:right="240"/>
              <w:spacing w:after="0"/>
              <w:rPr>
                <w:sz w:val="20"/>
                <w:szCs w:val="20"/>
                <w:color w:val="auto"/>
              </w:rPr>
            </w:pPr>
            <w:r>
              <w:rPr>
                <w:rFonts w:ascii="Arial" w:cs="Arial" w:eastAsia="Arial" w:hAnsi="Arial"/>
                <w:sz w:val="14"/>
                <w:szCs w:val="14"/>
                <w:color w:val="auto"/>
              </w:rPr>
              <w:t>11.09</w:t>
            </w:r>
          </w:p>
        </w:tc>
        <w:tc>
          <w:tcPr>
            <w:tcW w:w="1160" w:type="dxa"/>
            <w:vAlign w:val="bottom"/>
            <w:gridSpan w:val="3"/>
          </w:tcPr>
          <w:p>
            <w:pPr>
              <w:jc w:val="right"/>
              <w:ind w:right="460"/>
              <w:spacing w:after="0"/>
              <w:rPr>
                <w:sz w:val="20"/>
                <w:szCs w:val="20"/>
                <w:color w:val="auto"/>
              </w:rPr>
            </w:pPr>
            <w:r>
              <w:rPr>
                <w:rFonts w:ascii="Arial" w:cs="Arial" w:eastAsia="Arial" w:hAnsi="Arial"/>
                <w:sz w:val="14"/>
                <w:szCs w:val="14"/>
                <w:color w:val="auto"/>
              </w:rPr>
              <w:t>9.01</w:t>
            </w:r>
          </w:p>
        </w:tc>
        <w:tc>
          <w:tcPr>
            <w:tcW w:w="1520" w:type="dxa"/>
            <w:vAlign w:val="bottom"/>
            <w:gridSpan w:val="2"/>
          </w:tcPr>
          <w:p>
            <w:pPr>
              <w:jc w:val="right"/>
              <w:ind w:right="540"/>
              <w:spacing w:after="0"/>
              <w:rPr>
                <w:sz w:val="20"/>
                <w:szCs w:val="20"/>
                <w:color w:val="auto"/>
              </w:rPr>
            </w:pPr>
            <w:r>
              <w:rPr>
                <w:rFonts w:ascii="Arial" w:cs="Arial" w:eastAsia="Arial" w:hAnsi="Arial"/>
                <w:sz w:val="14"/>
                <w:szCs w:val="14"/>
                <w:color w:val="auto"/>
              </w:rPr>
              <w:t>6</w:t>
            </w:r>
          </w:p>
        </w:tc>
        <w:tc>
          <w:tcPr>
            <w:tcW w:w="1560" w:type="dxa"/>
            <w:vAlign w:val="bottom"/>
            <w:gridSpan w:val="2"/>
          </w:tcPr>
          <w:p>
            <w:pPr>
              <w:ind w:left="800"/>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18516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17" w:lineRule="exact"/>
        <w:rPr>
          <w:sz w:val="20"/>
          <w:szCs w:val="20"/>
          <w:color w:val="auto"/>
        </w:rPr>
      </w:pPr>
    </w:p>
    <w:p>
      <w:pPr>
        <w:ind w:left="560" w:right="80" w:hanging="552"/>
        <w:spacing w:after="0" w:line="230" w:lineRule="auto"/>
        <w:tabs>
          <w:tab w:leader="none" w:pos="560" w:val="left"/>
        </w:tabs>
        <w:numPr>
          <w:ilvl w:val="0"/>
          <w:numId w:val="31"/>
        </w:numPr>
        <w:rPr>
          <w:rFonts w:ascii="Arial" w:cs="Arial" w:eastAsia="Arial" w:hAnsi="Arial"/>
          <w:sz w:val="12"/>
          <w:szCs w:val="12"/>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560" w:hanging="552"/>
        <w:spacing w:after="0"/>
        <w:tabs>
          <w:tab w:leader="none" w:pos="560" w:val="left"/>
        </w:tabs>
        <w:numPr>
          <w:ilvl w:val="0"/>
          <w:numId w:val="31"/>
        </w:numPr>
        <w:rPr>
          <w:rFonts w:ascii="Arial" w:cs="Arial" w:eastAsia="Arial" w:hAnsi="Arial"/>
          <w:sz w:val="12"/>
          <w:szCs w:val="12"/>
          <w:color w:val="auto"/>
        </w:rPr>
      </w:pPr>
      <w:r>
        <w:rPr>
          <w:rFonts w:ascii="Arial" w:cs="Arial" w:eastAsia="Arial" w:hAnsi="Arial"/>
          <w:sz w:val="14"/>
          <w:szCs w:val="14"/>
          <w:color w:val="auto"/>
        </w:rPr>
        <w:t>Calculated as of the respective high or low closing sale prices less NAV per share, divided by the quarter-end NAV per share.</w:t>
      </w:r>
    </w:p>
    <w:p>
      <w:pPr>
        <w:spacing w:after="0" w:line="84" w:lineRule="exact"/>
        <w:rPr>
          <w:sz w:val="20"/>
          <w:szCs w:val="20"/>
          <w:color w:val="auto"/>
        </w:rPr>
      </w:pPr>
    </w:p>
    <w:p>
      <w:pPr>
        <w:ind w:right="120" w:firstLine="562"/>
        <w:spacing w:after="0" w:line="255" w:lineRule="auto"/>
        <w:rPr>
          <w:sz w:val="20"/>
          <w:szCs w:val="20"/>
          <w:color w:val="auto"/>
        </w:rPr>
      </w:pPr>
      <w:r>
        <w:rPr>
          <w:rFonts w:ascii="Arial" w:cs="Arial" w:eastAsia="Arial" w:hAnsi="Arial"/>
          <w:sz w:val="13"/>
          <w:szCs w:val="13"/>
          <w:color w:val="auto"/>
        </w:rPr>
        <w:t>Shares of BDCs may trade at a market price both above and below the NAV that is attributable to those shares. Our shares have traded above and below our NAV. Our shares closed on the NASDAQ Global Select Market at $7.52 and $6.47 as of September 30, 2016 and 2015, respectively. Our NAV per share was $9.05 and $9.82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November 21, 2016, we had 12 stockholders of record.</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 of Unregistered Securities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did not engage in any sales of unregistered securities during the fiscal year ended September 30, 2016.</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Issuer Purchases of Equity Securities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did not repurchase any of our common stock under our share repurchase plan during the fourth quarter ended September 30, 2016.</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DISTRIBUTIONS</w:t>
      </w:r>
    </w:p>
    <w:p>
      <w:pPr>
        <w:spacing w:after="0" w:line="208" w:lineRule="exact"/>
        <w:rPr>
          <w:sz w:val="20"/>
          <w:szCs w:val="20"/>
          <w:color w:val="auto"/>
        </w:rPr>
      </w:pPr>
    </w:p>
    <w:p>
      <w:pPr>
        <w:ind w:right="60" w:firstLine="562"/>
        <w:spacing w:after="0" w:line="255" w:lineRule="auto"/>
        <w:rPr>
          <w:sz w:val="20"/>
          <w:szCs w:val="20"/>
          <w:color w:val="auto"/>
        </w:rPr>
      </w:pPr>
      <w:r>
        <w:rPr>
          <w:rFonts w:ascii="Arial" w:cs="Arial" w:eastAsia="Arial" w:hAnsi="Arial"/>
          <w:sz w:val="13"/>
          <w:szCs w:val="13"/>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that we have declared on our common stock in the last two fiscal years.</w:t>
      </w:r>
    </w:p>
    <w:p>
      <w:pPr>
        <w:spacing w:after="0" w:line="185"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Record Dates</w:t>
            </w:r>
          </w:p>
        </w:tc>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Payment Dates</w:t>
            </w: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9"/>
              </w:rPr>
              <w:t>Distributions</w:t>
            </w: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42"/>
        </w:trPr>
        <w:tc>
          <w:tcPr>
            <w:tcW w:w="55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Fiscal Year Ended September 30, 2016</w:t>
            </w:r>
          </w:p>
        </w:tc>
        <w:tc>
          <w:tcPr>
            <w:tcW w:w="5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September 21, 2016</w:t>
            </w:r>
          </w:p>
        </w:tc>
        <w:tc>
          <w:tcPr>
            <w:tcW w:w="16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October 3, 2016</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June 20, 2016</w:t>
            </w:r>
          </w:p>
        </w:tc>
        <w:tc>
          <w:tcPr>
            <w:tcW w:w="16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July 1, 2016</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March 18, 2016</w:t>
            </w:r>
          </w:p>
        </w:tc>
        <w:tc>
          <w:tcPr>
            <w:tcW w:w="16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April 1, 2016</w:t>
            </w:r>
          </w:p>
        </w:tc>
        <w:tc>
          <w:tcPr>
            <w:tcW w:w="10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December 24, 2015</w:t>
            </w:r>
          </w:p>
        </w:tc>
        <w:tc>
          <w:tcPr>
            <w:tcW w:w="16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January 4, 2016</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04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Total</w:t>
            </w: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Fiscal Year Ended September 30, 2015</w:t>
            </w:r>
          </w:p>
        </w:tc>
        <w:tc>
          <w:tcPr>
            <w:tcW w:w="9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September 21, 2015</w:t>
            </w:r>
          </w:p>
        </w:tc>
        <w:tc>
          <w:tcPr>
            <w:tcW w:w="16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October 1, 2015</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June 15, 2015</w:t>
            </w:r>
          </w:p>
        </w:tc>
        <w:tc>
          <w:tcPr>
            <w:tcW w:w="16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July 1, 2015</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March 20, 2015</w:t>
            </w:r>
          </w:p>
        </w:tc>
        <w:tc>
          <w:tcPr>
            <w:tcW w:w="16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April 1, 2015</w:t>
            </w:r>
          </w:p>
        </w:tc>
        <w:tc>
          <w:tcPr>
            <w:tcW w:w="10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December 19, 2014</w:t>
            </w:r>
          </w:p>
        </w:tc>
        <w:tc>
          <w:tcPr>
            <w:tcW w:w="16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January 2, 2015</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04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Total</w:t>
            </w: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In January 2017, a Form 1099-DIV will be sent to stockholders subject to information reporting that will state the amount and composition of distributions and provide information with respect to appropriate tax treatment of our distributions.</w:t>
      </w:r>
    </w:p>
    <w:p>
      <w:pPr>
        <w:spacing w:after="0" w:line="66" w:lineRule="exact"/>
        <w:rPr>
          <w:sz w:val="20"/>
          <w:szCs w:val="20"/>
          <w:color w:val="auto"/>
        </w:rPr>
      </w:pPr>
    </w:p>
    <w:p>
      <w:pPr>
        <w:ind w:firstLine="562"/>
        <w:spacing w:after="0" w:line="264" w:lineRule="auto"/>
        <w:rPr>
          <w:sz w:val="20"/>
          <w:szCs w:val="20"/>
          <w:color w:val="auto"/>
        </w:rPr>
      </w:pPr>
      <w:r>
        <w:rPr>
          <w:rFonts w:ascii="Arial" w:cs="Arial" w:eastAsia="Arial" w:hAnsi="Arial"/>
          <w:sz w:val="13"/>
          <w:szCs w:val="13"/>
          <w:color w:val="auto"/>
        </w:rPr>
        <w:t>The tax characteristics of distributions declared, in accordance with Section 19(a) of the 1940 Act, during the fiscal years ended September 30, 2016 and 2015 from ordinary income totaled $58.1 million and $83.3 million, or $0.81 and $1.11 per share, respectively, based on weighted average shares outstanding for the respective periods. Additionally, for the fiscal year ended September 30, 2016, we had long-term capital gain distributions of $21.7 million, or $0.30 per share, based on weighted average shares outstanding.</w:t>
      </w:r>
    </w:p>
    <w:p>
      <w:pPr>
        <w:spacing w:after="0" w:line="60" w:lineRule="exact"/>
        <w:rPr>
          <w:sz w:val="20"/>
          <w:szCs w:val="20"/>
          <w:color w:val="auto"/>
        </w:rPr>
      </w:pPr>
    </w:p>
    <w:p>
      <w:pPr>
        <w:ind w:right="60" w:firstLine="562"/>
        <w:spacing w:after="0" w:line="290"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44"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tax status. We cannot assure stockholders that they will receive any distributions or distributions at a particular level.</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00"/>
          </w:cols>
          <w:pgMar w:left="320" w:top="459" w:right="3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Performance Graph</w:t>
      </w:r>
    </w:p>
    <w:p>
      <w:pPr>
        <w:spacing w:after="0" w:line="96" w:lineRule="exact"/>
        <w:rPr>
          <w:sz w:val="20"/>
          <w:szCs w:val="20"/>
          <w:color w:val="auto"/>
        </w:rPr>
      </w:pPr>
    </w:p>
    <w:p>
      <w:pPr>
        <w:jc w:val="both"/>
        <w:ind w:right="80" w:firstLine="562"/>
        <w:spacing w:after="0" w:line="264" w:lineRule="auto"/>
        <w:rPr>
          <w:sz w:val="20"/>
          <w:szCs w:val="20"/>
          <w:color w:val="auto"/>
        </w:rPr>
      </w:pPr>
      <w:r>
        <w:rPr>
          <w:rFonts w:ascii="Arial" w:cs="Arial" w:eastAsia="Arial" w:hAnsi="Arial"/>
          <w:sz w:val="13"/>
          <w:szCs w:val="13"/>
          <w:color w:val="auto"/>
        </w:rPr>
        <w:t>This graph compares the return on our common stock with that of the Standard &amp; Poor’s 500 Stock Index and the Russell 2000 Financial Services Index, for the last five fiscal years. The graph assumes that, on September 30, 2011, a person invested $100 in each of our common stock, the S&amp;P 500 Index, and the Russell 2000 Financial Services Index. The graph measures total stockholder return, which takes into account both changes in stock price and distributions. It assumes that distributions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135890</wp:posOffset>
            </wp:positionV>
            <wp:extent cx="5203190" cy="31800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0319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firstLine="562"/>
        <w:spacing w:after="0" w:line="290" w:lineRule="auto"/>
        <w:rPr>
          <w:sz w:val="20"/>
          <w:szCs w:val="20"/>
          <w:color w:val="auto"/>
        </w:rPr>
      </w:pPr>
      <w:r>
        <w:rPr>
          <w:rFonts w:ascii="Arial" w:cs="Arial" w:eastAsia="Arial" w:hAnsi="Arial"/>
          <w:sz w:val="13"/>
          <w:szCs w:val="13"/>
          <w:color w:val="auto"/>
        </w:rPr>
        <w:t>The graph and other information furnished under this Part II Item 5 of this Report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84"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Selected Financial Data</w:t>
      </w:r>
    </w:p>
    <w:p>
      <w:pPr>
        <w:spacing w:after="0" w:line="100" w:lineRule="exact"/>
        <w:rPr>
          <w:sz w:val="20"/>
          <w:szCs w:val="20"/>
          <w:color w:val="auto"/>
        </w:rPr>
      </w:pPr>
    </w:p>
    <w:p>
      <w:pPr>
        <w:jc w:val="both"/>
        <w:ind w:right="40" w:firstLine="562"/>
        <w:spacing w:after="0" w:line="238" w:lineRule="auto"/>
        <w:rPr>
          <w:sz w:val="20"/>
          <w:szCs w:val="20"/>
          <w:color w:val="auto"/>
        </w:rPr>
      </w:pPr>
      <w:r>
        <w:rPr>
          <w:rFonts w:ascii="Arial" w:cs="Arial" w:eastAsia="Arial" w:hAnsi="Arial"/>
          <w:sz w:val="14"/>
          <w:szCs w:val="14"/>
          <w:color w:val="auto"/>
        </w:rPr>
        <w:t>We have derived the data below from our audited and unaudited financial data. The Consolidated Statement of Operations data, per share data and Consolidated Statement of Assets and Liabilities data presented are derived from our audited Consolidated Financial Statements. These selected financial data should be read in conjunction with our Consolidated Financial Statements and related notes thereto and “Management’s Discussion and Analysis of Financial Condition and Results of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rPr>
              <w:t>For the years ended September 30,</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020" w:type="dxa"/>
            <w:vAlign w:val="bottom"/>
          </w:tcPr>
          <w:p>
            <w:pPr>
              <w:spacing w:after="0"/>
              <w:rPr>
                <w:sz w:val="12"/>
                <w:szCs w:val="12"/>
                <w:color w:val="auto"/>
              </w:rPr>
            </w:pPr>
          </w:p>
        </w:tc>
        <w:tc>
          <w:tcPr>
            <w:tcW w:w="68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2"/>
                <w:szCs w:val="12"/>
                <w:color w:val="auto"/>
              </w:rPr>
            </w:pPr>
          </w:p>
        </w:tc>
        <w:tc>
          <w:tcPr>
            <w:tcW w:w="6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2"/>
                <w:szCs w:val="12"/>
                <w:color w:val="auto"/>
              </w:rPr>
            </w:pPr>
          </w:p>
        </w:tc>
        <w:tc>
          <w:tcPr>
            <w:tcW w:w="6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80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82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r>
      <w:tr>
        <w:trPr>
          <w:trHeight w:val="128"/>
        </w:trPr>
        <w:tc>
          <w:tcPr>
            <w:tcW w:w="60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(Dollar amounts in thousands, except per share data)</w:t>
            </w:r>
          </w:p>
        </w:tc>
        <w:tc>
          <w:tcPr>
            <w:tcW w:w="6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r>
      <w:tr>
        <w:trPr>
          <w:trHeight w:val="149"/>
        </w:trPr>
        <w:tc>
          <w:tcPr>
            <w:tcW w:w="6020" w:type="dxa"/>
            <w:vAlign w:val="bottom"/>
          </w:tcPr>
          <w:p>
            <w:pPr>
              <w:spacing w:after="0" w:line="149" w:lineRule="exact"/>
              <w:rPr>
                <w:sz w:val="20"/>
                <w:szCs w:val="20"/>
                <w:color w:val="auto"/>
              </w:rPr>
            </w:pPr>
            <w:r>
              <w:rPr>
                <w:rFonts w:ascii="Arial" w:cs="Arial" w:eastAsia="Arial" w:hAnsi="Arial"/>
                <w:sz w:val="14"/>
                <w:szCs w:val="14"/>
                <w:b w:val="1"/>
                <w:bCs w:val="1"/>
                <w:color w:val="auto"/>
              </w:rPr>
              <w:t>Consolidated Statement of Operations data:</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 income</w:t>
            </w: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99"/>
              </w:rPr>
              <w:t>$  142,071</w:t>
            </w: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96"/>
              </w:rPr>
              <w:t>$  161,629</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  147,936</w:t>
            </w:r>
          </w:p>
        </w:tc>
        <w:tc>
          <w:tcPr>
            <w:tcW w:w="10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  129,187</w:t>
            </w:r>
          </w:p>
        </w:tc>
        <w:tc>
          <w:tcPr>
            <w:tcW w:w="9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  113,392</w:t>
            </w:r>
          </w:p>
        </w:tc>
      </w:tr>
      <w:tr>
        <w:trPr>
          <w:trHeight w:val="148"/>
        </w:trPr>
        <w:tc>
          <w:tcPr>
            <w:tcW w:w="602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77,997</w:t>
            </w:r>
            <w:r>
              <w:rPr>
                <w:rFonts w:ascii="Arial" w:cs="Arial" w:eastAsia="Arial" w:hAnsi="Arial"/>
                <w:sz w:val="12"/>
                <w:szCs w:val="12"/>
                <w:color w:val="auto"/>
              </w:rPr>
              <w:t>(1)</w:t>
            </w:r>
          </w:p>
        </w:tc>
        <w:tc>
          <w:tcPr>
            <w:tcW w:w="11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79,371</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76,608</w:t>
            </w:r>
          </w:p>
        </w:tc>
        <w:tc>
          <w:tcPr>
            <w:tcW w:w="10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62,189</w:t>
            </w: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56,323</w:t>
            </w:r>
          </w:p>
        </w:tc>
      </w:tr>
      <w:tr>
        <w:trPr>
          <w:trHeight w:val="148"/>
        </w:trPr>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w:t>
            </w: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70,615</w:t>
            </w: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82,258</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71,329</w:t>
            </w:r>
          </w:p>
        </w:tc>
        <w:tc>
          <w:tcPr>
            <w:tcW w:w="10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66,998</w:t>
            </w:r>
          </w:p>
        </w:tc>
        <w:tc>
          <w:tcPr>
            <w:tcW w:w="9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57,069</w:t>
            </w:r>
          </w:p>
        </w:tc>
      </w:tr>
      <w:tr>
        <w:trPr>
          <w:trHeight w:val="148"/>
        </w:trPr>
        <w:tc>
          <w:tcPr>
            <w:tcW w:w="6020" w:type="dxa"/>
            <w:vAlign w:val="bottom"/>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(51,878)</w:t>
            </w: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(92,504)</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39,655</w:t>
            </w:r>
          </w:p>
        </w:tc>
        <w:tc>
          <w:tcPr>
            <w:tcW w:w="10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24,780</w:t>
            </w: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6,284</w:t>
            </w:r>
          </w:p>
        </w:tc>
      </w:tr>
      <w:tr>
        <w:trPr>
          <w:trHeight w:val="149"/>
        </w:trPr>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18,737</w:t>
            </w: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(10,246)</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110,983</w:t>
            </w:r>
          </w:p>
        </w:tc>
        <w:tc>
          <w:tcPr>
            <w:tcW w:w="10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91,778</w:t>
            </w:r>
          </w:p>
        </w:tc>
        <w:tc>
          <w:tcPr>
            <w:tcW w:w="9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63,353</w:t>
            </w:r>
          </w:p>
        </w:tc>
      </w:tr>
      <w:tr>
        <w:trPr>
          <w:trHeight w:val="148"/>
        </w:trPr>
        <w:tc>
          <w:tcPr>
            <w:tcW w:w="6020" w:type="dxa"/>
            <w:vAlign w:val="bottom"/>
          </w:tcPr>
          <w:p>
            <w:pPr>
              <w:spacing w:after="0" w:line="149" w:lineRule="exact"/>
              <w:rPr>
                <w:sz w:val="20"/>
                <w:szCs w:val="20"/>
                <w:color w:val="auto"/>
              </w:rPr>
            </w:pPr>
            <w:r>
              <w:rPr>
                <w:rFonts w:ascii="Arial" w:cs="Arial" w:eastAsia="Arial" w:hAnsi="Arial"/>
                <w:sz w:val="14"/>
                <w:szCs w:val="14"/>
                <w:b w:val="1"/>
                <w:bCs w:val="1"/>
                <w:color w:val="auto"/>
              </w:rPr>
              <w:t>Per share data:</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w:t>
            </w: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9.05</w:t>
            </w: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9.82</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11.03</w:t>
            </w:r>
          </w:p>
        </w:tc>
        <w:tc>
          <w:tcPr>
            <w:tcW w:w="10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10.49</w:t>
            </w:r>
          </w:p>
        </w:tc>
        <w:tc>
          <w:tcPr>
            <w:tcW w:w="9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10.22</w:t>
            </w:r>
          </w:p>
        </w:tc>
      </w:tr>
      <w:tr>
        <w:trPr>
          <w:trHeight w:val="148"/>
        </w:trPr>
        <w:tc>
          <w:tcPr>
            <w:tcW w:w="6020" w:type="dxa"/>
            <w:vAlign w:val="bottom"/>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(2)</w:t>
            </w: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0.99</w:t>
            </w:r>
          </w:p>
        </w:tc>
        <w:tc>
          <w:tcPr>
            <w:tcW w:w="11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1.10</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1.06</w:t>
            </w:r>
          </w:p>
        </w:tc>
        <w:tc>
          <w:tcPr>
            <w:tcW w:w="10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1.01</w:t>
            </w: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1.08</w:t>
            </w:r>
          </w:p>
        </w:tc>
      </w:tr>
      <w:tr>
        <w:trPr>
          <w:trHeight w:val="148"/>
        </w:trPr>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realized and unrealized (loss) gain </w:t>
            </w:r>
            <w:r>
              <w:rPr>
                <w:rFonts w:ascii="Arial" w:cs="Arial" w:eastAsia="Arial" w:hAnsi="Arial"/>
                <w:sz w:val="12"/>
                <w:szCs w:val="12"/>
                <w:color w:val="auto"/>
              </w:rPr>
              <w:t>(2)</w:t>
            </w: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(0.73)</w:t>
            </w: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(1.24)</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0.60</w:t>
            </w:r>
          </w:p>
        </w:tc>
        <w:tc>
          <w:tcPr>
            <w:tcW w:w="10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0.38</w:t>
            </w:r>
          </w:p>
        </w:tc>
        <w:tc>
          <w:tcPr>
            <w:tcW w:w="9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0.12</w:t>
            </w:r>
          </w:p>
        </w:tc>
      </w:tr>
      <w:tr>
        <w:trPr>
          <w:trHeight w:val="148"/>
        </w:trPr>
        <w:tc>
          <w:tcPr>
            <w:tcW w:w="6020" w:type="dxa"/>
            <w:vAlign w:val="bottom"/>
          </w:tcPr>
          <w:p>
            <w:pPr>
              <w:spacing w:after="0" w:line="149" w:lineRule="exact"/>
              <w:rPr>
                <w:sz w:val="20"/>
                <w:szCs w:val="20"/>
                <w:color w:val="auto"/>
              </w:rPr>
            </w:pPr>
            <w:r>
              <w:rPr>
                <w:rFonts w:ascii="Arial" w:cs="Arial" w:eastAsia="Arial" w:hAnsi="Arial"/>
                <w:sz w:val="14"/>
                <w:szCs w:val="14"/>
                <w:color w:val="auto"/>
              </w:rPr>
              <w:t xml:space="preserve">Net increase (decrease) in net assets resulting from operations </w:t>
            </w:r>
            <w:r>
              <w:rPr>
                <w:rFonts w:ascii="Arial" w:cs="Arial" w:eastAsia="Arial" w:hAnsi="Arial"/>
                <w:sz w:val="12"/>
                <w:szCs w:val="12"/>
                <w:color w:val="auto"/>
              </w:rPr>
              <w:t>(2)</w:t>
            </w: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0.26</w:t>
            </w: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(0.14)</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1.66</w:t>
            </w:r>
          </w:p>
        </w:tc>
        <w:tc>
          <w:tcPr>
            <w:tcW w:w="10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1.39</w:t>
            </w: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1.20</w:t>
            </w:r>
          </w:p>
        </w:tc>
      </w:tr>
      <w:tr>
        <w:trPr>
          <w:trHeight w:val="149"/>
        </w:trPr>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Distributions declared </w:t>
            </w:r>
            <w:r>
              <w:rPr>
                <w:rFonts w:ascii="Arial" w:cs="Arial" w:eastAsia="Arial" w:hAnsi="Arial"/>
                <w:sz w:val="12"/>
                <w:szCs w:val="12"/>
                <w:color w:val="auto"/>
              </w:rPr>
              <w:t>(2), (3)</w:t>
            </w: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1.11</w:t>
            </w: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1.11</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1.15</w:t>
            </w:r>
          </w:p>
        </w:tc>
        <w:tc>
          <w:tcPr>
            <w:tcW w:w="10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1.12</w:t>
            </w:r>
          </w:p>
        </w:tc>
        <w:tc>
          <w:tcPr>
            <w:tcW w:w="9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1.13</w:t>
            </w:r>
          </w:p>
        </w:tc>
      </w:tr>
      <w:tr>
        <w:trPr>
          <w:trHeight w:val="148"/>
        </w:trPr>
        <w:tc>
          <w:tcPr>
            <w:tcW w:w="6020" w:type="dxa"/>
            <w:vAlign w:val="bottom"/>
          </w:tcPr>
          <w:p>
            <w:pPr>
              <w:spacing w:after="0" w:line="149" w:lineRule="exact"/>
              <w:rPr>
                <w:sz w:val="20"/>
                <w:szCs w:val="20"/>
                <w:color w:val="auto"/>
              </w:rPr>
            </w:pPr>
            <w:r>
              <w:rPr>
                <w:rFonts w:ascii="Arial" w:cs="Arial" w:eastAsia="Arial" w:hAnsi="Arial"/>
                <w:sz w:val="14"/>
                <w:szCs w:val="14"/>
                <w:b w:val="1"/>
                <w:bCs w:val="1"/>
                <w:color w:val="auto"/>
              </w:rPr>
              <w:t>Consolidated Statement of Assets and Liabilities data:</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1,238,936</w:t>
            </w: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1,368,778</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1,411,827</w:t>
            </w:r>
          </w:p>
        </w:tc>
        <w:tc>
          <w:tcPr>
            <w:tcW w:w="10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1,153,327</w:t>
            </w:r>
          </w:p>
        </w:tc>
        <w:tc>
          <w:tcPr>
            <w:tcW w:w="9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1,018,968</w:t>
            </w:r>
          </w:p>
        </w:tc>
      </w:tr>
      <w:tr>
        <w:trPr>
          <w:trHeight w:val="148"/>
        </w:trPr>
        <w:tc>
          <w:tcPr>
            <w:tcW w:w="6020" w:type="dxa"/>
            <w:vAlign w:val="bottom"/>
          </w:tcPr>
          <w:p>
            <w:pPr>
              <w:spacing w:after="0" w:line="149" w:lineRule="exact"/>
              <w:rPr>
                <w:sz w:val="20"/>
                <w:szCs w:val="20"/>
                <w:color w:val="auto"/>
              </w:rPr>
            </w:pPr>
            <w:r>
              <w:rPr>
                <w:rFonts w:ascii="Arial" w:cs="Arial" w:eastAsia="Arial" w:hAnsi="Arial"/>
                <w:sz w:val="14"/>
                <w:szCs w:val="14"/>
                <w:color w:val="auto"/>
              </w:rPr>
              <w:t>Total investment portfolio</w:t>
            </w: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1,153,680</w:t>
            </w:r>
          </w:p>
        </w:tc>
        <w:tc>
          <w:tcPr>
            <w:tcW w:w="11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1,299,048</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1,318,055</w:t>
            </w:r>
          </w:p>
        </w:tc>
        <w:tc>
          <w:tcPr>
            <w:tcW w:w="10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1,078,176</w:t>
            </w: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990,480</w:t>
            </w:r>
          </w:p>
        </w:tc>
      </w:tr>
      <w:tr>
        <w:trPr>
          <w:trHeight w:val="148"/>
        </w:trPr>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Borrowings outstanding </w:t>
            </w:r>
            <w:r>
              <w:rPr>
                <w:rFonts w:ascii="Arial" w:cs="Arial" w:eastAsia="Arial" w:hAnsi="Arial"/>
                <w:sz w:val="12"/>
                <w:szCs w:val="12"/>
                <w:color w:val="auto"/>
              </w:rPr>
              <w:t>(4)</w:t>
            </w: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559,589</w:t>
            </w: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602,865</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526,668</w:t>
            </w:r>
          </w:p>
        </w:tc>
        <w:tc>
          <w:tcPr>
            <w:tcW w:w="10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363,900</w:t>
            </w:r>
          </w:p>
        </w:tc>
        <w:tc>
          <w:tcPr>
            <w:tcW w:w="9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294,452</w:t>
            </w:r>
          </w:p>
        </w:tc>
      </w:tr>
      <w:tr>
        <w:trPr>
          <w:trHeight w:val="149"/>
        </w:trPr>
        <w:tc>
          <w:tcPr>
            <w:tcW w:w="6020" w:type="dxa"/>
            <w:vAlign w:val="bottom"/>
          </w:tcPr>
          <w:p>
            <w:pPr>
              <w:spacing w:after="0" w:line="149" w:lineRule="exact"/>
              <w:rPr>
                <w:sz w:val="20"/>
                <w:szCs w:val="20"/>
                <w:color w:val="auto"/>
              </w:rPr>
            </w:pPr>
            <w:r>
              <w:rPr>
                <w:rFonts w:ascii="Arial" w:cs="Arial" w:eastAsia="Arial" w:hAnsi="Arial"/>
                <w:sz w:val="14"/>
                <w:szCs w:val="14"/>
                <w:color w:val="auto"/>
              </w:rPr>
              <w:t>Total net asset value</w:t>
            </w: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643,367</w:t>
            </w:r>
          </w:p>
        </w:tc>
        <w:tc>
          <w:tcPr>
            <w:tcW w:w="11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716,591</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828,010</w:t>
            </w:r>
          </w:p>
        </w:tc>
        <w:tc>
          <w:tcPr>
            <w:tcW w:w="10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697,506</w:t>
            </w: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669,717</w:t>
            </w:r>
          </w:p>
        </w:tc>
      </w:tr>
      <w:tr>
        <w:trPr>
          <w:trHeight w:val="148"/>
        </w:trPr>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data:</w:t>
            </w: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6020" w:type="dxa"/>
            <w:vAlign w:val="bottom"/>
          </w:tcPr>
          <w:p>
            <w:pPr>
              <w:spacing w:after="0" w:line="149"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(5)</w:t>
            </w: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36.64%</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(32.51)%</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6.76%</w:t>
            </w:r>
          </w:p>
        </w:tc>
        <w:tc>
          <w:tcPr>
            <w:tcW w:w="10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17.37%</w:t>
            </w:r>
          </w:p>
        </w:tc>
        <w:tc>
          <w:tcPr>
            <w:tcW w:w="9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28.71%</w:t>
            </w:r>
          </w:p>
        </w:tc>
      </w:tr>
      <w:tr>
        <w:trPr>
          <w:trHeight w:val="148"/>
        </w:trPr>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Number of portfolio companies </w:t>
            </w:r>
            <w:r>
              <w:rPr>
                <w:rFonts w:ascii="Arial" w:cs="Arial" w:eastAsia="Arial" w:hAnsi="Arial"/>
                <w:sz w:val="12"/>
                <w:szCs w:val="12"/>
                <w:color w:val="auto"/>
              </w:rPr>
              <w:t>(6)</w:t>
            </w: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56</w:t>
            </w: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61</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67</w:t>
            </w:r>
          </w:p>
        </w:tc>
        <w:tc>
          <w:tcPr>
            <w:tcW w:w="10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61</w:t>
            </w:r>
          </w:p>
        </w:tc>
        <w:tc>
          <w:tcPr>
            <w:tcW w:w="9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w:t>
            </w:r>
          </w:p>
        </w:tc>
      </w:tr>
      <w:tr>
        <w:trPr>
          <w:trHeight w:val="182"/>
        </w:trPr>
        <w:tc>
          <w:tcPr>
            <w:tcW w:w="6020" w:type="dxa"/>
            <w:vAlign w:val="bottom"/>
          </w:tcPr>
          <w:p>
            <w:pPr>
              <w:spacing w:after="0"/>
              <w:rPr>
                <w:sz w:val="20"/>
                <w:szCs w:val="20"/>
                <w:color w:val="auto"/>
              </w:rPr>
            </w:pPr>
            <w:r>
              <w:rPr>
                <w:rFonts w:ascii="Arial" w:cs="Arial" w:eastAsia="Arial" w:hAnsi="Arial"/>
                <w:sz w:val="14"/>
                <w:szCs w:val="14"/>
                <w:color w:val="auto"/>
              </w:rPr>
              <w:t xml:space="preserve">Yield on debt portfolio </w:t>
            </w:r>
            <w:r>
              <w:rPr>
                <w:rFonts w:ascii="Arial" w:cs="Arial" w:eastAsia="Arial" w:hAnsi="Arial"/>
                <w:sz w:val="12"/>
                <w:szCs w:val="12"/>
                <w:color w:val="auto"/>
              </w:rPr>
              <w:t>(6)</w:t>
            </w: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11.9%</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color w:val="auto"/>
              </w:rPr>
              <w:t>12.1%</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12.5%</w:t>
            </w: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13.0%</w:t>
            </w:r>
          </w:p>
        </w:tc>
        <w:tc>
          <w:tcPr>
            <w:tcW w:w="980" w:type="dxa"/>
            <w:vAlign w:val="bottom"/>
            <w:gridSpan w:val="3"/>
          </w:tcPr>
          <w:p>
            <w:pPr>
              <w:jc w:val="right"/>
              <w:ind w:right="40"/>
              <w:spacing w:after="0"/>
              <w:rPr>
                <w:sz w:val="20"/>
                <w:szCs w:val="20"/>
                <w:color w:val="auto"/>
              </w:rPr>
            </w:pPr>
            <w:r>
              <w:rPr>
                <w:rFonts w:ascii="Arial" w:cs="Arial" w:eastAsia="Arial" w:hAnsi="Arial"/>
                <w:sz w:val="14"/>
                <w:szCs w:val="14"/>
                <w:color w:val="auto"/>
              </w:rPr>
              <w:t>13.2%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8516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38" w:lineRule="exact"/>
        <w:rPr>
          <w:sz w:val="20"/>
          <w:szCs w:val="20"/>
          <w:color w:val="auto"/>
        </w:rPr>
      </w:pPr>
    </w:p>
    <w:p>
      <w:pPr>
        <w:ind w:left="560" w:hanging="552"/>
        <w:spacing w:after="0"/>
        <w:tabs>
          <w:tab w:leader="none" w:pos="560" w:val="left"/>
        </w:tabs>
        <w:numPr>
          <w:ilvl w:val="0"/>
          <w:numId w:val="32"/>
        </w:numPr>
        <w:rPr>
          <w:rFonts w:ascii="Arial" w:cs="Arial" w:eastAsia="Arial" w:hAnsi="Arial"/>
          <w:sz w:val="12"/>
          <w:szCs w:val="12"/>
          <w:color w:val="auto"/>
        </w:rPr>
      </w:pPr>
      <w:r>
        <w:rPr>
          <w:rFonts w:ascii="Arial" w:cs="Arial" w:eastAsia="Arial" w:hAnsi="Arial"/>
          <w:sz w:val="14"/>
          <w:szCs w:val="14"/>
          <w:color w:val="auto"/>
        </w:rPr>
        <w:t>Expenses net of base management fee and incentive fee waivers were $71,456.</w:t>
      </w:r>
    </w:p>
    <w:p>
      <w:pPr>
        <w:ind w:left="560" w:hanging="552"/>
        <w:spacing w:after="0" w:line="221" w:lineRule="auto"/>
        <w:tabs>
          <w:tab w:leader="none" w:pos="560" w:val="left"/>
        </w:tabs>
        <w:numPr>
          <w:ilvl w:val="0"/>
          <w:numId w:val="32"/>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years.</w:t>
      </w:r>
    </w:p>
    <w:p>
      <w:pPr>
        <w:ind w:left="560" w:right="100" w:hanging="552"/>
        <w:spacing w:after="0" w:line="221" w:lineRule="auto"/>
        <w:tabs>
          <w:tab w:leader="none" w:pos="560" w:val="left"/>
        </w:tabs>
        <w:numPr>
          <w:ilvl w:val="0"/>
          <w:numId w:val="32"/>
        </w:numPr>
        <w:rPr>
          <w:rFonts w:ascii="Arial" w:cs="Arial" w:eastAsia="Arial" w:hAnsi="Arial"/>
          <w:sz w:val="12"/>
          <w:szCs w:val="12"/>
          <w:color w:val="auto"/>
        </w:rPr>
      </w:pPr>
      <w:r>
        <w:rPr>
          <w:rFonts w:ascii="Arial" w:cs="Arial" w:eastAsia="Arial" w:hAnsi="Arial"/>
          <w:sz w:val="14"/>
          <w:szCs w:val="14"/>
          <w:color w:val="auto"/>
        </w:rPr>
        <w:t>The tax status of our distributions is calculated in accordance with income tax regulations, which may differ from amounts determined under GAAP and is reported on Form 1099-DIV each calendar year.</w:t>
      </w:r>
    </w:p>
    <w:p>
      <w:pPr>
        <w:ind w:left="560" w:hanging="552"/>
        <w:spacing w:after="0" w:line="221" w:lineRule="auto"/>
        <w:tabs>
          <w:tab w:leader="none" w:pos="560" w:val="left"/>
        </w:tabs>
        <w:numPr>
          <w:ilvl w:val="0"/>
          <w:numId w:val="32"/>
        </w:numPr>
        <w:rPr>
          <w:rFonts w:ascii="Arial" w:cs="Arial" w:eastAsia="Arial" w:hAnsi="Arial"/>
          <w:sz w:val="12"/>
          <w:szCs w:val="12"/>
          <w:color w:val="auto"/>
        </w:rPr>
      </w:pPr>
      <w:r>
        <w:rPr>
          <w:rFonts w:ascii="Arial" w:cs="Arial" w:eastAsia="Arial" w:hAnsi="Arial"/>
          <w:sz w:val="14"/>
          <w:szCs w:val="14"/>
          <w:color w:val="auto"/>
        </w:rPr>
        <w:t>At fair value, excluding our SBA debentures.</w:t>
      </w:r>
    </w:p>
    <w:p>
      <w:pPr>
        <w:ind w:left="560" w:hanging="552"/>
        <w:spacing w:after="0" w:line="221" w:lineRule="auto"/>
        <w:tabs>
          <w:tab w:leader="none" w:pos="560" w:val="left"/>
        </w:tabs>
        <w:numPr>
          <w:ilvl w:val="0"/>
          <w:numId w:val="32"/>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ind w:left="560" w:hanging="552"/>
        <w:spacing w:after="0"/>
        <w:tabs>
          <w:tab w:leader="none" w:pos="560" w:val="left"/>
        </w:tabs>
        <w:numPr>
          <w:ilvl w:val="0"/>
          <w:numId w:val="32"/>
        </w:numPr>
        <w:rPr>
          <w:rFonts w:ascii="Arial" w:cs="Arial" w:eastAsia="Arial" w:hAnsi="Arial"/>
          <w:sz w:val="12"/>
          <w:szCs w:val="12"/>
          <w:color w:val="auto"/>
        </w:rPr>
      </w:pPr>
      <w:r>
        <w:rPr>
          <w:rFonts w:ascii="Arial" w:cs="Arial" w:eastAsia="Arial" w:hAnsi="Arial"/>
          <w:sz w:val="14"/>
          <w:szCs w:val="14"/>
          <w:color w:val="auto"/>
        </w:rPr>
        <w:t>Unaudited, at year end.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00" w:lineRule="exact"/>
        <w:rPr>
          <w:sz w:val="20"/>
          <w:szCs w:val="20"/>
          <w:color w:val="auto"/>
        </w:rPr>
      </w:pPr>
    </w:p>
    <w:p>
      <w:pPr>
        <w:jc w:val="both"/>
        <w:ind w:right="40" w:firstLine="562"/>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90" w:lineRule="exact"/>
        <w:rPr>
          <w:sz w:val="20"/>
          <w:szCs w:val="20"/>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impact of European sovereign debt, Brexit and other world economic and political issues.</w:t>
      </w:r>
    </w:p>
    <w:p>
      <w:pPr>
        <w:spacing w:after="0" w:line="9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in “Risk Factors” and elsewhere in this Report.</w:t>
      </w:r>
    </w:p>
    <w:p>
      <w:pPr>
        <w:spacing w:after="0" w:line="75"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 looking statement in this Report should not be regarded as a representation by us that our plans and objectives will be achieved.</w:t>
      </w:r>
    </w:p>
    <w:p>
      <w:pPr>
        <w:spacing w:after="0" w:line="77" w:lineRule="exact"/>
        <w:rPr>
          <w:sz w:val="20"/>
          <w:szCs w:val="20"/>
          <w:color w:val="auto"/>
        </w:rPr>
      </w:pPr>
    </w:p>
    <w:p>
      <w:pPr>
        <w:ind w:right="180" w:firstLine="562"/>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77" w:lineRule="exact"/>
        <w:rPr>
          <w:sz w:val="20"/>
          <w:szCs w:val="20"/>
          <w:color w:val="auto"/>
        </w:rPr>
      </w:pPr>
    </w:p>
    <w:p>
      <w:pPr>
        <w:ind w:right="380" w:firstLine="562"/>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66" w:lineRule="exact"/>
        <w:rPr>
          <w:sz w:val="20"/>
          <w:szCs w:val="20"/>
          <w:color w:val="auto"/>
        </w:rPr>
      </w:pPr>
    </w:p>
    <w:p>
      <w:pPr>
        <w:ind w:right="420" w:firstLine="562"/>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6" w:lineRule="exact"/>
        <w:rPr>
          <w:sz w:val="20"/>
          <w:szCs w:val="20"/>
          <w:color w:val="auto"/>
        </w:rPr>
      </w:pPr>
    </w:p>
    <w:p>
      <w:pPr>
        <w:ind w:right="100" w:firstLine="562"/>
        <w:spacing w:after="0" w:line="253" w:lineRule="auto"/>
        <w:rPr>
          <w:sz w:val="20"/>
          <w:szCs w:val="20"/>
          <w:color w:val="auto"/>
        </w:rPr>
      </w:pPr>
      <w:r>
        <w:rPr>
          <w:rFonts w:ascii="Arial" w:cs="Arial" w:eastAsia="Arial" w:hAnsi="Arial"/>
          <w:sz w:val="14"/>
          <w:szCs w:val="14"/>
          <w:color w:val="auto"/>
        </w:rPr>
        <w:t>PennantPark Investment Corporation is a BDC whose objectives are to generate both current income and capital appreciation while seeking to preserve capital through debt and equity investments primarily made to U.S. middle-market companies in the form of senior secured debt, mezzanine debt and equity investments.</w:t>
      </w:r>
    </w:p>
    <w:p>
      <w:pPr>
        <w:spacing w:after="0" w:line="66"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We believe middle-market companies offer attractive risk-reward to investors due to the limited amount of capital available for such companies. We seek to create a diversified portfolio that includes senior secured debt,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75" w:lineRule="exact"/>
        <w:rPr>
          <w:sz w:val="20"/>
          <w:szCs w:val="20"/>
          <w:color w:val="auto"/>
        </w:rPr>
      </w:pPr>
    </w:p>
    <w:p>
      <w:pPr>
        <w:jc w:val="both"/>
        <w:ind w:right="40" w:firstLine="562"/>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00"/>
          </w:cols>
          <w:pgMar w:left="320" w:top="459" w:right="3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96" w:lineRule="exact"/>
        <w:rPr>
          <w:sz w:val="20"/>
          <w:szCs w:val="20"/>
          <w:color w:val="auto"/>
        </w:rPr>
      </w:pPr>
    </w:p>
    <w:p>
      <w:pPr>
        <w:ind w:right="180" w:firstLine="562"/>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44" w:lineRule="exact"/>
        <w:rPr>
          <w:sz w:val="20"/>
          <w:szCs w:val="20"/>
          <w:color w:val="auto"/>
        </w:rPr>
      </w:pPr>
    </w:p>
    <w:p>
      <w:pPr>
        <w:jc w:val="both"/>
        <w:ind w:right="240" w:firstLine="562"/>
        <w:spacing w:after="0" w:line="238"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75" w:lineRule="exact"/>
        <w:rPr>
          <w:sz w:val="20"/>
          <w:szCs w:val="20"/>
          <w:color w:val="auto"/>
        </w:rPr>
      </w:pPr>
    </w:p>
    <w:p>
      <w:pPr>
        <w:ind w:right="80" w:firstLine="562"/>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manages our day-to-day activities.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96"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We generate revenue in the form of interest income on the debt securities we hold and capital gains and distributions, if any, on investment securities that we may acquire in portfolio companies. Our debt investments, whether in the form of senior secured debt or mezzanine debt, typically have terms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market discount or premium and deferred financing cost on financing costs on liabilities, which we do not fair value, are capitalized and accreted or amortized using the effective interest method as interest income or, in the case of deferred financing cost, as interest expense. We record prepayment penalties on loans and debt securities as income. Dividend income, if any, is recognized on an accrual basis on the ex-dividend date to the extent that we expect to collect such amounts.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212" w:lineRule="exact"/>
        <w:rPr>
          <w:sz w:val="20"/>
          <w:szCs w:val="20"/>
          <w:color w:val="auto"/>
        </w:rPr>
      </w:pPr>
    </w:p>
    <w:p>
      <w:pPr>
        <w:ind w:left="1120" w:hanging="329"/>
        <w:spacing w:after="0"/>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09" w:lineRule="exact"/>
        <w:rPr>
          <w:rFonts w:ascii="Arial" w:cs="Arial" w:eastAsia="Arial" w:hAnsi="Arial"/>
          <w:sz w:val="14"/>
          <w:szCs w:val="14"/>
          <w:color w:val="auto"/>
        </w:rPr>
      </w:pPr>
    </w:p>
    <w:p>
      <w:pPr>
        <w:ind w:left="1120" w:right="600" w:hanging="329"/>
        <w:spacing w:after="0" w:line="253" w:lineRule="auto"/>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79" w:lineRule="exact"/>
        <w:rPr>
          <w:rFonts w:ascii="Arial" w:cs="Arial" w:eastAsia="Arial" w:hAnsi="Arial"/>
          <w:sz w:val="14"/>
          <w:szCs w:val="14"/>
          <w:color w:val="auto"/>
        </w:rPr>
      </w:pPr>
    </w:p>
    <w:p>
      <w:pPr>
        <w:ind w:left="1120" w:hanging="329"/>
        <w:spacing w:after="0"/>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09" w:lineRule="exact"/>
        <w:rPr>
          <w:rFonts w:ascii="Arial" w:cs="Arial" w:eastAsia="Arial" w:hAnsi="Arial"/>
          <w:sz w:val="14"/>
          <w:szCs w:val="14"/>
          <w:color w:val="auto"/>
        </w:rPr>
      </w:pPr>
    </w:p>
    <w:p>
      <w:pPr>
        <w:ind w:left="1120" w:right="60" w:hanging="329"/>
        <w:spacing w:after="0" w:line="264" w:lineRule="auto"/>
        <w:tabs>
          <w:tab w:leader="none" w:pos="11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68" w:lineRule="exact"/>
        <w:rPr>
          <w:sz w:val="20"/>
          <w:szCs w:val="20"/>
          <w:color w:val="auto"/>
        </w:rPr>
      </w:pPr>
    </w:p>
    <w:p>
      <w:pPr>
        <w:ind w:right="380" w:firstLine="562"/>
        <w:spacing w:after="0" w:line="290" w:lineRule="auto"/>
        <w:rPr>
          <w:sz w:val="20"/>
          <w:szCs w:val="20"/>
          <w:color w:val="auto"/>
        </w:rPr>
      </w:pPr>
      <w:r>
        <w:rPr>
          <w:rFonts w:ascii="Arial" w:cs="Arial" w:eastAsia="Arial" w:hAnsi="Arial"/>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40"/>
          </w:cols>
          <w:pgMar w:left="32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00"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As of September 30, 2016, our portfolio totaled $1,153.7 million and consisted of $397.1 million of senior secured debt, $425.4 million of second lien secured debt, $177.6 million of subordinated debt and $153.6 million of preferred and common equity. Our debt portfolio consisted of 78% variable-rate investments (including 72% with a LIBOR or prime floor) and 22% fixed-rate investments. As of September 30, 2016, we had four companies on non-accrual, representing 5.3% and 2.8% of our overall portfolio on a cost and fair value basis, respectively. Overall, the portfolio had net unrealized depreciation of $100.3 million as of September 30, 2016. Our overall portfolio consisted of 56 companies with an average investment size of $20.6 million, had a weighted average yield on interest bearing debt investments of 11.9% and was invested 35% in senior secured debt, 37% in second lien secured debt, 15% in subordinated debt and 13% in preferred and common equity.</w:t>
      </w:r>
    </w:p>
    <w:p>
      <w:pPr>
        <w:spacing w:after="0" w:line="77"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As of September 30, 2015, our portfolio totaled $1,299.0 million and consisted of $399.2 million of senior secured debt, $612.5 million of second lien secured debt, $182.5 million of subordinated debt and $104.8 million of preferred and common equity. Our debt portfolio consisted of 71% variable-rate investments (including 65% with a LIBOR or prime floor) and 29% fixed-rate investments. As of September 30, 2015, we had four companies on non-accrual, representing 9.4% and 5.5% of our overall portfolio on a cost and fair value basis, respectively. Overall, the portfolio had net unrealized depreciation of $125.2 million as of September 30, 2015. Our overall portfolio consisted of 61 companies with an average investment size of $21.3 million, had a weighted average yield on interest bearing debt investments of 12.1% and was invested 31% in senior secured debt, 47% in second lien secured debt, 14% in subordinated debt and 8% in preferred and common equity.</w:t>
      </w:r>
    </w:p>
    <w:p>
      <w:pPr>
        <w:spacing w:after="0" w:line="77" w:lineRule="exact"/>
        <w:rPr>
          <w:sz w:val="20"/>
          <w:szCs w:val="20"/>
          <w:color w:val="auto"/>
        </w:rPr>
      </w:pPr>
    </w:p>
    <w:p>
      <w:pPr>
        <w:ind w:right="520" w:firstLine="562"/>
        <w:spacing w:after="0" w:line="253" w:lineRule="auto"/>
        <w:rPr>
          <w:sz w:val="20"/>
          <w:szCs w:val="20"/>
          <w:color w:val="auto"/>
        </w:rPr>
      </w:pPr>
      <w:r>
        <w:rPr>
          <w:rFonts w:ascii="Arial" w:cs="Arial" w:eastAsia="Arial" w:hAnsi="Arial"/>
          <w:sz w:val="14"/>
          <w:szCs w:val="14"/>
          <w:color w:val="auto"/>
        </w:rPr>
        <w:t>For the fiscal year ended September 30, 2016, we invested $330.6 million of investments in four new and 25 existing portfolio companies with a weighted average yield on debt investments of 11.9%. Sales and repayments of investments for the year ended September 30, 2016 totaled $439.7 million.</w:t>
      </w:r>
    </w:p>
    <w:p>
      <w:pPr>
        <w:spacing w:after="0" w:line="66" w:lineRule="exact"/>
        <w:rPr>
          <w:sz w:val="20"/>
          <w:szCs w:val="20"/>
          <w:color w:val="auto"/>
        </w:rPr>
      </w:pPr>
    </w:p>
    <w:p>
      <w:pPr>
        <w:ind w:right="620" w:firstLine="562"/>
        <w:spacing w:after="0" w:line="253" w:lineRule="auto"/>
        <w:rPr>
          <w:sz w:val="20"/>
          <w:szCs w:val="20"/>
          <w:color w:val="auto"/>
        </w:rPr>
      </w:pPr>
      <w:r>
        <w:rPr>
          <w:rFonts w:ascii="Arial" w:cs="Arial" w:eastAsia="Arial" w:hAnsi="Arial"/>
          <w:sz w:val="14"/>
          <w:szCs w:val="14"/>
          <w:color w:val="auto"/>
        </w:rPr>
        <w:t>For the fiscal year ended September 30, 2015, we invested $461.3 million of investments in 11 new and 30 existing portfolio companies with a weighted average yield on debt investments of 12.1%. Sales and repayments of investments for the year ended September 30, 2015 totaled $390.5 million.</w:t>
      </w:r>
    </w:p>
    <w:p>
      <w:pPr>
        <w:spacing w:after="0" w:line="66" w:lineRule="exact"/>
        <w:rPr>
          <w:sz w:val="20"/>
          <w:szCs w:val="20"/>
          <w:color w:val="auto"/>
        </w:rPr>
      </w:pPr>
    </w:p>
    <w:p>
      <w:pPr>
        <w:ind w:right="600" w:firstLine="562"/>
        <w:spacing w:after="0" w:line="253" w:lineRule="auto"/>
        <w:rPr>
          <w:sz w:val="20"/>
          <w:szCs w:val="20"/>
          <w:color w:val="auto"/>
        </w:rPr>
      </w:pPr>
      <w:r>
        <w:rPr>
          <w:rFonts w:ascii="Arial" w:cs="Arial" w:eastAsia="Arial" w:hAnsi="Arial"/>
          <w:sz w:val="14"/>
          <w:szCs w:val="14"/>
          <w:color w:val="auto"/>
        </w:rPr>
        <w:t>For the fiscal year ended September 30, 2014, we invested $795.1 million of investments in 21 new and 30 existing portfolio companies with a weighted average yield on debt investments of 12.4%. Sales and repayments of investments for the year ended September 30, 2014 totaled $625.6 million.</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00"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71" w:lineRule="exact"/>
        <w:rPr>
          <w:sz w:val="20"/>
          <w:szCs w:val="20"/>
          <w:color w:val="auto"/>
        </w:rPr>
      </w:pPr>
    </w:p>
    <w:p>
      <w:pPr>
        <w:ind w:right="120" w:firstLine="562"/>
        <w:spacing w:after="0" w:line="290" w:lineRule="auto"/>
        <w:rPr>
          <w:sz w:val="20"/>
          <w:szCs w:val="20"/>
          <w:color w:val="auto"/>
        </w:rPr>
      </w:pPr>
      <w:r>
        <w:rPr>
          <w:rFonts w:ascii="Arial" w:cs="Arial" w:eastAsia="Arial" w:hAnsi="Arial"/>
          <w:sz w:val="13"/>
          <w:szCs w:val="13"/>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880" w:right="60" w:hanging="319"/>
        <w:spacing w:after="0" w:line="253" w:lineRule="auto"/>
        <w:tabs>
          <w:tab w:leader="none" w:pos="8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880" w:hanging="319"/>
        <w:spacing w:after="0"/>
        <w:tabs>
          <w:tab w:leader="none" w:pos="8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880" w:right="100" w:hanging="319"/>
        <w:spacing w:after="0" w:line="264" w:lineRule="auto"/>
        <w:tabs>
          <w:tab w:leader="none" w:pos="8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880" w:right="360" w:hanging="319"/>
        <w:spacing w:after="0" w:line="238" w:lineRule="auto"/>
        <w:tabs>
          <w:tab w:leader="none" w:pos="8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880" w:right="120" w:hanging="319"/>
        <w:spacing w:after="0" w:line="253" w:lineRule="auto"/>
        <w:tabs>
          <w:tab w:leader="none" w:pos="8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66" w:lineRule="exact"/>
        <w:rPr>
          <w:sz w:val="20"/>
          <w:szCs w:val="20"/>
          <w:color w:val="auto"/>
        </w:rPr>
      </w:pPr>
    </w:p>
    <w:p>
      <w:pPr>
        <w:ind w:right="260" w:firstLine="562"/>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51"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40"/>
          </w:cols>
          <w:pgMar w:left="32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740"/>
        <w:spacing w:after="0"/>
        <w:tabs>
          <w:tab w:leader="none" w:pos="150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20" w:right="780" w:hanging="782"/>
        <w:spacing w:after="0" w:line="238" w:lineRule="auto"/>
        <w:tabs>
          <w:tab w:leader="none" w:pos="150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520" w:right="760" w:hanging="782"/>
        <w:spacing w:after="0" w:line="253" w:lineRule="auto"/>
        <w:tabs>
          <w:tab w:leader="none" w:pos="150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66" w:lineRule="exact"/>
        <w:rPr>
          <w:sz w:val="20"/>
          <w:szCs w:val="20"/>
          <w:color w:val="auto"/>
        </w:rPr>
      </w:pPr>
    </w:p>
    <w:p>
      <w:pPr>
        <w:ind w:right="160" w:firstLine="562"/>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75" w:lineRule="exact"/>
        <w:rPr>
          <w:sz w:val="20"/>
          <w:szCs w:val="20"/>
          <w:color w:val="auto"/>
        </w:rPr>
      </w:pPr>
    </w:p>
    <w:p>
      <w:pPr>
        <w:ind w:right="140" w:firstLine="562"/>
        <w:spacing w:after="0" w:line="290" w:lineRule="auto"/>
        <w:rPr>
          <w:sz w:val="20"/>
          <w:szCs w:val="20"/>
          <w:color w:val="auto"/>
        </w:rPr>
      </w:pPr>
      <w:r>
        <w:rPr>
          <w:rFonts w:ascii="Arial" w:cs="Arial" w:eastAsia="Arial" w:hAnsi="Arial"/>
          <w:sz w:val="13"/>
          <w:szCs w:val="13"/>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44" w:lineRule="exact"/>
        <w:rPr>
          <w:sz w:val="20"/>
          <w:szCs w:val="20"/>
          <w:color w:val="auto"/>
        </w:rPr>
      </w:pPr>
    </w:p>
    <w:p>
      <w:pPr>
        <w:ind w:firstLine="562"/>
        <w:spacing w:after="0" w:line="243" w:lineRule="auto"/>
        <w:rPr>
          <w:sz w:val="20"/>
          <w:szCs w:val="20"/>
          <w:color w:val="auto"/>
        </w:rPr>
      </w:pPr>
      <w:r>
        <w:rPr>
          <w:rFonts w:ascii="Arial" w:cs="Arial" w:eastAsia="Arial" w:hAnsi="Arial"/>
          <w:sz w:val="13"/>
          <w:szCs w:val="13"/>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Notes. We elected to use the fair value option for the Credit Facility and our Notes to align the measurement attributes of both our assets and liabilities while mitigating volatility in earnings from using different measurement attributes. Due to that election and in accordance with GAAP, we incurred zero, zero and $8.3 million relating to debt issuance costs during the years ended September 30, 2016, 2015 and 2014,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our Notes are reported in our Consolidated Statement of Operations. We elected not to apply ASC 825-10 to any other financial assets or liabilities, including the SBA debentures. For the fiscal years ended September 30, 2016, 2015 and 2014, our Credit Facility and our Notes had a net change in unrealized depreciation (appreciation) of $3.7 million, $1.7 million and $(3.0) million, respectively. As of September 30, 2016 and 2015, net unrealized depreciation on our Credit Facility and our Notes totaled $5.2 million and $1.5 million, respectively. We use a nationally recognized independent valuation service to measure the fair value of our Credit Facility and 2019 Notes in a manner consistent with the valuation process that the board of directors uses to value investments. Our 2025 Notes trade on the NYSE under the ticker “PNTA” and we use the closing price on the exchange to determine their fair value.</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6" w:lineRule="exact"/>
        <w:rPr>
          <w:sz w:val="20"/>
          <w:szCs w:val="20"/>
          <w:color w:val="auto"/>
        </w:rPr>
      </w:pPr>
    </w:p>
    <w:p>
      <w:pPr>
        <w:ind w:right="200"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96" w:lineRule="exact"/>
        <w:rPr>
          <w:sz w:val="20"/>
          <w:szCs w:val="20"/>
          <w:color w:val="auto"/>
        </w:rPr>
      </w:pPr>
    </w:p>
    <w:p>
      <w:pPr>
        <w:ind w:right="400" w:firstLine="562"/>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 of our portfolio investments, our Credit Facility and our Notes during the reporting period, including any reversal of previously recorded unrealized appreciation or depreciation, when gains or losses are realized.</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96" w:lineRule="exact"/>
        <w:rPr>
          <w:sz w:val="20"/>
          <w:szCs w:val="20"/>
          <w:color w:val="auto"/>
        </w:rPr>
      </w:pPr>
    </w:p>
    <w:p>
      <w:pPr>
        <w:ind w:left="1060" w:hanging="154"/>
        <w:spacing w:after="0"/>
        <w:tabs>
          <w:tab w:leader="none" w:pos="10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95" w:lineRule="exact"/>
        <w:rPr>
          <w:rFonts w:ascii="Arial" w:cs="Arial" w:eastAsia="Arial" w:hAnsi="Arial"/>
          <w:sz w:val="14"/>
          <w:szCs w:val="14"/>
          <w:color w:val="auto"/>
        </w:rPr>
      </w:pPr>
    </w:p>
    <w:p>
      <w:pPr>
        <w:ind w:left="1060" w:hanging="154"/>
        <w:spacing w:after="0"/>
        <w:tabs>
          <w:tab w:leader="none" w:pos="10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9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treated as a RIC for federal income tax purposes, substantially all of this income must be paid out to stockholders in the form of dividends for U.S. federal income tax purposes, even though we may not have collected any cash with respect to interest on PIK securities.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96" w:lineRule="exact"/>
        <w:rPr>
          <w:sz w:val="20"/>
          <w:szCs w:val="20"/>
          <w:color w:val="auto"/>
        </w:rPr>
      </w:pPr>
    </w:p>
    <w:p>
      <w:pPr>
        <w:ind w:right="180" w:firstLine="562"/>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67"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to our stockholders in respect of each calendar year of an amount generally at least equal to the sum of (1) 98% of our net ordinary income for the calendar year, (2) 98.2% of the sum of our net capital gain income (i.e., the excess, if any, of capital gains over capital losses) for the one-year period ending 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20"/>
          </w:cols>
          <w:pgMar w:left="32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33" w:lineRule="auto"/>
        <w:rPr>
          <w:sz w:val="20"/>
          <w:szCs w:val="20"/>
          <w:color w:val="auto"/>
        </w:rPr>
      </w:pPr>
      <w:r>
        <w:rPr>
          <w:rFonts w:ascii="Arial" w:cs="Arial" w:eastAsia="Arial" w:hAnsi="Arial"/>
          <w:sz w:val="14"/>
          <w:szCs w:val="14"/>
          <w:color w:val="auto"/>
        </w:rPr>
        <w:t>October 31 of the calendar year plus (3) the sum of any net ordinary income plus capital gain net income for preceding years that was not distributed during such years and on which we paid no federal income tax. In addition, although we may distribute realized net capital gains (i.e., net long-term capital gains in excess of short-term capital losses), if any, at least annually, out of the assets legally available for such distributions in the manner described above, we have retained and may retain such net capital gains or investment company taxable income in the future, subject to maintaining our ability to be treated as a RIC for federal income tax purposes, to provide us with additional liquidity.</w:t>
      </w:r>
    </w:p>
    <w:p>
      <w:pPr>
        <w:spacing w:after="0" w:line="77" w:lineRule="exact"/>
        <w:rPr>
          <w:sz w:val="20"/>
          <w:szCs w:val="20"/>
          <w:color w:val="auto"/>
        </w:rPr>
      </w:pPr>
    </w:p>
    <w:p>
      <w:pPr>
        <w:ind w:right="100" w:firstLine="562"/>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60" w:lineRule="exact"/>
        <w:rPr>
          <w:sz w:val="20"/>
          <w:szCs w:val="20"/>
          <w:color w:val="auto"/>
        </w:rPr>
      </w:pPr>
    </w:p>
    <w:p>
      <w:pPr>
        <w:ind w:right="120" w:firstLine="562"/>
        <w:spacing w:after="0" w:line="238" w:lineRule="auto"/>
        <w:rPr>
          <w:sz w:val="20"/>
          <w:szCs w:val="20"/>
          <w:color w:val="auto"/>
        </w:rPr>
      </w:pPr>
      <w:r>
        <w:rPr>
          <w:rFonts w:ascii="Arial" w:cs="Arial" w:eastAsia="Arial" w:hAnsi="Arial"/>
          <w:sz w:val="14"/>
          <w:szCs w:val="14"/>
          <w:color w:val="auto"/>
        </w:rPr>
        <w:t>We have formed and expect to continue to form certain taxable subsidiaries, or the Taxable Subsidiaries, which are taxed as corporations for federal income tax purposes. Accordingly, the Taxable Subsidiaries will pay income taxes at regular corporate income tax rates. These Taxable Subsidiaries allow us to hold equity securities of portfolio companies organized as pass-through entities while continuing to satisfy the requirements of a RIC under the Code.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Set forth below are our results of operations for the fiscal years ended September 30, 2016, 2015 and 2014.</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96" w:lineRule="exact"/>
        <w:rPr>
          <w:sz w:val="20"/>
          <w:szCs w:val="20"/>
          <w:color w:val="auto"/>
        </w:rPr>
      </w:pPr>
    </w:p>
    <w:p>
      <w:pPr>
        <w:ind w:right="120" w:firstLine="562"/>
        <w:spacing w:after="0" w:line="238" w:lineRule="auto"/>
        <w:rPr>
          <w:sz w:val="20"/>
          <w:szCs w:val="20"/>
          <w:color w:val="auto"/>
        </w:rPr>
      </w:pPr>
      <w:r>
        <w:rPr>
          <w:rFonts w:ascii="Arial" w:cs="Arial" w:eastAsia="Arial" w:hAnsi="Arial"/>
          <w:sz w:val="14"/>
          <w:szCs w:val="14"/>
          <w:color w:val="auto"/>
        </w:rPr>
        <w:t>Investment income for the fiscal year ended September 30, 2016 was $142.1 million and was attributable to $59.9 million from senior secured debt, $60.5 million from second lien secured debt, $20.9 million from subordinated debt and $0.8 million from preferred and common equity. The decrease in investment income over the prior year was primarily due to a reduction of our portfolio at cost.</w:t>
      </w:r>
    </w:p>
    <w:p>
      <w:pPr>
        <w:spacing w:after="0" w:line="75"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Investment income for the fiscal year ended September 30, 2015 was $161.6 million and was attributable to $54.3 million from senior secured debt, $71.1 million from second lien secured debt, $29.8 million from subordinated debt and $6.4 million from preferred and common equity. The increase in investment income over the prior year was primarily due to the growth of our portfolio at cost.</w:t>
      </w:r>
    </w:p>
    <w:p>
      <w:pPr>
        <w:spacing w:after="0" w:line="75" w:lineRule="exact"/>
        <w:rPr>
          <w:sz w:val="20"/>
          <w:szCs w:val="20"/>
          <w:color w:val="auto"/>
        </w:rPr>
      </w:pPr>
    </w:p>
    <w:p>
      <w:pPr>
        <w:ind w:right="320" w:firstLine="562"/>
        <w:spacing w:after="0" w:line="253" w:lineRule="auto"/>
        <w:rPr>
          <w:sz w:val="20"/>
          <w:szCs w:val="20"/>
          <w:color w:val="auto"/>
        </w:rPr>
      </w:pPr>
      <w:r>
        <w:rPr>
          <w:rFonts w:ascii="Arial" w:cs="Arial" w:eastAsia="Arial" w:hAnsi="Arial"/>
          <w:sz w:val="14"/>
          <w:szCs w:val="14"/>
          <w:color w:val="auto"/>
        </w:rPr>
        <w:t>Investment income for the fiscal year ended September 30, 2014 was $147.9 million and was attributable to $43.0 million from senior secured debt, $55.2 million from second lien secured debt, $46.4 million from subordinated debt and $3.3 million from preferred and common equity.</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Net expenses for the fiscal year ended September 30, 2016 totaled $71.5 million. Base management fee for the same period totaled $20.9 million (after a base management fee waiver of $4.0 million), incentive fee totaled $13.5 million (after an incentive fee waiver of $2.5 million), debt related interest and expenses totaled $27.6 million, general and administrative expenses totaled $7.1 million and provision for taxes totaled $2.4 million. The decrease in expenses over the prior year was primarily due to the Management Fees waiver and a smaller portfolio size partially offset by higher taxes.</w:t>
      </w:r>
    </w:p>
    <w:p>
      <w:pPr>
        <w:spacing w:after="0" w:line="77" w:lineRule="exact"/>
        <w:rPr>
          <w:sz w:val="20"/>
          <w:szCs w:val="20"/>
          <w:color w:val="auto"/>
        </w:rPr>
      </w:pPr>
    </w:p>
    <w:p>
      <w:pPr>
        <w:ind w:right="160" w:firstLine="562"/>
        <w:spacing w:after="0" w:line="238" w:lineRule="auto"/>
        <w:rPr>
          <w:sz w:val="20"/>
          <w:szCs w:val="20"/>
          <w:color w:val="auto"/>
        </w:rPr>
      </w:pPr>
      <w:r>
        <w:rPr>
          <w:rFonts w:ascii="Arial" w:cs="Arial" w:eastAsia="Arial" w:hAnsi="Arial"/>
          <w:sz w:val="14"/>
          <w:szCs w:val="14"/>
          <w:color w:val="auto"/>
        </w:rPr>
        <w:t>Expenses for the fiscal year ended September 30, 2015 totaled $79.4 million. Base management fee for the same period totaled $26.7 million, incentive fee totaled $20.6 million, debt related interest and expenses totaled $26.4 million and general and administrative expenses totaled $5.7 million. The increase in expenses over the prior year was primarily due to increased borrowing costs, base management fee and incentive fee as a result from the growth of our portfolio.</w:t>
      </w:r>
    </w:p>
    <w:p>
      <w:pPr>
        <w:spacing w:after="0" w:line="75" w:lineRule="exact"/>
        <w:rPr>
          <w:sz w:val="20"/>
          <w:szCs w:val="20"/>
          <w:color w:val="auto"/>
        </w:rPr>
      </w:pPr>
    </w:p>
    <w:p>
      <w:pPr>
        <w:jc w:val="both"/>
        <w:ind w:right="100" w:firstLine="562"/>
        <w:spacing w:after="0" w:line="238" w:lineRule="auto"/>
        <w:rPr>
          <w:sz w:val="20"/>
          <w:szCs w:val="20"/>
          <w:color w:val="auto"/>
        </w:rPr>
      </w:pPr>
      <w:r>
        <w:rPr>
          <w:rFonts w:ascii="Arial" w:cs="Arial" w:eastAsia="Arial" w:hAnsi="Arial"/>
          <w:sz w:val="14"/>
          <w:szCs w:val="14"/>
          <w:color w:val="auto"/>
        </w:rPr>
        <w:t>Expenses for the fiscal year ended September 30, 2014 totaled $76.6 million. Base management fee for the same period totaled $24.3 million, incentive fee totaled $17.8 million, debt related interest and expenses totaled $28.6 million (including $8.3 million associated with the 2019 Notes and expansion of our Credit Facility), general and administrative expenses totaled $5.8 million and taxes of $0.1 million.</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96"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Net investment income totaled $70.6 million or $0.99 per share, $82.3 million or $1.10 per share and $71.3 million or $1.06 per share for the fiscal years ended September 30, 2016, 2015 and 2014, respectively. The decrease in net investment income per share for fiscal year ended September 30, 2016 compared to the prior year was primarily due to the repayments of higher yielding investments.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96" w:lineRule="exact"/>
        <w:rPr>
          <w:sz w:val="20"/>
          <w:szCs w:val="20"/>
          <w:color w:val="auto"/>
        </w:rPr>
      </w:pPr>
    </w:p>
    <w:p>
      <w:pPr>
        <w:ind w:right="160" w:firstLine="562"/>
        <w:spacing w:after="0" w:line="238" w:lineRule="auto"/>
        <w:rPr>
          <w:sz w:val="20"/>
          <w:szCs w:val="20"/>
          <w:color w:val="auto"/>
        </w:rPr>
      </w:pPr>
      <w:r>
        <w:rPr>
          <w:rFonts w:ascii="Arial" w:cs="Arial" w:eastAsia="Arial" w:hAnsi="Arial"/>
          <w:sz w:val="14"/>
          <w:szCs w:val="14"/>
          <w:color w:val="auto"/>
        </w:rPr>
        <w:t>Sales and repayments of investments for the fiscal years ended September 30, 2016, 2015 and 2014 totaled $439.7 million, $390.5 million and $625.6 million, respectively, and net realized (losses) gains totaled $(80.5) million, $30.1 million and $30.2 million, respectively. The increase in realized losses for fiscal year ended September 30, 2016 compared to the prior year was primarily due to certain portfolio companies sales or restructurings.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Credit Facility and our Notes</w:t>
      </w:r>
    </w:p>
    <w:p>
      <w:pPr>
        <w:spacing w:after="0" w:line="96" w:lineRule="exact"/>
        <w:rPr>
          <w:sz w:val="20"/>
          <w:szCs w:val="20"/>
          <w:color w:val="auto"/>
        </w:rPr>
      </w:pPr>
    </w:p>
    <w:p>
      <w:pPr>
        <w:ind w:right="200" w:firstLine="562"/>
        <w:spacing w:after="0" w:line="251" w:lineRule="auto"/>
        <w:rPr>
          <w:sz w:val="20"/>
          <w:szCs w:val="20"/>
          <w:color w:val="auto"/>
        </w:rPr>
      </w:pPr>
      <w:r>
        <w:rPr>
          <w:rFonts w:ascii="Arial" w:cs="Arial" w:eastAsia="Arial" w:hAnsi="Arial"/>
          <w:sz w:val="13"/>
          <w:szCs w:val="13"/>
          <w:color w:val="auto"/>
        </w:rPr>
        <w:t>Net unrealized appreciation (depreciation) on investments totaled $24.9 million, $(124.3) million and $12.5 million for the fiscal years ended September 30, 2016, 2015 and 2014, respectively. Net unrealized depreciation (appreciation) on our Credit Facility and our Notes totaled $3.7 million, $1.7 million and $(3.0) million for the same periods, respectively. The net change in unrealized appreciation (depreciation) on our investments for fiscal year ended September 30, 2016 compared to the prior year was driven primarily by changes in the capital market conditions, financial performance of certain portfolio companies, and the reversal of unrealized depreciation (appreciation) of investments sold or restructured. The change in unrealized (appreciation) depreciation on the Credit Facility and our Notes for fiscal year ended September 30, 2016 compared to the prior year was due to the fluctuating interest rate environment.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96"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Net change in net assets resulting from operations totaled $18.7 million or $0.26 per share, $(10.2) million or $(0.14) per share and $111.0 million or $1.66 per share for the fiscal years ended September 30, 2016, 2015 and 2014, respectively. The increase in the net change in net assets from operations for fiscal year ended September 30, 2016 compared to the prior year was primarily due to the change in portfolio investment values offset by higher net investment income.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20"/>
          </w:cols>
          <w:pgMar w:left="320" w:top="459"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00" w:lineRule="exact"/>
        <w:rPr>
          <w:sz w:val="20"/>
          <w:szCs w:val="20"/>
          <w:color w:val="auto"/>
        </w:rPr>
      </w:pPr>
    </w:p>
    <w:p>
      <w:pPr>
        <w:ind w:right="40" w:firstLine="562"/>
        <w:spacing w:after="0" w:line="264" w:lineRule="auto"/>
        <w:rPr>
          <w:sz w:val="20"/>
          <w:szCs w:val="20"/>
          <w:color w:val="auto"/>
        </w:rPr>
      </w:pPr>
      <w:r>
        <w:rPr>
          <w:rFonts w:ascii="Arial" w:cs="Arial" w:eastAsia="Arial" w:hAnsi="Arial"/>
          <w:sz w:val="13"/>
          <w:szCs w:val="13"/>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60" w:lineRule="exact"/>
        <w:rPr>
          <w:sz w:val="20"/>
          <w:szCs w:val="20"/>
          <w:color w:val="auto"/>
        </w:rPr>
      </w:pPr>
    </w:p>
    <w:p>
      <w:pPr>
        <w:ind w:right="120" w:firstLine="562"/>
        <w:spacing w:after="0" w:line="227" w:lineRule="auto"/>
        <w:rPr>
          <w:sz w:val="20"/>
          <w:szCs w:val="20"/>
          <w:color w:val="auto"/>
        </w:rPr>
      </w:pPr>
      <w:r>
        <w:rPr>
          <w:rFonts w:ascii="Arial" w:cs="Arial" w:eastAsia="Arial" w:hAnsi="Arial"/>
          <w:sz w:val="14"/>
          <w:szCs w:val="14"/>
          <w:color w:val="auto"/>
        </w:rPr>
        <w:t>As of September 30, 2016, we had a $545 million multi-currency Credit Facility with certain lenders and SunTrust Bank, acting as administrative agent, and JPMorgan Chase Bank, N.A., acting as syndication agent for the lenders. As of September 30, 2016 and 2015, there was $50.3 million and $136.9 million (including a temporary draw of $30.0 million), respectively, in outstanding borrowings under the Credit Facility. The Credit Facility had a weighted average interest rate at the time of 2.76% and 3.07%, respectively, exclusive of the fee on undrawn commitments, as of September 30, 2016 and 2015. The annualized weighted average cost of debt for the years ended September 30, 2016, 2015 and 2014, inclusive of the fee on the undrawn commitment of 0.375% on the Credit Facility and upfront fees on SBA debentures, was 4.35%, 4.54% and 3.85%, respectively. The Credit Facility is a five-year revolving facility with a stated maturity date of June 25, 2019, a one-year term-out period following its fourth year and pricing set at 225 basis points over LIBOR. As of September 30, 2016 and 2015, we had $494.7 million and $408.1 million of unused borrowing capacity under our Credit Facility, respectively, subject to the regulatory restrictions. The Credit Facility is secured by substantially all of our assets excluding assets held by our SBIC Funds.</w:t>
      </w:r>
    </w:p>
    <w:p>
      <w:pPr>
        <w:spacing w:after="0" w:line="78" w:lineRule="exact"/>
        <w:rPr>
          <w:sz w:val="20"/>
          <w:szCs w:val="20"/>
          <w:color w:val="auto"/>
        </w:rPr>
      </w:pPr>
    </w:p>
    <w:p>
      <w:pPr>
        <w:ind w:right="760" w:firstLine="562"/>
        <w:spacing w:after="0" w:line="253" w:lineRule="auto"/>
        <w:rPr>
          <w:sz w:val="20"/>
          <w:szCs w:val="20"/>
          <w:color w:val="auto"/>
        </w:rPr>
      </w:pPr>
      <w:r>
        <w:rPr>
          <w:rFonts w:ascii="Arial" w:cs="Arial" w:eastAsia="Arial" w:hAnsi="Arial"/>
          <w:sz w:val="14"/>
          <w:szCs w:val="14"/>
          <w:color w:val="auto"/>
        </w:rPr>
        <w:t>For a complete list of covenants contained in the Credit Facility, see our Form 8-K filed on June 30, 2014 and the Credit Facility agreement filed as Exhibit 99.2 thereto and incorporated by reference herein. As of September 30, 2016, we were in compliance with the terms of our Credit Facility.</w:t>
      </w:r>
    </w:p>
    <w:p>
      <w:pPr>
        <w:spacing w:after="0" w:line="66"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In September 2014, we issued $250.0 million in aggregate principal amount of 2019 Notes, for net proceeds of $245.5 million after underwriting discounts and offering costs. Interest on the 2019 Notes is paid semi-annually on April 1and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Please see our indenture agreement filed as Exhibit (d)(8) in our post-effective amendment filed on January 22, 2013, or the Base Indenture, and the supplemental indenture agreement filed as Exhibit (d)(11) to our post-effective amendment filed on September 23, 2014 for more information.</w:t>
      </w:r>
    </w:p>
    <w:p>
      <w:pPr>
        <w:spacing w:after="0" w:line="69" w:lineRule="exact"/>
        <w:rPr>
          <w:sz w:val="20"/>
          <w:szCs w:val="20"/>
          <w:color w:val="auto"/>
        </w:rPr>
      </w:pPr>
    </w:p>
    <w:p>
      <w:pPr>
        <w:ind w:right="20" w:firstLine="562"/>
        <w:spacing w:after="0" w:line="255" w:lineRule="auto"/>
        <w:rPr>
          <w:sz w:val="20"/>
          <w:szCs w:val="20"/>
          <w:color w:val="auto"/>
        </w:rPr>
      </w:pPr>
      <w:r>
        <w:rPr>
          <w:rFonts w:ascii="Arial" w:cs="Arial" w:eastAsia="Arial" w:hAnsi="Arial"/>
          <w:sz w:val="13"/>
          <w:szCs w:val="13"/>
          <w:color w:val="auto"/>
        </w:rPr>
        <w:t>In January 2013, we issued $71.3 million in aggregate principal amount of 2025 Notes. Interest on the 2025 Notes is paid quarterly on 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 Please see our Base Indenture and the supplemental indenture agreement filed as Exhibit (d)(9) in our post-effective amendment filed on January 22, 2013 for more information.</w:t>
      </w:r>
    </w:p>
    <w:p>
      <w:pPr>
        <w:spacing w:after="0" w:line="67" w:lineRule="exact"/>
        <w:rPr>
          <w:sz w:val="20"/>
          <w:szCs w:val="20"/>
          <w:color w:val="auto"/>
        </w:rPr>
      </w:pPr>
    </w:p>
    <w:p>
      <w:pPr>
        <w:ind w:right="120" w:firstLine="562"/>
        <w:spacing w:after="0" w:line="231" w:lineRule="auto"/>
        <w:rPr>
          <w:sz w:val="20"/>
          <w:szCs w:val="20"/>
          <w:color w:val="auto"/>
        </w:rPr>
      </w:pPr>
      <w:r>
        <w:rPr>
          <w:rFonts w:ascii="Arial" w:cs="Arial" w:eastAsia="Arial" w:hAnsi="Arial"/>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our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76"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On May 6, 2015, we announced a share repurchase plan which allowed us to repurchase up to $35.0 million of our outstanding common stock in the open market at prices below our net asset value as reported in our then most recently published consolidated financial statements. The program expired on May 6, 2016. For the fiscal years ended September 30, 2016 and 2015, we repurchased 1.9 million and 2.1 million shares of common stock in open market transactions for an aggregate cost (including transaction costs) of $12.2 and $17.9 million, respectively. For the fiscal year ended September 30, 2014, we did not have a repurchase plan in place.</w:t>
      </w:r>
    </w:p>
    <w:p>
      <w:pPr>
        <w:spacing w:after="0" w:line="77" w:lineRule="exact"/>
        <w:rPr>
          <w:sz w:val="20"/>
          <w:szCs w:val="20"/>
          <w:color w:val="auto"/>
        </w:rPr>
      </w:pPr>
    </w:p>
    <w:p>
      <w:pPr>
        <w:jc w:val="both"/>
        <w:ind w:right="40" w:firstLine="562"/>
        <w:spacing w:after="0" w:line="233" w:lineRule="auto"/>
        <w:rPr>
          <w:sz w:val="20"/>
          <w:szCs w:val="20"/>
          <w:color w:val="auto"/>
        </w:rPr>
      </w:pPr>
      <w:r>
        <w:rPr>
          <w:rFonts w:ascii="Arial" w:cs="Arial" w:eastAsia="Arial" w:hAnsi="Arial"/>
          <w:sz w:val="14"/>
          <w:szCs w:val="14"/>
          <w:color w:val="auto"/>
        </w:rPr>
        <w:t>For the fiscal years ended September 30, 2016 and 2015, we did not complete any equity offerings. This compares to the sale of 8.5 million shares of our common stock, resulting in net proceeds of $95.4 million for the fiscal year ended September 30, 2014. Any decision to sell shares below the then current NAV per share of our common stock is subject to stockholder approval and a determination by our board of directors that such issuance and sale is in our and our stockholders’ best interests. Any sale or other issuance of shares of our common stock at a price below NAV per share results in immediate dilution to our stockholders’ interests in our common stock and a reduction in our NAV per share.</w:t>
      </w:r>
    </w:p>
    <w:p>
      <w:pPr>
        <w:spacing w:after="0" w:line="77" w:lineRule="exact"/>
        <w:rPr>
          <w:sz w:val="20"/>
          <w:szCs w:val="20"/>
          <w:color w:val="auto"/>
        </w:rPr>
      </w:pPr>
    </w:p>
    <w:p>
      <w:pPr>
        <w:ind w:right="160" w:firstLine="562"/>
        <w:spacing w:after="0" w:line="248" w:lineRule="auto"/>
        <w:rPr>
          <w:sz w:val="20"/>
          <w:szCs w:val="20"/>
          <w:color w:val="auto"/>
        </w:rPr>
      </w:pPr>
      <w:r>
        <w:rPr>
          <w:rFonts w:ascii="Arial" w:cs="Arial" w:eastAsia="Arial" w:hAnsi="Arial"/>
          <w:sz w:val="13"/>
          <w:szCs w:val="13"/>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SBA debentures outstanding of $150.0 million as of September 30, 2016. We have funded SBIC II with $52.5 million of equity capital, and it had SBA debentures outstanding of $47.5 million and commitments from the SBA for another $27.5 million of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per recent regulatory changes, as part of a group of SBICs under common control may borrow a maximum of $350.0 million in the aggregate.</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 of September 30, 2016 and 2015, our SBIC Funds had $225.0 million in debt commitments, of which $197.5 million and $150.0 million was drawn, respectively. As of</w:t>
      </w:r>
    </w:p>
    <w:p>
      <w:pPr>
        <w:spacing w:after="0"/>
        <w:rPr>
          <w:sz w:val="20"/>
          <w:szCs w:val="20"/>
          <w:color w:val="auto"/>
        </w:rPr>
      </w:pPr>
      <w:r>
        <w:rPr>
          <w:rFonts w:ascii="Arial" w:cs="Arial" w:eastAsia="Arial" w:hAnsi="Arial"/>
          <w:sz w:val="13"/>
          <w:szCs w:val="13"/>
          <w:color w:val="auto"/>
        </w:rPr>
        <w:t>September 30, 2016 and 2015, the unamortized fees on the SBA debentures was $4.3 million and $3.7 million, respectively. The SBA debentures’ upfront fees of 3.43% consist of a commitment</w:t>
      </w:r>
    </w:p>
    <w:p>
      <w:pPr>
        <w:spacing w:after="0"/>
        <w:rPr>
          <w:sz w:val="20"/>
          <w:szCs w:val="20"/>
          <w:color w:val="auto"/>
        </w:rPr>
      </w:pPr>
      <w:r>
        <w:rPr>
          <w:rFonts w:ascii="Arial" w:cs="Arial" w:eastAsia="Arial" w:hAnsi="Arial"/>
          <w:sz w:val="14"/>
          <w:szCs w:val="14"/>
          <w:color w:val="auto"/>
        </w:rPr>
        <w:t>fee of 1.00% and an issuance discount of 2.43%, which are being amortized.</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fixed-rate SBA debentures were as follows: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24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Issuance Dates</w:t>
            </w:r>
          </w:p>
        </w:tc>
        <w:tc>
          <w:tcPr>
            <w:tcW w:w="580" w:type="dxa"/>
            <w:vAlign w:val="bottom"/>
            <w:vMerge w:val="restart"/>
          </w:tcPr>
          <w:p>
            <w:pPr>
              <w:spacing w:after="0"/>
              <w:rPr>
                <w:sz w:val="14"/>
                <w:szCs w:val="14"/>
                <w:color w:val="auto"/>
              </w:rPr>
            </w:pPr>
          </w:p>
        </w:tc>
        <w:tc>
          <w:tcPr>
            <w:tcW w:w="11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Maturity</w:t>
            </w:r>
          </w:p>
        </w:tc>
        <w:tc>
          <w:tcPr>
            <w:tcW w:w="68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Fixed All-in</w:t>
            </w:r>
          </w:p>
        </w:tc>
        <w:tc>
          <w:tcPr>
            <w:tcW w:w="1860" w:type="dxa"/>
            <w:vAlign w:val="bottom"/>
            <w:gridSpan w:val="3"/>
          </w:tcPr>
          <w:p>
            <w:pPr>
              <w:ind w:left="300"/>
              <w:spacing w:after="0"/>
              <w:rPr>
                <w:sz w:val="20"/>
                <w:szCs w:val="20"/>
                <w:color w:val="auto"/>
              </w:rPr>
            </w:pPr>
            <w:r>
              <w:rPr>
                <w:rFonts w:ascii="Arial" w:cs="Arial" w:eastAsia="Arial" w:hAnsi="Arial"/>
                <w:sz w:val="14"/>
                <w:szCs w:val="14"/>
                <w:b w:val="1"/>
                <w:bCs w:val="1"/>
                <w:color w:val="auto"/>
                <w:w w:val="90"/>
              </w:rPr>
              <w:t>As of September 30, 2016</w:t>
            </w:r>
          </w:p>
        </w:tc>
        <w:tc>
          <w:tcPr>
            <w:tcW w:w="2320" w:type="dxa"/>
            <w:vAlign w:val="bottom"/>
            <w:gridSpan w:val="4"/>
          </w:tcPr>
          <w:p>
            <w:pPr>
              <w:ind w:left="680"/>
              <w:spacing w:after="0"/>
              <w:rPr>
                <w:sz w:val="20"/>
                <w:szCs w:val="20"/>
                <w:color w:val="auto"/>
              </w:rPr>
            </w:pPr>
            <w:r>
              <w:rPr>
                <w:rFonts w:ascii="Arial" w:cs="Arial" w:eastAsia="Arial" w:hAnsi="Arial"/>
                <w:sz w:val="14"/>
                <w:szCs w:val="14"/>
                <w:b w:val="1"/>
                <w:bCs w:val="1"/>
                <w:color w:val="auto"/>
                <w:w w:val="95"/>
              </w:rPr>
              <w:t>As of September 30, 2015</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CCEEFF"/>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coupon rate</w:t>
            </w:r>
            <w:r>
              <w:rPr>
                <w:rFonts w:ascii="Arial" w:cs="Arial" w:eastAsia="Arial" w:hAnsi="Arial"/>
                <w:sz w:val="12"/>
                <w:szCs w:val="12"/>
                <w:b w:val="1"/>
                <w:bCs w:val="1"/>
                <w:color w:val="auto"/>
                <w:w w:val="96"/>
              </w:rPr>
              <w:t>(1), (2)</w:t>
            </w:r>
          </w:p>
        </w:tc>
        <w:tc>
          <w:tcPr>
            <w:tcW w:w="4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7"/>
              </w:rPr>
              <w:t>Principal Balance</w:t>
            </w:r>
          </w:p>
        </w:tc>
        <w:tc>
          <w:tcPr>
            <w:tcW w:w="6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9"/>
              </w:rPr>
              <w:t>Principal Balance</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September 22, 2010</w:t>
            </w:r>
          </w:p>
        </w:tc>
        <w:tc>
          <w:tcPr>
            <w:tcW w:w="580" w:type="dxa"/>
            <w:vAlign w:val="bottom"/>
            <w:shd w:val="clear" w:color="auto" w:fill="CCEEFF"/>
          </w:tcPr>
          <w:p>
            <w:pPr>
              <w:spacing w:after="0"/>
              <w:rPr>
                <w:sz w:val="12"/>
                <w:szCs w:val="12"/>
                <w:color w:val="auto"/>
              </w:rPr>
            </w:pPr>
          </w:p>
        </w:tc>
        <w:tc>
          <w:tcPr>
            <w:tcW w:w="11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w w:val="90"/>
              </w:rPr>
              <w:t>September 1, 2020</w:t>
            </w:r>
          </w:p>
        </w:tc>
        <w:tc>
          <w:tcPr>
            <w:tcW w:w="6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ind w:left="860"/>
              <w:spacing w:after="0" w:line="142" w:lineRule="exact"/>
              <w:rPr>
                <w:sz w:val="20"/>
                <w:szCs w:val="20"/>
                <w:color w:val="auto"/>
              </w:rPr>
            </w:pPr>
            <w:r>
              <w:rPr>
                <w:rFonts w:ascii="Arial" w:cs="Arial" w:eastAsia="Arial" w:hAnsi="Arial"/>
                <w:sz w:val="14"/>
                <w:szCs w:val="14"/>
                <w:color w:val="auto"/>
              </w:rPr>
              <w:t>3.50%</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March 29, 2011</w:t>
            </w:r>
          </w:p>
        </w:tc>
        <w:tc>
          <w:tcPr>
            <w:tcW w:w="1120" w:type="dxa"/>
            <w:vAlign w:val="bottom"/>
          </w:tcPr>
          <w:p>
            <w:pPr>
              <w:ind w:left="20"/>
              <w:spacing w:after="0" w:line="149" w:lineRule="exact"/>
              <w:rPr>
                <w:sz w:val="20"/>
                <w:szCs w:val="20"/>
                <w:color w:val="auto"/>
              </w:rPr>
            </w:pPr>
            <w:r>
              <w:rPr>
                <w:rFonts w:ascii="Arial" w:cs="Arial" w:eastAsia="Arial" w:hAnsi="Arial"/>
                <w:sz w:val="14"/>
                <w:szCs w:val="14"/>
                <w:color w:val="auto"/>
              </w:rPr>
              <w:t>March 1, 2021</w:t>
            </w:r>
          </w:p>
        </w:tc>
        <w:tc>
          <w:tcPr>
            <w:tcW w:w="1800" w:type="dxa"/>
            <w:vAlign w:val="bottom"/>
            <w:gridSpan w:val="2"/>
          </w:tcPr>
          <w:p>
            <w:pPr>
              <w:ind w:left="1540"/>
              <w:spacing w:after="0" w:line="149" w:lineRule="exact"/>
              <w:rPr>
                <w:sz w:val="20"/>
                <w:szCs w:val="20"/>
                <w:color w:val="auto"/>
              </w:rPr>
            </w:pPr>
            <w:r>
              <w:rPr>
                <w:rFonts w:ascii="Arial" w:cs="Arial" w:eastAsia="Arial" w:hAnsi="Arial"/>
                <w:sz w:val="14"/>
                <w:szCs w:val="14"/>
                <w:color w:val="auto"/>
                <w:w w:val="87"/>
              </w:rPr>
              <w:t>4.46</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September 21, 2011</w:t>
            </w:r>
          </w:p>
        </w:tc>
        <w:tc>
          <w:tcPr>
            <w:tcW w:w="1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0"/>
              </w:rPr>
              <w:t>September 1, 2021</w:t>
            </w:r>
          </w:p>
        </w:tc>
        <w:tc>
          <w:tcPr>
            <w:tcW w:w="1800" w:type="dxa"/>
            <w:vAlign w:val="bottom"/>
            <w:gridSpan w:val="2"/>
            <w:shd w:val="clear" w:color="auto" w:fill="CCEEFF"/>
          </w:tcPr>
          <w:p>
            <w:pPr>
              <w:ind w:left="1540"/>
              <w:spacing w:after="0" w:line="149" w:lineRule="exact"/>
              <w:rPr>
                <w:sz w:val="20"/>
                <w:szCs w:val="20"/>
                <w:color w:val="auto"/>
              </w:rPr>
            </w:pPr>
            <w:r>
              <w:rPr>
                <w:rFonts w:ascii="Arial" w:cs="Arial" w:eastAsia="Arial" w:hAnsi="Arial"/>
                <w:sz w:val="14"/>
                <w:szCs w:val="14"/>
                <w:color w:val="auto"/>
                <w:w w:val="87"/>
              </w:rPr>
              <w:t>3.38</w:t>
            </w: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March 23, 2016</w:t>
            </w:r>
          </w:p>
        </w:tc>
        <w:tc>
          <w:tcPr>
            <w:tcW w:w="1120" w:type="dxa"/>
            <w:vAlign w:val="bottom"/>
          </w:tcPr>
          <w:p>
            <w:pPr>
              <w:ind w:left="20"/>
              <w:spacing w:after="0" w:line="149" w:lineRule="exact"/>
              <w:rPr>
                <w:sz w:val="20"/>
                <w:szCs w:val="20"/>
                <w:color w:val="auto"/>
              </w:rPr>
            </w:pPr>
            <w:r>
              <w:rPr>
                <w:rFonts w:ascii="Arial" w:cs="Arial" w:eastAsia="Arial" w:hAnsi="Arial"/>
                <w:sz w:val="14"/>
                <w:szCs w:val="14"/>
                <w:color w:val="auto"/>
              </w:rPr>
              <w:t>March 1, 2026</w:t>
            </w:r>
          </w:p>
        </w:tc>
        <w:tc>
          <w:tcPr>
            <w:tcW w:w="1800" w:type="dxa"/>
            <w:vAlign w:val="bottom"/>
            <w:gridSpan w:val="2"/>
          </w:tcPr>
          <w:p>
            <w:pPr>
              <w:ind w:left="1540"/>
              <w:spacing w:after="0" w:line="149" w:lineRule="exact"/>
              <w:rPr>
                <w:sz w:val="20"/>
                <w:szCs w:val="20"/>
                <w:color w:val="auto"/>
              </w:rPr>
            </w:pPr>
            <w:r>
              <w:rPr>
                <w:rFonts w:ascii="Arial" w:cs="Arial" w:eastAsia="Arial" w:hAnsi="Arial"/>
                <w:sz w:val="14"/>
                <w:szCs w:val="14"/>
                <w:color w:val="auto"/>
                <w:w w:val="87"/>
              </w:rPr>
              <w:t>2.86</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September 21, 2016</w:t>
            </w:r>
          </w:p>
        </w:tc>
        <w:tc>
          <w:tcPr>
            <w:tcW w:w="1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0"/>
              </w:rPr>
              <w:t>September 1, 2026</w:t>
            </w:r>
          </w:p>
        </w:tc>
        <w:tc>
          <w:tcPr>
            <w:tcW w:w="68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ind w:left="860"/>
              <w:spacing w:after="0" w:line="149" w:lineRule="exact"/>
              <w:rPr>
                <w:sz w:val="20"/>
                <w:szCs w:val="20"/>
                <w:color w:val="auto"/>
              </w:rPr>
            </w:pPr>
            <w:r>
              <w:rPr>
                <w:rFonts w:ascii="Arial" w:cs="Arial" w:eastAsia="Arial" w:hAnsi="Arial"/>
                <w:sz w:val="14"/>
                <w:szCs w:val="14"/>
                <w:color w:val="auto"/>
                <w:w w:val="87"/>
              </w:rPr>
              <w:t>2.41</w:t>
            </w: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25,000,000</w:t>
            </w:r>
          </w:p>
        </w:tc>
        <w:tc>
          <w:tcPr>
            <w:tcW w:w="6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820" w:type="dxa"/>
            <w:vAlign w:val="bottom"/>
            <w:gridSpan w:val="2"/>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40" w:type="dxa"/>
            <w:vAlign w:val="bottom"/>
            <w:gridSpan w:val="2"/>
          </w:tcPr>
          <w:p>
            <w:pPr>
              <w:ind w:left="860"/>
              <w:spacing w:after="0" w:line="155" w:lineRule="exact"/>
              <w:rPr>
                <w:sz w:val="20"/>
                <w:szCs w:val="20"/>
                <w:color w:val="auto"/>
              </w:rPr>
            </w:pPr>
            <w:r>
              <w:rPr>
                <w:rFonts w:ascii="Arial" w:cs="Arial" w:eastAsia="Arial" w:hAnsi="Arial"/>
                <w:sz w:val="14"/>
                <w:szCs w:val="14"/>
                <w:color w:val="auto"/>
              </w:rPr>
              <w:t>3.44%</w:t>
            </w:r>
          </w:p>
        </w:tc>
        <w:tc>
          <w:tcPr>
            <w:tcW w:w="32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197,500,000</w:t>
            </w:r>
          </w:p>
        </w:tc>
        <w:tc>
          <w:tcPr>
            <w:tcW w:w="68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55" w:lineRule="exact"/>
              <w:rPr>
                <w:sz w:val="20"/>
                <w:szCs w:val="20"/>
                <w:color w:val="auto"/>
              </w:rPr>
            </w:pPr>
            <w:r>
              <w:rPr>
                <w:rFonts w:ascii="Arial" w:cs="Arial" w:eastAsia="Arial" w:hAnsi="Arial"/>
                <w:sz w:val="14"/>
                <w:szCs w:val="14"/>
                <w:color w:val="auto"/>
              </w:rPr>
              <w:t>150,000,000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516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3" w:lineRule="exact"/>
        <w:rPr>
          <w:sz w:val="20"/>
          <w:szCs w:val="20"/>
          <w:color w:val="auto"/>
        </w:rPr>
      </w:pPr>
    </w:p>
    <w:p>
      <w:pPr>
        <w:ind w:left="560" w:hanging="552"/>
        <w:spacing w:after="0"/>
        <w:tabs>
          <w:tab w:leader="none" w:pos="560" w:val="left"/>
        </w:tabs>
        <w:numPr>
          <w:ilvl w:val="0"/>
          <w:numId w:val="37"/>
        </w:numPr>
        <w:rPr>
          <w:rFonts w:ascii="Arial" w:cs="Arial" w:eastAsia="Arial" w:hAnsi="Arial"/>
          <w:sz w:val="12"/>
          <w:szCs w:val="12"/>
          <w:color w:val="auto"/>
        </w:rPr>
      </w:pPr>
      <w:r>
        <w:rPr>
          <w:rFonts w:ascii="Arial" w:cs="Arial" w:eastAsia="Arial" w:hAnsi="Arial"/>
          <w:sz w:val="14"/>
          <w:szCs w:val="14"/>
          <w:color w:val="auto"/>
        </w:rPr>
        <w:t>Excluding 3.43% of upfront fees.</w:t>
      </w:r>
    </w:p>
    <w:p>
      <w:pPr>
        <w:ind w:left="560" w:hanging="552"/>
        <w:spacing w:after="0"/>
        <w:tabs>
          <w:tab w:leader="none" w:pos="560" w:val="left"/>
        </w:tabs>
        <w:numPr>
          <w:ilvl w:val="0"/>
          <w:numId w:val="37"/>
        </w:numPr>
        <w:rPr>
          <w:rFonts w:ascii="Arial" w:cs="Arial" w:eastAsia="Arial" w:hAnsi="Arial"/>
          <w:sz w:val="12"/>
          <w:szCs w:val="12"/>
          <w:color w:val="auto"/>
        </w:rPr>
      </w:pPr>
      <w:r>
        <w:rPr>
          <w:rFonts w:ascii="Arial" w:cs="Arial" w:eastAsia="Arial" w:hAnsi="Arial"/>
          <w:sz w:val="14"/>
          <w:szCs w:val="14"/>
          <w:color w:val="auto"/>
        </w:rPr>
        <w:t>As of September 30, 2015, the fixed all-in coupon rate was 3.70%.</w:t>
      </w:r>
    </w:p>
    <w:p>
      <w:pPr>
        <w:spacing w:after="0" w:line="84"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September 30, 2016, our SBIC Funds were in compliance with their regulatory requirements.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40"/>
          </w:cols>
          <w:pgMar w:left="32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20" w:firstLine="562"/>
        <w:spacing w:after="0" w:line="255" w:lineRule="auto"/>
        <w:rPr>
          <w:sz w:val="20"/>
          <w:szCs w:val="20"/>
          <w:color w:val="auto"/>
        </w:rPr>
      </w:pPr>
      <w:r>
        <w:rPr>
          <w:rFonts w:ascii="Arial" w:cs="Arial" w:eastAsia="Arial" w:hAnsi="Arial"/>
          <w:sz w:val="13"/>
          <w:szCs w:val="13"/>
          <w:color w:val="auto"/>
        </w:rPr>
        <w:t>In accordance with the 1940 Act, with certain limited exceptions, PennantPark Investment is only allowed to borrow amounts such that our asset coverage ratio is met after such borrowing. As of September 30, 2016 and 2015,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67" w:lineRule="exact"/>
        <w:rPr>
          <w:sz w:val="20"/>
          <w:szCs w:val="20"/>
          <w:color w:val="auto"/>
        </w:rPr>
      </w:pPr>
    </w:p>
    <w:p>
      <w:pPr>
        <w:ind w:right="80" w:firstLine="562"/>
        <w:spacing w:after="0" w:line="253" w:lineRule="auto"/>
        <w:rPr>
          <w:sz w:val="20"/>
          <w:szCs w:val="20"/>
          <w:color w:val="auto"/>
        </w:rPr>
      </w:pPr>
      <w:r>
        <w:rPr>
          <w:rFonts w:ascii="Arial" w:cs="Arial" w:eastAsia="Arial" w:hAnsi="Arial"/>
          <w:sz w:val="14"/>
          <w:szCs w:val="14"/>
          <w:color w:val="auto"/>
        </w:rPr>
        <w:t>At September 30, 2016 and 2015, we had cash and cash equivalents of $75.6 million and $49.6 million, respectively, available for investing and general corporate purposes. We believe our liquidity and capital resources are sufficient to take advantage of market opportunities.</w:t>
      </w:r>
    </w:p>
    <w:p>
      <w:pPr>
        <w:spacing w:after="0" w:line="66" w:lineRule="exact"/>
        <w:rPr>
          <w:sz w:val="20"/>
          <w:szCs w:val="20"/>
          <w:color w:val="auto"/>
        </w:rPr>
      </w:pPr>
    </w:p>
    <w:p>
      <w:pPr>
        <w:ind w:right="160" w:firstLine="562"/>
        <w:spacing w:after="0" w:line="238" w:lineRule="auto"/>
        <w:rPr>
          <w:sz w:val="20"/>
          <w:szCs w:val="20"/>
          <w:color w:val="auto"/>
        </w:rPr>
      </w:pPr>
      <w:r>
        <w:rPr>
          <w:rFonts w:ascii="Arial" w:cs="Arial" w:eastAsia="Arial" w:hAnsi="Arial"/>
          <w:sz w:val="14"/>
          <w:szCs w:val="14"/>
          <w:color w:val="auto"/>
        </w:rPr>
        <w:t>Our operating activities provided cash of $157.7 million for the fiscal year ended September 30, 2016, and our financing activities used cash proceeds of $132.7 million for the same period. Our operating activities provided cash primarily from sales and repayments on our investments and our financing activities used cash primarily for net repayments on our Credit Facility and our stock repurchase program.</w:t>
      </w:r>
    </w:p>
    <w:p>
      <w:pPr>
        <w:spacing w:after="0" w:line="75"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Our operating activities provided cash of $3.0 million for the fiscal year ended September 30, 2015, and our financing activities used cash proceeds of $20.1 million for the same period. Our operating activities provided cash primarily from sales and repayments on our investments and our financing activities used cash primarily for our stock repurchase program and to repay certain amounts under our Credit Facility.</w:t>
      </w:r>
    </w:p>
    <w:p>
      <w:pPr>
        <w:spacing w:after="0" w:line="75"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Our operating activities used cash of $172.5 million for the fiscal year ended September 30, 2014, and our financing activities provided cash proceeds of $180.9 million for the same period. Our operating activities used cash primarily for our investment activities and our financing activities provided cash primarily from the issuance of the 2019 Notes, our equity offering and net draws under the Credit Facility.</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 summary of our significant contractual payment obligations as of September 30, 2016, including borrowings under our various debt facilities and other contractual obligations, is 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2"/>
              </w:rPr>
              <w:t>Payments due by period (in millions)</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Less than 1 year</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1-3 years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3-5 years</w:t>
            </w:r>
          </w:p>
        </w:tc>
        <w:tc>
          <w:tcPr>
            <w:tcW w:w="28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More than 5 years</w:t>
            </w:r>
          </w:p>
        </w:tc>
        <w:tc>
          <w:tcPr>
            <w:tcW w:w="80" w:type="dxa"/>
            <w:vAlign w:val="bottom"/>
          </w:tcPr>
          <w:p>
            <w:pPr>
              <w:spacing w:after="0"/>
              <w:rPr>
                <w:sz w:val="12"/>
                <w:szCs w:val="12"/>
                <w:color w:val="auto"/>
              </w:rPr>
            </w:pPr>
          </w:p>
        </w:tc>
      </w:tr>
      <w:tr>
        <w:trPr>
          <w:trHeight w:val="142"/>
        </w:trPr>
        <w:tc>
          <w:tcPr>
            <w:tcW w:w="31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Credit Facility</w:t>
            </w:r>
          </w:p>
        </w:tc>
        <w:tc>
          <w:tcPr>
            <w:tcW w:w="700" w:type="dxa"/>
            <w:vAlign w:val="bottom"/>
            <w:tcBorders>
              <w:top w:val="single" w:sz="8" w:color="auto"/>
            </w:tcBorders>
            <w:shd w:val="clear" w:color="auto" w:fill="CCEEFF"/>
          </w:tcPr>
          <w:p>
            <w:pPr>
              <w:jc w:val="right"/>
              <w:ind w:right="548"/>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50.3</w:t>
            </w:r>
          </w:p>
        </w:tc>
        <w:tc>
          <w:tcPr>
            <w:tcW w:w="3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ind w:right="1018"/>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5"/>
              </w:rPr>
              <w:t>—</w:t>
            </w:r>
          </w:p>
        </w:tc>
        <w:tc>
          <w:tcPr>
            <w:tcW w:w="3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ind w:left="800"/>
              <w:spacing w:after="0" w:line="142" w:lineRule="exact"/>
              <w:rPr>
                <w:sz w:val="20"/>
                <w:szCs w:val="20"/>
                <w:color w:val="auto"/>
              </w:rPr>
            </w:pPr>
            <w:r>
              <w:rPr>
                <w:rFonts w:ascii="Arial" w:cs="Arial" w:eastAsia="Arial" w:hAnsi="Arial"/>
                <w:sz w:val="14"/>
                <w:szCs w:val="14"/>
                <w:color w:val="auto"/>
                <w:w w:val="99"/>
              </w:rPr>
              <w:t>—</w:t>
            </w:r>
          </w:p>
        </w:tc>
        <w:tc>
          <w:tcPr>
            <w:tcW w:w="5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50.3</w:t>
            </w:r>
          </w:p>
        </w:tc>
        <w:tc>
          <w:tcPr>
            <w:tcW w:w="2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rPr>
              <w:t>SBA debentures</w:t>
            </w:r>
          </w:p>
        </w:tc>
        <w:tc>
          <w:tcPr>
            <w:tcW w:w="70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1"/>
              </w:rPr>
              <w:t>197.5</w:t>
            </w: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150.0</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47.5</w:t>
            </w:r>
          </w:p>
        </w:tc>
      </w:tr>
      <w:tr>
        <w:trPr>
          <w:trHeight w:val="148"/>
        </w:trPr>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7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1"/>
              </w:rPr>
              <w:t>250.0</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250.0</w:t>
            </w: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70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71.3</w:t>
            </w: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71.3</w:t>
            </w:r>
          </w:p>
        </w:tc>
      </w:tr>
      <w:tr>
        <w:trPr>
          <w:trHeight w:val="27"/>
        </w:trPr>
        <w:tc>
          <w:tcPr>
            <w:tcW w:w="3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9"/>
        </w:trPr>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7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1"/>
              </w:rPr>
              <w:t>569.1</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450.3</w:t>
            </w: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118.8</w:t>
            </w: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70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3.1</w:t>
            </w: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w:t>
            </w:r>
          </w:p>
        </w:tc>
      </w:tr>
      <w:tr>
        <w:trPr>
          <w:trHeight w:val="27"/>
        </w:trPr>
        <w:tc>
          <w:tcPr>
            <w:tcW w:w="3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8"/>
        </w:trPr>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contractual obligations</w:t>
            </w:r>
          </w:p>
        </w:tc>
        <w:tc>
          <w:tcPr>
            <w:tcW w:w="700" w:type="dxa"/>
            <w:vAlign w:val="bottom"/>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1"/>
              </w:rPr>
              <w:t>572.2</w:t>
            </w:r>
          </w:p>
        </w:tc>
        <w:tc>
          <w:tcPr>
            <w:tcW w:w="1420" w:type="dxa"/>
            <w:vAlign w:val="bottom"/>
            <w:gridSpan w:val="2"/>
            <w:shd w:val="clear" w:color="auto" w:fill="CCEEFF"/>
          </w:tcPr>
          <w:p>
            <w:pPr>
              <w:jc w:val="right"/>
              <w:ind w:right="1018"/>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452.3</w:t>
            </w:r>
          </w:p>
        </w:tc>
        <w:tc>
          <w:tcPr>
            <w:tcW w:w="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119.9</w:t>
            </w:r>
          </w:p>
        </w:tc>
      </w:tr>
      <w:tr>
        <w:trPr>
          <w:trHeight w:val="20"/>
        </w:trPr>
        <w:tc>
          <w:tcPr>
            <w:tcW w:w="3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16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4" w:lineRule="exact"/>
        <w:rPr>
          <w:sz w:val="20"/>
          <w:szCs w:val="20"/>
          <w:color w:val="auto"/>
        </w:rPr>
      </w:pPr>
    </w:p>
    <w:p>
      <w:pPr>
        <w:ind w:left="560" w:right="420" w:hanging="552"/>
        <w:spacing w:after="0" w:line="230" w:lineRule="auto"/>
        <w:tabs>
          <w:tab w:leader="none" w:pos="560" w:val="left"/>
        </w:tabs>
        <w:numPr>
          <w:ilvl w:val="0"/>
          <w:numId w:val="38"/>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September 30, 2016, excluding debt issuance costs, was 4.20% exclusive of the fee on the undrawn commitment on the Credit Facility and 3.43% of upfront fees on SBA debentures.</w:t>
      </w:r>
    </w:p>
    <w:p>
      <w:pPr>
        <w:ind w:left="560" w:hanging="552"/>
        <w:spacing w:after="0"/>
        <w:tabs>
          <w:tab w:leader="none" w:pos="560" w:val="left"/>
        </w:tabs>
        <w:numPr>
          <w:ilvl w:val="0"/>
          <w:numId w:val="38"/>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 and Note 12 of our Consolidated Financial Statements.</w:t>
      </w:r>
    </w:p>
    <w:p>
      <w:pPr>
        <w:spacing w:after="0" w:line="84" w:lineRule="exact"/>
        <w:rPr>
          <w:sz w:val="20"/>
          <w:szCs w:val="20"/>
          <w:color w:val="auto"/>
        </w:rPr>
      </w:pPr>
    </w:p>
    <w:p>
      <w:pPr>
        <w:ind w:right="120" w:firstLine="562"/>
        <w:spacing w:after="0" w:line="229"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2016.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77"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2016,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77"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96" w:lineRule="exact"/>
        <w:rPr>
          <w:sz w:val="20"/>
          <w:szCs w:val="20"/>
          <w:color w:val="auto"/>
        </w:rPr>
      </w:pPr>
    </w:p>
    <w:p>
      <w:pPr>
        <w:ind w:right="20" w:firstLine="562"/>
        <w:spacing w:after="0" w:line="244" w:lineRule="auto"/>
        <w:rPr>
          <w:sz w:val="20"/>
          <w:szCs w:val="20"/>
          <w:color w:val="auto"/>
        </w:rPr>
      </w:pPr>
      <w:r>
        <w:rPr>
          <w:rFonts w:ascii="Arial" w:cs="Arial" w:eastAsia="Arial" w:hAnsi="Arial"/>
          <w:sz w:val="13"/>
          <w:szCs w:val="13"/>
          <w:color w:val="auto"/>
        </w:rPr>
        <w:t>In order to be treated as a RIC for federal income tax purposes and to not be subject to corporate-level tax on undistributed income or gains, we are required, under Subchapter M of the Code, to annually distribute to stockholders out of the assets legally available for distribution of an amount at least equal to 90% of the sum of our ordinary income and realized net short-term capital gains in excess of realized net long-term capital losses, or investment company taxable income, determined without regard to any deduction for dividends paid. Although not required for us to maintain our RIC tax status, in order to preclude the imposition of a 4% nondeductible federal excise tax imposed on RICs, we must distribute to our stockholders in respect of each calendar year of an amount generally at least equal to the sum of (1) 98% of our net ordinary income for the calendar year, (2) 98.2% of our capital gain net income (i.e., the excess, if any, of capital gains over capital losses) for the one-year period ending on October 31 of the calendar year plus (3) the sum of any net ordinary income plus capital gain net income for preceding years that was not distributed during such years and on which we paid no federal income tax. In addition, although we may distribute realized net capital gains (i.e., net long-term capital gains in excess of short-term capital losses), if any, at least annually, out of the assets legally available for such distributions in the manner described above, we have retained and may retain such net capital gains or investment company taxable income in the future, subject to maintaining our ability to be treated as a RIC for federal income tax purposes, to provide us with additional liquidity.</w:t>
      </w:r>
    </w:p>
    <w:p>
      <w:pPr>
        <w:spacing w:after="0" w:line="77" w:lineRule="exact"/>
        <w:rPr>
          <w:sz w:val="20"/>
          <w:szCs w:val="20"/>
          <w:color w:val="auto"/>
        </w:rPr>
      </w:pPr>
    </w:p>
    <w:p>
      <w:pPr>
        <w:ind w:right="20" w:firstLine="562"/>
        <w:spacing w:after="0" w:line="255" w:lineRule="auto"/>
        <w:rPr>
          <w:sz w:val="20"/>
          <w:szCs w:val="20"/>
          <w:color w:val="auto"/>
        </w:rPr>
      </w:pPr>
      <w:r>
        <w:rPr>
          <w:rFonts w:ascii="Arial" w:cs="Arial" w:eastAsia="Arial" w:hAnsi="Arial"/>
          <w:sz w:val="13"/>
          <w:szCs w:val="13"/>
          <w:color w:val="auto"/>
        </w:rPr>
        <w:t>During the fiscal years ended September 30, 2016, 2015 and 2014, we declared distributions of $1.12 per share each year for total distributions of $79.8 million, $83.3 million and $76.9 million, respectively. We monitor available net investment income to determine if a return of capital for taxation purposes may occur for the fiscal year. To the extent our taxable earnings fall below the total amount of our distributions for any given fiscal year, common stockholders will be notified of the portion of those distributions deemed to be a return of capital. Tax characteristics of all distributions will be reported to stockholders subject to information reporting on Form 1099-DIV after the end of the calendar year and in our periodic reports filed with the SEC.</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96" w:lineRule="exact"/>
        <w:rPr>
          <w:sz w:val="20"/>
          <w:szCs w:val="20"/>
          <w:color w:val="auto"/>
        </w:rPr>
      </w:pPr>
    </w:p>
    <w:p>
      <w:pPr>
        <w:ind w:right="60" w:firstLine="562"/>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6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our ability to be treated as a RIC for federal income tax purposes. We cannot assure stockholders that they will receive any distributions at a particular level.</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REPURCHASE PROGRAM</w:t>
      </w:r>
    </w:p>
    <w:p>
      <w:pPr>
        <w:spacing w:after="0" w:line="100" w:lineRule="exact"/>
        <w:rPr>
          <w:sz w:val="20"/>
          <w:szCs w:val="20"/>
          <w:color w:val="auto"/>
        </w:rPr>
      </w:pPr>
    </w:p>
    <w:p>
      <w:pPr>
        <w:ind w:right="40" w:firstLine="562"/>
        <w:spacing w:after="0" w:line="255" w:lineRule="auto"/>
        <w:rPr>
          <w:sz w:val="20"/>
          <w:szCs w:val="20"/>
          <w:color w:val="auto"/>
        </w:rPr>
      </w:pPr>
      <w:r>
        <w:rPr>
          <w:rFonts w:ascii="Arial" w:cs="Arial" w:eastAsia="Arial" w:hAnsi="Arial"/>
          <w:sz w:val="13"/>
          <w:szCs w:val="13"/>
          <w:color w:val="auto"/>
        </w:rPr>
        <w:t>On May 6, 2015, we announced a share repurchase plan which allows us to repurchase up to $35.0 million of our outstanding common stock in the open market at prices below our net asset value as reported in our then most recently published consolidated financial statements. The program expired on May 6, 2016. During the year ended September 30, 2016, we repurchased 1.9 million shares of common stock, respectively, in open market transactions for an aggregate cost (including transaction costs) of $12.2 million. From May 6, 2015 through the program’s expiration, we purchased 4.0 million shares of common stock in open market transactions for an aggregate cost (including transaction costs) of $30.1 million.</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160"/>
          </w:cols>
          <w:pgMar w:left="320" w:top="459" w:right="4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00"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September 30, 2016, our debt portfolio consisted of 78% variable-rate investments (including 72% with a LIBOR or prime floor) and 22%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76" w:lineRule="exact"/>
        <w:rPr>
          <w:sz w:val="20"/>
          <w:szCs w:val="20"/>
          <w:color w:val="auto"/>
        </w:rPr>
      </w:pPr>
    </w:p>
    <w:p>
      <w:pPr>
        <w:ind w:right="20" w:firstLine="562"/>
        <w:spacing w:after="0" w:line="253" w:lineRule="auto"/>
        <w:rPr>
          <w:sz w:val="20"/>
          <w:szCs w:val="20"/>
          <w:color w:val="auto"/>
        </w:rPr>
      </w:pPr>
      <w:r>
        <w:rPr>
          <w:rFonts w:ascii="Arial" w:cs="Arial" w:eastAsia="Arial" w:hAnsi="Arial"/>
          <w:sz w:val="14"/>
          <w:szCs w:val="14"/>
          <w:color w:val="auto"/>
        </w:rPr>
        <w:t>Assuming that the most recent Consolidated Statement of Assets and Liabilities was to remain constant, and no actions were taken to alter the interest rate sensitivity, the following table shows the annualized impact of hypothetical base rate changes in interest rates:</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40" w:type="dxa"/>
            <w:vAlign w:val="bottom"/>
            <w:gridSpan w:val="3"/>
          </w:tcPr>
          <w:p>
            <w:pPr>
              <w:ind w:left="20"/>
              <w:spacing w:after="0"/>
              <w:rPr>
                <w:sz w:val="20"/>
                <w:szCs w:val="20"/>
                <w:color w:val="auto"/>
              </w:rPr>
            </w:pPr>
            <w:r>
              <w:rPr>
                <w:rFonts w:ascii="Arial" w:cs="Arial" w:eastAsia="Arial" w:hAnsi="Arial"/>
                <w:sz w:val="14"/>
                <w:szCs w:val="14"/>
                <w:color w:val="auto"/>
              </w:rPr>
              <w:t>Change In Interest Income,</w:t>
            </w:r>
          </w:p>
        </w:tc>
        <w:tc>
          <w:tcPr>
            <w:tcW w:w="1700" w:type="dxa"/>
            <w:vAlign w:val="bottom"/>
            <w:gridSpan w:val="3"/>
          </w:tcPr>
          <w:p>
            <w:pPr>
              <w:jc w:val="center"/>
              <w:ind w:right="80"/>
              <w:spacing w:after="0"/>
              <w:rPr>
                <w:sz w:val="20"/>
                <w:szCs w:val="20"/>
                <w:color w:val="auto"/>
              </w:rPr>
            </w:pPr>
            <w:r>
              <w:rPr>
                <w:rFonts w:ascii="Arial" w:cs="Arial" w:eastAsia="Arial" w:hAnsi="Arial"/>
                <w:sz w:val="14"/>
                <w:szCs w:val="14"/>
                <w:color w:val="auto"/>
                <w:w w:val="93"/>
              </w:rPr>
              <w:t>Change In Interest Income,</w:t>
            </w:r>
          </w:p>
        </w:tc>
      </w:tr>
      <w:tr>
        <w:trPr>
          <w:trHeight w:val="149"/>
        </w:trPr>
        <w:tc>
          <w:tcPr>
            <w:tcW w:w="7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gridSpan w:val="2"/>
          </w:tcPr>
          <w:p>
            <w:pPr>
              <w:jc w:val="center"/>
              <w:ind w:right="920"/>
              <w:spacing w:after="0" w:line="149" w:lineRule="exact"/>
              <w:rPr>
                <w:sz w:val="20"/>
                <w:szCs w:val="20"/>
                <w:color w:val="auto"/>
              </w:rPr>
            </w:pPr>
            <w:r>
              <w:rPr>
                <w:rFonts w:ascii="Arial" w:cs="Arial" w:eastAsia="Arial" w:hAnsi="Arial"/>
                <w:sz w:val="14"/>
                <w:szCs w:val="14"/>
                <w:color w:val="auto"/>
                <w:w w:val="93"/>
              </w:rPr>
              <w:t>Net Of Interest Expense</w:t>
            </w:r>
          </w:p>
        </w:tc>
        <w:tc>
          <w:tcPr>
            <w:tcW w:w="170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2"/>
              </w:rPr>
              <w:t>Net Of Interest Expense</w:t>
            </w:r>
          </w:p>
        </w:tc>
      </w:tr>
      <w:tr>
        <w:trPr>
          <w:trHeight w:val="181"/>
        </w:trPr>
        <w:tc>
          <w:tcPr>
            <w:tcW w:w="740" w:type="dxa"/>
            <w:vAlign w:val="bottom"/>
          </w:tcPr>
          <w:p>
            <w:pPr>
              <w:spacing w:after="0"/>
              <w:rPr>
                <w:sz w:val="15"/>
                <w:szCs w:val="15"/>
                <w:color w:val="auto"/>
              </w:rPr>
            </w:pPr>
          </w:p>
        </w:tc>
        <w:tc>
          <w:tcPr>
            <w:tcW w:w="3200" w:type="dxa"/>
            <w:vAlign w:val="bottom"/>
            <w:gridSpan w:val="2"/>
          </w:tcPr>
          <w:p>
            <w:pPr>
              <w:jc w:val="center"/>
              <w:ind w:right="1800"/>
              <w:spacing w:after="0"/>
              <w:rPr>
                <w:sz w:val="20"/>
                <w:szCs w:val="20"/>
                <w:color w:val="auto"/>
              </w:rPr>
            </w:pPr>
            <w:r>
              <w:rPr>
                <w:rFonts w:ascii="Arial" w:cs="Arial" w:eastAsia="Arial" w:hAnsi="Arial"/>
                <w:sz w:val="14"/>
                <w:szCs w:val="14"/>
                <w:color w:val="auto"/>
                <w:w w:val="89"/>
              </w:rPr>
              <w:t>Change In Interest Rates</w:t>
            </w:r>
          </w:p>
        </w:tc>
        <w:tc>
          <w:tcPr>
            <w:tcW w:w="80" w:type="dxa"/>
            <w:vAlign w:val="bottom"/>
          </w:tcPr>
          <w:p>
            <w:pPr>
              <w:spacing w:after="0"/>
              <w:rPr>
                <w:sz w:val="15"/>
                <w:szCs w:val="15"/>
                <w:color w:val="auto"/>
              </w:rPr>
            </w:pPr>
          </w:p>
        </w:tc>
        <w:tc>
          <w:tcPr>
            <w:tcW w:w="2360" w:type="dxa"/>
            <w:vAlign w:val="bottom"/>
            <w:gridSpan w:val="2"/>
          </w:tcPr>
          <w:p>
            <w:pPr>
              <w:jc w:val="center"/>
              <w:ind w:right="900"/>
              <w:spacing w:after="0"/>
              <w:rPr>
                <w:sz w:val="20"/>
                <w:szCs w:val="20"/>
                <w:color w:val="auto"/>
              </w:rPr>
            </w:pPr>
            <w:r>
              <w:rPr>
                <w:rFonts w:ascii="Arial" w:cs="Arial" w:eastAsia="Arial" w:hAnsi="Arial"/>
                <w:sz w:val="14"/>
                <w:szCs w:val="14"/>
                <w:color w:val="auto"/>
                <w:w w:val="92"/>
              </w:rPr>
              <w:t>(in thousands)</w:t>
            </w:r>
          </w:p>
        </w:tc>
        <w:tc>
          <w:tcPr>
            <w:tcW w:w="340" w:type="dxa"/>
            <w:vAlign w:val="bottom"/>
          </w:tcPr>
          <w:p>
            <w:pPr>
              <w:spacing w:after="0"/>
              <w:rPr>
                <w:sz w:val="15"/>
                <w:szCs w:val="15"/>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color w:val="auto"/>
                <w:w w:val="85"/>
              </w:rPr>
              <w:t>Per Share</w:t>
            </w:r>
          </w:p>
        </w:tc>
      </w:tr>
      <w:tr>
        <w:trPr>
          <w:trHeight w:val="142"/>
        </w:trPr>
        <w:tc>
          <w:tcPr>
            <w:tcW w:w="74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Up 1%</w:t>
            </w:r>
          </w:p>
        </w:tc>
        <w:tc>
          <w:tcPr>
            <w:tcW w:w="18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2,074</w:t>
            </w:r>
          </w:p>
        </w:tc>
        <w:tc>
          <w:tcPr>
            <w:tcW w:w="8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0.03</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740" w:type="dxa"/>
            <w:vAlign w:val="bottom"/>
          </w:tcPr>
          <w:p>
            <w:pPr>
              <w:spacing w:after="0"/>
              <w:rPr>
                <w:sz w:val="12"/>
                <w:szCs w:val="12"/>
                <w:color w:val="auto"/>
              </w:rPr>
            </w:pPr>
          </w:p>
        </w:tc>
        <w:tc>
          <w:tcPr>
            <w:tcW w:w="3200" w:type="dxa"/>
            <w:vAlign w:val="bottom"/>
            <w:gridSpan w:val="2"/>
          </w:tcPr>
          <w:p>
            <w:pPr>
              <w:jc w:val="center"/>
              <w:ind w:right="1800"/>
              <w:spacing w:after="0" w:line="149" w:lineRule="exact"/>
              <w:rPr>
                <w:sz w:val="20"/>
                <w:szCs w:val="20"/>
                <w:color w:val="auto"/>
              </w:rPr>
            </w:pPr>
            <w:r>
              <w:rPr>
                <w:rFonts w:ascii="Arial" w:cs="Arial" w:eastAsia="Arial" w:hAnsi="Arial"/>
                <w:sz w:val="14"/>
                <w:szCs w:val="14"/>
                <w:color w:val="auto"/>
                <w:w w:val="95"/>
              </w:rPr>
              <w:t>Up 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236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9,536</w:t>
            </w:r>
          </w:p>
        </w:tc>
        <w:tc>
          <w:tcPr>
            <w:tcW w:w="3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0.13</w:t>
            </w:r>
          </w:p>
        </w:tc>
      </w:tr>
      <w:tr>
        <w:trPr>
          <w:trHeight w:val="148"/>
        </w:trPr>
        <w:tc>
          <w:tcPr>
            <w:tcW w:w="74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1800"/>
              <w:spacing w:after="0" w:line="149" w:lineRule="exact"/>
              <w:rPr>
                <w:sz w:val="20"/>
                <w:szCs w:val="20"/>
                <w:color w:val="auto"/>
              </w:rPr>
            </w:pPr>
            <w:r>
              <w:rPr>
                <w:rFonts w:ascii="Arial" w:cs="Arial" w:eastAsia="Arial" w:hAnsi="Arial"/>
                <w:sz w:val="14"/>
                <w:szCs w:val="14"/>
                <w:color w:val="auto"/>
                <w:w w:val="95"/>
              </w:rPr>
              <w:t>Up 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236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16,998</w:t>
            </w:r>
          </w:p>
        </w:tc>
        <w:tc>
          <w:tcPr>
            <w:tcW w:w="3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0.24</w:t>
            </w:r>
          </w:p>
        </w:tc>
      </w:tr>
      <w:tr>
        <w:trPr>
          <w:trHeight w:val="182"/>
        </w:trPr>
        <w:tc>
          <w:tcPr>
            <w:tcW w:w="740" w:type="dxa"/>
            <w:vAlign w:val="bottom"/>
          </w:tcPr>
          <w:p>
            <w:pPr>
              <w:spacing w:after="0"/>
              <w:rPr>
                <w:sz w:val="15"/>
                <w:szCs w:val="15"/>
                <w:color w:val="auto"/>
              </w:rPr>
            </w:pPr>
          </w:p>
        </w:tc>
        <w:tc>
          <w:tcPr>
            <w:tcW w:w="3200" w:type="dxa"/>
            <w:vAlign w:val="bottom"/>
            <w:gridSpan w:val="2"/>
          </w:tcPr>
          <w:p>
            <w:pPr>
              <w:jc w:val="center"/>
              <w:ind w:right="1800"/>
              <w:spacing w:after="0"/>
              <w:rPr>
                <w:sz w:val="20"/>
                <w:szCs w:val="20"/>
                <w:color w:val="auto"/>
              </w:rPr>
            </w:pPr>
            <w:r>
              <w:rPr>
                <w:rFonts w:ascii="Arial" w:cs="Arial" w:eastAsia="Arial" w:hAnsi="Arial"/>
                <w:sz w:val="14"/>
                <w:szCs w:val="14"/>
                <w:color w:val="auto"/>
                <w:w w:val="95"/>
              </w:rPr>
              <w:t>Up 4%</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2360" w:type="dxa"/>
            <w:vAlign w:val="bottom"/>
            <w:gridSpan w:val="2"/>
          </w:tcPr>
          <w:p>
            <w:pPr>
              <w:jc w:val="right"/>
              <w:ind w:right="820"/>
              <w:spacing w:after="0"/>
              <w:rPr>
                <w:sz w:val="20"/>
                <w:szCs w:val="20"/>
                <w:color w:val="auto"/>
              </w:rPr>
            </w:pPr>
            <w:r>
              <w:rPr>
                <w:rFonts w:ascii="Arial" w:cs="Arial" w:eastAsia="Arial" w:hAnsi="Arial"/>
                <w:sz w:val="14"/>
                <w:szCs w:val="14"/>
                <w:color w:val="auto"/>
              </w:rPr>
              <w:t>24,460</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0.34</w:t>
            </w:r>
          </w:p>
        </w:tc>
      </w:tr>
    </w:tbl>
    <w:p>
      <w:pPr>
        <w:spacing w:after="0" w:line="56"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75"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75"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During the periods covered by this Report, we did not engage in interest rate hedging activities or foreign currency derivatives hedging activities.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40"/>
          </w:cols>
          <w:pgMar w:left="32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7860" w:type="dxa"/>
            <w:vAlign w:val="bottom"/>
          </w:tcPr>
          <w:p>
            <w:pPr>
              <w:jc w:val="right"/>
              <w:ind w:right="3828"/>
              <w:spacing w:after="0"/>
              <w:rPr>
                <w:sz w:val="20"/>
                <w:szCs w:val="20"/>
                <w:color w:val="auto"/>
              </w:rPr>
            </w:pPr>
            <w:r>
              <w:rPr>
                <w:rFonts w:ascii="Arial" w:cs="Arial" w:eastAsia="Arial" w:hAnsi="Arial"/>
                <w:sz w:val="14"/>
                <w:szCs w:val="14"/>
                <w:b w:val="1"/>
                <w:bCs w:val="1"/>
                <w:color w:val="auto"/>
                <w:w w:val="98"/>
              </w:rPr>
              <w:t>Consolidated Financial Statements and Supplementary Data</w:t>
            </w:r>
          </w:p>
        </w:tc>
        <w:tc>
          <w:tcPr>
            <w:tcW w:w="2640" w:type="dxa"/>
            <w:vAlign w:val="bottom"/>
          </w:tcPr>
          <w:p>
            <w:pPr>
              <w:spacing w:after="0"/>
              <w:rPr>
                <w:sz w:val="16"/>
                <w:szCs w:val="16"/>
                <w:color w:val="auto"/>
              </w:rPr>
            </w:pPr>
          </w:p>
        </w:tc>
      </w:tr>
      <w:tr>
        <w:trPr>
          <w:trHeight w:val="354"/>
        </w:trPr>
        <w:tc>
          <w:tcPr>
            <w:tcW w:w="66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86"/>
        </w:trPr>
        <w:tc>
          <w:tcPr>
            <w:tcW w:w="8520" w:type="dxa"/>
            <w:vAlign w:val="bottom"/>
            <w:gridSpan w:val="2"/>
          </w:tcPr>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Management’s Report on Internal Control over Financial Reporting</w:t>
              </w:r>
            </w:hyperlink>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45</w:t>
            </w:r>
          </w:p>
        </w:tc>
      </w:tr>
      <w:tr>
        <w:trPr>
          <w:trHeight w:val="257"/>
        </w:trPr>
        <w:tc>
          <w:tcPr>
            <w:tcW w:w="8520" w:type="dxa"/>
            <w:vAlign w:val="bottom"/>
            <w:gridSpan w:val="2"/>
          </w:tcPr>
          <w:p>
            <w:pPr>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Report of Independent Registered Public Accounting Firm</w:t>
              </w:r>
            </w:hyperlink>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46</w:t>
            </w:r>
          </w:p>
        </w:tc>
      </w:tr>
      <w:tr>
        <w:trPr>
          <w:trHeight w:val="256"/>
        </w:trPr>
        <w:tc>
          <w:tcPr>
            <w:tcW w:w="8520" w:type="dxa"/>
            <w:vAlign w:val="bottom"/>
            <w:gridSpan w:val="2"/>
          </w:tcPr>
          <w:p>
            <w:pPr>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Report of Independent Registered Public Accounting Firm On Internal Control Over Financial Reporting</w:t>
              </w:r>
            </w:hyperlink>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47</w:t>
            </w:r>
          </w:p>
        </w:tc>
      </w:tr>
      <w:tr>
        <w:trPr>
          <w:trHeight w:val="257"/>
        </w:trPr>
        <w:tc>
          <w:tcPr>
            <w:tcW w:w="8520" w:type="dxa"/>
            <w:vAlign w:val="bottom"/>
            <w:gridSpan w:val="2"/>
          </w:tcPr>
          <w:p>
            <w:pPr>
              <w:spacing w:after="0"/>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Consolidated Statements of Assets and Liabilities as of September 30, 2016 and 2015</w:t>
              </w:r>
            </w:hyperlink>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48</w:t>
            </w:r>
          </w:p>
        </w:tc>
      </w:tr>
      <w:tr>
        <w:trPr>
          <w:trHeight w:val="257"/>
        </w:trPr>
        <w:tc>
          <w:tcPr>
            <w:tcW w:w="8520" w:type="dxa"/>
            <w:vAlign w:val="bottom"/>
            <w:gridSpan w:val="2"/>
          </w:tcPr>
          <w:p>
            <w:pPr>
              <w:spacing w:after="0"/>
              <w:rPr>
                <w:rFonts w:ascii="Arial" w:cs="Arial" w:eastAsia="Arial" w:hAnsi="Arial"/>
                <w:sz w:val="14"/>
                <w:szCs w:val="14"/>
                <w:u w:val="single" w:color="auto"/>
                <w:color w:val="0000EE"/>
              </w:rPr>
            </w:pPr>
            <w:hyperlink w:anchor="page51">
              <w:r>
                <w:rPr>
                  <w:rFonts w:ascii="Arial" w:cs="Arial" w:eastAsia="Arial" w:hAnsi="Arial"/>
                  <w:sz w:val="14"/>
                  <w:szCs w:val="14"/>
                  <w:u w:val="single" w:color="auto"/>
                  <w:color w:val="0000EE"/>
                </w:rPr>
                <w:t>Consolidated Statements of Operations for the years ended September 30, 2016, 2015 and 2014</w:t>
              </w:r>
            </w:hyperlink>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49</w:t>
            </w:r>
          </w:p>
        </w:tc>
      </w:tr>
      <w:tr>
        <w:trPr>
          <w:trHeight w:val="257"/>
        </w:trPr>
        <w:tc>
          <w:tcPr>
            <w:tcW w:w="8520" w:type="dxa"/>
            <w:vAlign w:val="bottom"/>
            <w:gridSpan w:val="2"/>
          </w:tcPr>
          <w:p>
            <w:pPr>
              <w:spacing w:after="0"/>
              <w:rPr>
                <w:rFonts w:ascii="Arial" w:cs="Arial" w:eastAsia="Arial" w:hAnsi="Arial"/>
                <w:sz w:val="14"/>
                <w:szCs w:val="14"/>
                <w:u w:val="single" w:color="auto"/>
                <w:color w:val="0000EE"/>
              </w:rPr>
            </w:pPr>
            <w:hyperlink w:anchor="page52">
              <w:r>
                <w:rPr>
                  <w:rFonts w:ascii="Arial" w:cs="Arial" w:eastAsia="Arial" w:hAnsi="Arial"/>
                  <w:sz w:val="14"/>
                  <w:szCs w:val="14"/>
                  <w:u w:val="single" w:color="auto"/>
                  <w:color w:val="0000EE"/>
                </w:rPr>
                <w:t>Consolidated Statements of Changes in Net Assets for the years ended September 30, 2016, 2015 and 2014</w:t>
              </w:r>
            </w:hyperlink>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50</w:t>
            </w:r>
          </w:p>
        </w:tc>
      </w:tr>
      <w:tr>
        <w:trPr>
          <w:trHeight w:val="256"/>
        </w:trPr>
        <w:tc>
          <w:tcPr>
            <w:tcW w:w="8520" w:type="dxa"/>
            <w:vAlign w:val="bottom"/>
            <w:gridSpan w:val="2"/>
          </w:tcPr>
          <w:p>
            <w:pPr>
              <w:spacing w:after="0"/>
              <w:rPr>
                <w:rFonts w:ascii="Arial" w:cs="Arial" w:eastAsia="Arial" w:hAnsi="Arial"/>
                <w:sz w:val="14"/>
                <w:szCs w:val="14"/>
                <w:u w:val="single" w:color="auto"/>
                <w:color w:val="0000EE"/>
              </w:rPr>
            </w:pPr>
            <w:hyperlink w:anchor="page53">
              <w:r>
                <w:rPr>
                  <w:rFonts w:ascii="Arial" w:cs="Arial" w:eastAsia="Arial" w:hAnsi="Arial"/>
                  <w:sz w:val="14"/>
                  <w:szCs w:val="14"/>
                  <w:u w:val="single" w:color="auto"/>
                  <w:color w:val="0000EE"/>
                </w:rPr>
                <w:t>Consolidated Statements of Cash Flows for the years ended September 30, 2016, 2015 and 2014</w:t>
              </w:r>
            </w:hyperlink>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51</w:t>
            </w:r>
          </w:p>
        </w:tc>
      </w:tr>
      <w:tr>
        <w:trPr>
          <w:trHeight w:val="257"/>
        </w:trPr>
        <w:tc>
          <w:tcPr>
            <w:tcW w:w="8520" w:type="dxa"/>
            <w:vAlign w:val="bottom"/>
            <w:gridSpan w:val="2"/>
          </w:tcPr>
          <w:p>
            <w:pPr>
              <w:spacing w:after="0"/>
              <w:rPr>
                <w:rFonts w:ascii="Arial" w:cs="Arial" w:eastAsia="Arial" w:hAnsi="Arial"/>
                <w:sz w:val="14"/>
                <w:szCs w:val="14"/>
                <w:u w:val="single" w:color="auto"/>
                <w:color w:val="0000EE"/>
              </w:rPr>
            </w:pPr>
            <w:hyperlink w:anchor="page54">
              <w:r>
                <w:rPr>
                  <w:rFonts w:ascii="Arial" w:cs="Arial" w:eastAsia="Arial" w:hAnsi="Arial"/>
                  <w:sz w:val="14"/>
                  <w:szCs w:val="14"/>
                  <w:u w:val="single" w:color="auto"/>
                  <w:color w:val="0000EE"/>
                </w:rPr>
                <w:t>Consolidated Schedules of Investments as of September 30, 2016 and 2015</w:t>
              </w:r>
            </w:hyperlink>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52</w:t>
            </w:r>
          </w:p>
        </w:tc>
      </w:tr>
      <w:tr>
        <w:trPr>
          <w:trHeight w:val="257"/>
        </w:trPr>
        <w:tc>
          <w:tcPr>
            <w:tcW w:w="8520" w:type="dxa"/>
            <w:vAlign w:val="bottom"/>
            <w:gridSpan w:val="2"/>
          </w:tcPr>
          <w:p>
            <w:pPr>
              <w:spacing w:after="0"/>
              <w:rPr>
                <w:rFonts w:ascii="Arial" w:cs="Arial" w:eastAsia="Arial" w:hAnsi="Arial"/>
                <w:sz w:val="14"/>
                <w:szCs w:val="14"/>
                <w:u w:val="single" w:color="auto"/>
                <w:color w:val="0000EE"/>
              </w:rPr>
            </w:pPr>
            <w:hyperlink w:anchor="page61">
              <w:r>
                <w:rPr>
                  <w:rFonts w:ascii="Arial" w:cs="Arial" w:eastAsia="Arial" w:hAnsi="Arial"/>
                  <w:sz w:val="14"/>
                  <w:szCs w:val="14"/>
                  <w:u w:val="single" w:color="auto"/>
                  <w:color w:val="0000EE"/>
                </w:rPr>
                <w:t>Notes to the Consolidated Financial Statements</w:t>
              </w:r>
            </w:hyperlink>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59</w:t>
            </w:r>
          </w:p>
        </w:tc>
      </w:tr>
      <w:tr>
        <w:trPr>
          <w:trHeight w:val="297"/>
        </w:trPr>
        <w:tc>
          <w:tcPr>
            <w:tcW w:w="660" w:type="dxa"/>
            <w:vAlign w:val="bottom"/>
          </w:tcPr>
          <w:p>
            <w:pPr>
              <w:spacing w:after="0"/>
              <w:rPr>
                <w:sz w:val="24"/>
                <w:szCs w:val="24"/>
                <w:color w:val="auto"/>
              </w:rPr>
            </w:pPr>
          </w:p>
        </w:tc>
        <w:tc>
          <w:tcPr>
            <w:tcW w:w="7860" w:type="dxa"/>
            <w:vAlign w:val="bottom"/>
          </w:tcPr>
          <w:p>
            <w:pPr>
              <w:jc w:val="right"/>
              <w:ind w:right="2748"/>
              <w:spacing w:after="0"/>
              <w:rPr>
                <w:sz w:val="20"/>
                <w:szCs w:val="20"/>
                <w:color w:val="auto"/>
              </w:rPr>
            </w:pPr>
            <w:r>
              <w:rPr>
                <w:rFonts w:ascii="Arial" w:cs="Arial" w:eastAsia="Arial" w:hAnsi="Arial"/>
                <w:sz w:val="14"/>
                <w:szCs w:val="14"/>
                <w:color w:val="auto"/>
              </w:rPr>
              <w:t>44</w:t>
            </w:r>
          </w:p>
        </w:tc>
        <w:tc>
          <w:tcPr>
            <w:tcW w:w="2640" w:type="dxa"/>
            <w:vAlign w:val="bottom"/>
          </w:tcPr>
          <w:p>
            <w:pPr>
              <w:spacing w:after="0"/>
              <w:rPr>
                <w:sz w:val="24"/>
                <w:szCs w:val="24"/>
                <w:color w:val="auto"/>
              </w:rPr>
            </w:pPr>
          </w:p>
        </w:tc>
      </w:tr>
    </w:tbl>
    <w:p>
      <w:pPr>
        <w:sectPr>
          <w:pgSz w:w="11900" w:h="16838" w:orient="portrait"/>
          <w:cols w:equalWidth="0" w:num="1">
            <w:col w:w="11160"/>
          </w:cols>
          <w:pgMar w:left="320" w:top="459" w:right="4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208" w:lineRule="exact"/>
        <w:rPr>
          <w:sz w:val="20"/>
          <w:szCs w:val="20"/>
          <w:color w:val="auto"/>
        </w:rPr>
      </w:pPr>
    </w:p>
    <w:p>
      <w:pPr>
        <w:ind w:right="20" w:firstLine="562"/>
        <w:spacing w:after="0" w:line="255" w:lineRule="auto"/>
        <w:rPr>
          <w:sz w:val="20"/>
          <w:szCs w:val="20"/>
          <w:color w:val="auto"/>
        </w:rPr>
      </w:pPr>
      <w:r>
        <w:rPr>
          <w:rFonts w:ascii="Arial" w:cs="Arial" w:eastAsia="Arial" w:hAnsi="Arial"/>
          <w:sz w:val="13"/>
          <w:szCs w:val="13"/>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as such term is defined in Exchange Act Rule 13a-15(f), and for performing an assessment of the effectiveness of internal control over financial reporting as of September 30, 2016. Our internal control system is a process designed to provide reasonable assurance to our management and board of directors regarding the preparation and fair presentation of published financial statements.</w:t>
      </w:r>
    </w:p>
    <w:p>
      <w:pPr>
        <w:spacing w:after="0" w:line="67" w:lineRule="exact"/>
        <w:rPr>
          <w:sz w:val="20"/>
          <w:szCs w:val="20"/>
          <w:color w:val="auto"/>
        </w:rPr>
      </w:pPr>
    </w:p>
    <w:p>
      <w:pPr>
        <w:ind w:right="80" w:firstLine="562"/>
        <w:spacing w:after="0" w:line="255" w:lineRule="auto"/>
        <w:rPr>
          <w:sz w:val="20"/>
          <w:szCs w:val="20"/>
          <w:color w:val="auto"/>
        </w:rPr>
      </w:pPr>
      <w:r>
        <w:rPr>
          <w:rFonts w:ascii="Arial" w:cs="Arial" w:eastAsia="Arial" w:hAnsi="Arial"/>
          <w:sz w:val="13"/>
          <w:szCs w:val="13"/>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67"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5"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 xml:space="preserve">Management assessed the effectiveness of PennantPark Investment’s internal control over financial reporting as of September 30, 2016. In making this assessment, we used the criteria set forth by the Committee of Sponsoring Organizations of the Treadway Commission in 2013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Based on the assessment management believes that, as of September 30, 2016, our internal control over financial reporting is effective based on those criteria.</w:t>
      </w:r>
    </w:p>
    <w:p>
      <w:pPr>
        <w:spacing w:after="0" w:line="75" w:lineRule="exact"/>
        <w:rPr>
          <w:sz w:val="20"/>
          <w:szCs w:val="20"/>
          <w:color w:val="auto"/>
        </w:rPr>
      </w:pPr>
    </w:p>
    <w:p>
      <w:pPr>
        <w:ind w:right="780" w:firstLine="562"/>
        <w:spacing w:after="0" w:line="253" w:lineRule="auto"/>
        <w:rPr>
          <w:sz w:val="20"/>
          <w:szCs w:val="20"/>
          <w:color w:val="auto"/>
        </w:rPr>
      </w:pPr>
      <w:r>
        <w:rPr>
          <w:rFonts w:ascii="Arial" w:cs="Arial" w:eastAsia="Arial" w:hAnsi="Arial"/>
          <w:sz w:val="14"/>
          <w:szCs w:val="14"/>
          <w:color w:val="auto"/>
        </w:rPr>
        <w:t>PennantPark Investment’s independent registered public accounting firm has issued an audit report on the effectiveness of our internal control over financial reporting as of September 30, 2016. This report appears on page 47.</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20"/>
          </w:cols>
          <w:pgMar w:left="32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84"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We have audited the accompanying consolidated statements of assets and liabilities of PennantPark Investment Corporation and its Subsidiaries (collectively referred to as the “Company”), including the consolidated schedules of investments as of September 30, 2016 and 2015, and the related consolidated statements of operations, changes in net assets, and cash flows for each of the three years in the period ended September 30, 2016. These consolidated financial statements are the responsibility of the Company’s management. Our responsibility is to express an opinion on these consolidated financial statements based on our audits.</w:t>
      </w:r>
    </w:p>
    <w:p>
      <w:pPr>
        <w:spacing w:after="0" w:line="77"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2016, by correspondence with the custodians and/or portfolio companies.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6" w:lineRule="exact"/>
        <w:rPr>
          <w:sz w:val="20"/>
          <w:szCs w:val="20"/>
          <w:color w:val="auto"/>
        </w:rPr>
      </w:pPr>
    </w:p>
    <w:p>
      <w:pPr>
        <w:ind w:right="140" w:firstLine="562"/>
        <w:spacing w:after="0" w:line="238"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Investment Corporation and its Subsidiaries as of September 30, 2016 and 2015, and the results of their operations, changes in net assets and their cash flows for each of the three years in the period then ended September 30, 2016, in conformity with U.S. generally accepted accounting principles.</w:t>
      </w:r>
    </w:p>
    <w:p>
      <w:pPr>
        <w:spacing w:after="0" w:line="75"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 xml:space="preserve">We also have audited, in accordance with the standards of the Public Company Accounting Oversight Board (United States), PennantPark Investment Corporation and its Subsidiaries’ internal control over financial reporting as of September 30, 2016,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(COSO) in 2013, and our report dated November 21, 2016 expressed an unqualified opinion on the effectiveness of the Company’s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21, 2016</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00"/>
          </w:cols>
          <w:pgMar w:left="320" w:top="459" w:right="3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On Internal Control Over Financial Reporting</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84" w:lineRule="exact"/>
        <w:rPr>
          <w:sz w:val="20"/>
          <w:szCs w:val="20"/>
          <w:color w:val="auto"/>
        </w:rPr>
      </w:pPr>
    </w:p>
    <w:p>
      <w:pPr>
        <w:ind w:right="180" w:firstLine="562"/>
        <w:spacing w:after="0" w:line="231" w:lineRule="auto"/>
        <w:rPr>
          <w:sz w:val="20"/>
          <w:szCs w:val="20"/>
          <w:color w:val="auto"/>
        </w:rPr>
      </w:pPr>
      <w:r>
        <w:rPr>
          <w:rFonts w:ascii="Arial" w:cs="Arial" w:eastAsia="Arial" w:hAnsi="Arial"/>
          <w:sz w:val="14"/>
          <w:szCs w:val="14"/>
          <w:color w:val="auto"/>
        </w:rPr>
        <w:t xml:space="preserve">We have audited PennantPark Investment Corporation and its Subsidiaries’ (collectively referred to as the “Company”) internal control over financial reporting as of September 30, 2016,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(COSO) in 2013.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76" w:lineRule="exact"/>
        <w:rPr>
          <w:sz w:val="20"/>
          <w:szCs w:val="20"/>
          <w:color w:val="auto"/>
        </w:rPr>
      </w:pPr>
    </w:p>
    <w:p>
      <w:pPr>
        <w:ind w:right="180" w:firstLine="562"/>
        <w:spacing w:after="0" w:line="283" w:lineRule="auto"/>
        <w:rPr>
          <w:sz w:val="20"/>
          <w:szCs w:val="20"/>
          <w:color w:val="auto"/>
        </w:rPr>
      </w:pPr>
      <w:r>
        <w:rPr>
          <w:rFonts w:ascii="Arial" w:cs="Arial" w:eastAsia="Arial" w:hAnsi="Arial"/>
          <w:sz w:val="12"/>
          <w:szCs w:val="12"/>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51" w:lineRule="exact"/>
        <w:rPr>
          <w:sz w:val="20"/>
          <w:szCs w:val="20"/>
          <w:color w:val="auto"/>
        </w:rPr>
      </w:pPr>
    </w:p>
    <w:p>
      <w:pPr>
        <w:ind w:right="140" w:firstLine="562"/>
        <w:spacing w:after="0" w:line="248"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w:t>
      </w:r>
      <w:r>
        <w:rPr>
          <w:rFonts w:ascii="Arial" w:cs="Arial" w:eastAsia="Arial" w:hAnsi="Arial"/>
          <w:sz w:val="13"/>
          <w:szCs w:val="13"/>
          <w:i w:val="1"/>
          <w:iCs w:val="1"/>
          <w:color w:val="auto"/>
        </w:rPr>
        <w:t>a</w:t>
      </w:r>
      <w:r>
        <w:rPr>
          <w:rFonts w:ascii="Arial" w:cs="Arial" w:eastAsia="Arial" w:hAnsi="Arial"/>
          <w:sz w:val="13"/>
          <w:szCs w:val="13"/>
          <w:color w:val="auto"/>
        </w:rPr>
        <w:t>) pertain to the maintenance of records that, in reasonable detail, accurately and fairly reflect the transactions and dispositions of the assets of the company; (</w:t>
      </w:r>
      <w:r>
        <w:rPr>
          <w:rFonts w:ascii="Arial" w:cs="Arial" w:eastAsia="Arial" w:hAnsi="Arial"/>
          <w:sz w:val="13"/>
          <w:szCs w:val="13"/>
          <w:i w:val="1"/>
          <w:iCs w:val="1"/>
          <w:color w:val="auto"/>
        </w:rPr>
        <w:t>b</w:t>
      </w:r>
      <w:r>
        <w:rPr>
          <w:rFonts w:ascii="Arial" w:cs="Arial" w:eastAsia="Arial" w:hAnsi="Arial"/>
          <w:sz w:val="13"/>
          <w:szCs w:val="13"/>
          <w:color w:val="auto"/>
        </w:rPr>
        <w:t>)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w:t>
      </w:r>
      <w:r>
        <w:rPr>
          <w:rFonts w:ascii="Arial" w:cs="Arial" w:eastAsia="Arial" w:hAnsi="Arial"/>
          <w:sz w:val="13"/>
          <w:szCs w:val="13"/>
          <w:i w:val="1"/>
          <w:iCs w:val="1"/>
          <w:color w:val="auto"/>
        </w:rPr>
        <w:t>c</w:t>
      </w:r>
      <w:r>
        <w:rPr>
          <w:rFonts w:ascii="Arial" w:cs="Arial" w:eastAsia="Arial" w:hAnsi="Arial"/>
          <w:sz w:val="13"/>
          <w:szCs w:val="13"/>
          <w:color w:val="auto"/>
        </w:rPr>
        <w:t>) provide reasonable assurance regarding prevention or timely detection of unauthorized acquisition, use, or disposition of the company’s assets that could have a material effect on the financial statements.</w:t>
      </w:r>
    </w:p>
    <w:p>
      <w:pPr>
        <w:spacing w:after="0" w:line="72" w:lineRule="exact"/>
        <w:rPr>
          <w:sz w:val="20"/>
          <w:szCs w:val="20"/>
          <w:color w:val="auto"/>
        </w:rPr>
      </w:pPr>
    </w:p>
    <w:p>
      <w:pPr>
        <w:ind w:right="420" w:firstLine="562"/>
        <w:spacing w:after="0" w:line="290"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4"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 xml:space="preserve">In our opinion, PennantPark Investment Corporation and its Subsidiaries maintained, in all material respects, effective internal control over financial reporting as of September 30, 2016,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COSO in 2013.</w:t>
      </w:r>
    </w:p>
    <w:p>
      <w:pPr>
        <w:spacing w:after="0" w:line="66" w:lineRule="exact"/>
        <w:rPr>
          <w:sz w:val="20"/>
          <w:szCs w:val="20"/>
          <w:color w:val="auto"/>
        </w:rPr>
      </w:pPr>
    </w:p>
    <w:p>
      <w:pPr>
        <w:jc w:val="both"/>
        <w:ind w:right="360" w:firstLine="562"/>
        <w:spacing w:after="0" w:line="233"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the consolidated statements of assets and liabilities of PennantPark Investment Corporation and its Subsidiaries, including the schedules of investments as of September 30, 2016 and 2015, and the related consolidated statements of operations, changes in net assets, and cash flows for each of the three years in the period ended September 30, 2016 and our report dated November 21, 2016 expressed an unqualified opinion on those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21, 2016</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20"/>
          </w:cols>
          <w:pgMar w:left="32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2016</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7"/>
              </w:rPr>
              <w:t>September 30, 2015</w:t>
            </w:r>
          </w:p>
        </w:tc>
      </w:tr>
      <w:tr>
        <w:trPr>
          <w:trHeight w:val="128"/>
        </w:trPr>
        <w:tc>
          <w:tcPr>
            <w:tcW w:w="70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9"/>
        </w:trPr>
        <w:tc>
          <w:tcPr>
            <w:tcW w:w="7040" w:type="dxa"/>
            <w:vAlign w:val="bottom"/>
          </w:tcPr>
          <w:p>
            <w:pPr>
              <w:spacing w:after="0" w:line="149" w:lineRule="exact"/>
              <w:rPr>
                <w:sz w:val="20"/>
                <w:szCs w:val="20"/>
                <w:color w:val="auto"/>
              </w:rPr>
            </w:pPr>
            <w:r>
              <w:rPr>
                <w:rFonts w:ascii="Arial" w:cs="Arial" w:eastAsia="Arial" w:hAnsi="Arial"/>
                <w:sz w:val="14"/>
                <w:szCs w:val="14"/>
                <w:color w:val="auto"/>
              </w:rPr>
              <w:t>Investments at fair value</w:t>
            </w: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0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Non-controlled, non-affiliated investments (cost—$805,189,545 and $1,138,155,969, respectively)</w:t>
            </w:r>
          </w:p>
        </w:tc>
        <w:tc>
          <w:tcPr>
            <w:tcW w:w="1420" w:type="dxa"/>
            <w:vAlign w:val="bottom"/>
            <w:gridSpan w:val="2"/>
            <w:shd w:val="clear" w:color="auto" w:fill="CCEEFF"/>
          </w:tcPr>
          <w:p>
            <w:pPr>
              <w:ind w:left="118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813,467,491</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1,096,719,079</w:t>
            </w:r>
          </w:p>
        </w:tc>
      </w:tr>
      <w:tr>
        <w:trPr>
          <w:trHeight w:val="148"/>
        </w:trPr>
        <w:tc>
          <w:tcPr>
            <w:tcW w:w="7040" w:type="dxa"/>
            <w:vAlign w:val="bottom"/>
          </w:tcPr>
          <w:p>
            <w:pPr>
              <w:ind w:left="160"/>
              <w:spacing w:after="0" w:line="149" w:lineRule="exact"/>
              <w:rPr>
                <w:sz w:val="20"/>
                <w:szCs w:val="20"/>
                <w:color w:val="auto"/>
              </w:rPr>
            </w:pPr>
            <w:r>
              <w:rPr>
                <w:rFonts w:ascii="Arial" w:cs="Arial" w:eastAsia="Arial" w:hAnsi="Arial"/>
                <w:sz w:val="14"/>
                <w:szCs w:val="14"/>
                <w:color w:val="auto"/>
              </w:rPr>
              <w:t>Non-controlled, affiliated investments (cost—$262,476,906 and $133,693,295, respectively)</w:t>
            </w: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215,192,547</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95,503,104</w:t>
            </w:r>
          </w:p>
        </w:tc>
      </w:tr>
      <w:tr>
        <w:trPr>
          <w:trHeight w:val="148"/>
        </w:trPr>
        <w:tc>
          <w:tcPr>
            <w:tcW w:w="70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Controlled, affiliated investments (cost—$186,290,695 and $152,387,898, respectively)</w:t>
            </w:r>
          </w:p>
        </w:tc>
        <w:tc>
          <w:tcPr>
            <w:tcW w:w="1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125,019,637</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106,825,650</w:t>
            </w:r>
          </w:p>
        </w:tc>
      </w:tr>
      <w:tr>
        <w:trPr>
          <w:trHeight w:val="156"/>
        </w:trPr>
        <w:tc>
          <w:tcPr>
            <w:tcW w:w="7040" w:type="dxa"/>
            <w:vAlign w:val="bottom"/>
          </w:tcPr>
          <w:p>
            <w:pPr>
              <w:ind w:left="160"/>
              <w:spacing w:after="0" w:line="155" w:lineRule="exact"/>
              <w:rPr>
                <w:sz w:val="20"/>
                <w:szCs w:val="20"/>
                <w:color w:val="auto"/>
              </w:rPr>
            </w:pPr>
            <w:r>
              <w:rPr>
                <w:rFonts w:ascii="Arial" w:cs="Arial" w:eastAsia="Arial" w:hAnsi="Arial"/>
                <w:sz w:val="14"/>
                <w:szCs w:val="14"/>
                <w:color w:val="auto"/>
              </w:rPr>
              <w:t>Total of investments (cost—$1,253,957,146 and $1,424,237,162, respectively)</w:t>
            </w:r>
          </w:p>
        </w:tc>
        <w:tc>
          <w:tcPr>
            <w:tcW w:w="11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1,153,679,675</w:t>
            </w:r>
          </w:p>
        </w:tc>
        <w:tc>
          <w:tcPr>
            <w:tcW w:w="5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1,299,047,833</w:t>
            </w:r>
          </w:p>
        </w:tc>
        <w:tc>
          <w:tcPr>
            <w:tcW w:w="100" w:type="dxa"/>
            <w:vAlign w:val="bottom"/>
          </w:tcPr>
          <w:p>
            <w:pPr>
              <w:spacing w:after="0"/>
              <w:rPr>
                <w:sz w:val="13"/>
                <w:szCs w:val="13"/>
                <w:color w:val="auto"/>
              </w:rPr>
            </w:pPr>
          </w:p>
        </w:tc>
      </w:tr>
      <w:tr>
        <w:trPr>
          <w:trHeight w:val="148"/>
        </w:trPr>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(cost—$75,617,133 and $49,637,415, respectively)</w:t>
            </w:r>
          </w:p>
        </w:tc>
        <w:tc>
          <w:tcPr>
            <w:tcW w:w="1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75,608,113</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49,619,256</w:t>
            </w:r>
          </w:p>
        </w:tc>
      </w:tr>
      <w:tr>
        <w:trPr>
          <w:trHeight w:val="148"/>
        </w:trPr>
        <w:tc>
          <w:tcPr>
            <w:tcW w:w="7040" w:type="dxa"/>
            <w:vAlign w:val="bottom"/>
          </w:tcPr>
          <w:p>
            <w:pPr>
              <w:spacing w:after="0" w:line="149" w:lineRule="exact"/>
              <w:rPr>
                <w:sz w:val="20"/>
                <w:szCs w:val="20"/>
                <w:color w:val="auto"/>
              </w:rPr>
            </w:pPr>
            <w:r>
              <w:rPr>
                <w:rFonts w:ascii="Arial" w:cs="Arial" w:eastAsia="Arial" w:hAnsi="Arial"/>
                <w:sz w:val="14"/>
                <w:szCs w:val="14"/>
                <w:color w:val="auto"/>
              </w:rPr>
              <w:t>Interest receivable</w:t>
            </w: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7,032,858</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7,590,197</w:t>
            </w:r>
          </w:p>
        </w:tc>
      </w:tr>
      <w:tr>
        <w:trPr>
          <w:trHeight w:val="148"/>
        </w:trPr>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1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2,615,232</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8,790,944</w:t>
            </w:r>
          </w:p>
        </w:tc>
      </w:tr>
      <w:tr>
        <w:trPr>
          <w:trHeight w:val="163"/>
        </w:trPr>
        <w:tc>
          <w:tcPr>
            <w:tcW w:w="7040" w:type="dxa"/>
            <w:vAlign w:val="bottom"/>
          </w:tcPr>
          <w:p>
            <w:pPr>
              <w:ind w:left="580"/>
              <w:spacing w:after="0" w:line="155" w:lineRule="exact"/>
              <w:rPr>
                <w:sz w:val="20"/>
                <w:szCs w:val="20"/>
                <w:color w:val="auto"/>
              </w:rPr>
            </w:pPr>
            <w:r>
              <w:rPr>
                <w:rFonts w:ascii="Arial" w:cs="Arial" w:eastAsia="Arial" w:hAnsi="Arial"/>
                <w:sz w:val="14"/>
                <w:szCs w:val="14"/>
                <w:b w:val="1"/>
                <w:bCs w:val="1"/>
                <w:color w:val="auto"/>
              </w:rPr>
              <w:t>Total assets</w:t>
            </w:r>
          </w:p>
        </w:tc>
        <w:tc>
          <w:tcPr>
            <w:tcW w:w="11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1,238,935,878</w:t>
            </w:r>
          </w:p>
        </w:tc>
        <w:tc>
          <w:tcPr>
            <w:tcW w:w="5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1,365,048,230</w:t>
            </w:r>
          </w:p>
        </w:tc>
        <w:tc>
          <w:tcPr>
            <w:tcW w:w="100" w:type="dxa"/>
            <w:vAlign w:val="bottom"/>
          </w:tcPr>
          <w:p>
            <w:pPr>
              <w:spacing w:after="0"/>
              <w:rPr>
                <w:sz w:val="14"/>
                <w:szCs w:val="14"/>
                <w:color w:val="auto"/>
              </w:rPr>
            </w:pPr>
          </w:p>
        </w:tc>
      </w:tr>
      <w:tr>
        <w:trPr>
          <w:trHeight w:val="148"/>
        </w:trPr>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7040" w:type="dxa"/>
            <w:vAlign w:val="bottom"/>
          </w:tcPr>
          <w:p>
            <w:pPr>
              <w:spacing w:after="0" w:line="149" w:lineRule="exact"/>
              <w:rPr>
                <w:sz w:val="20"/>
                <w:szCs w:val="20"/>
                <w:color w:val="auto"/>
              </w:rPr>
            </w:pPr>
            <w:r>
              <w:rPr>
                <w:rFonts w:ascii="Arial" w:cs="Arial" w:eastAsia="Arial" w:hAnsi="Arial"/>
                <w:sz w:val="14"/>
                <w:szCs w:val="14"/>
                <w:color w:val="auto"/>
              </w:rPr>
              <w:t>Distributions payable</w:t>
            </w: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19,897,034</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20,430,492</w:t>
            </w:r>
          </w:p>
        </w:tc>
      </w:tr>
      <w:tr>
        <w:trPr>
          <w:trHeight w:val="148"/>
        </w:trPr>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1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3,591,177</w:t>
            </w:r>
          </w:p>
        </w:tc>
      </w:tr>
      <w:tr>
        <w:trPr>
          <w:trHeight w:val="148"/>
        </w:trPr>
        <w:tc>
          <w:tcPr>
            <w:tcW w:w="7040" w:type="dxa"/>
            <w:vAlign w:val="bottom"/>
          </w:tcPr>
          <w:p>
            <w:pPr>
              <w:spacing w:after="0" w:line="149" w:lineRule="exact"/>
              <w:rPr>
                <w:sz w:val="20"/>
                <w:szCs w:val="20"/>
                <w:color w:val="auto"/>
              </w:rPr>
            </w:pPr>
            <w:r>
              <w:rPr>
                <w:rFonts w:ascii="Arial" w:cs="Arial" w:eastAsia="Arial" w:hAnsi="Arial"/>
                <w:sz w:val="14"/>
                <w:szCs w:val="14"/>
                <w:color w:val="auto"/>
              </w:rPr>
              <w:t>Credit Facility payable (cost—$50,339,700 and $136,864,300, respectively) (See Notes 5 and 11)</w:t>
            </w: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39,551,187</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132,356,860</w:t>
            </w:r>
          </w:p>
        </w:tc>
      </w:tr>
      <w:tr>
        <w:trPr>
          <w:trHeight w:val="148"/>
        </w:trPr>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 payable (par—$250,000,000) (See Notes 5 and 11)</w:t>
            </w:r>
          </w:p>
        </w:tc>
        <w:tc>
          <w:tcPr>
            <w:tcW w:w="1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254,175,000</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253,102,500</w:t>
            </w:r>
          </w:p>
        </w:tc>
      </w:tr>
      <w:tr>
        <w:trPr>
          <w:trHeight w:val="148"/>
        </w:trPr>
        <w:tc>
          <w:tcPr>
            <w:tcW w:w="7040" w:type="dxa"/>
            <w:vAlign w:val="bottom"/>
          </w:tcPr>
          <w:p>
            <w:pPr>
              <w:spacing w:after="0" w:line="149" w:lineRule="exact"/>
              <w:rPr>
                <w:sz w:val="20"/>
                <w:szCs w:val="20"/>
                <w:color w:val="auto"/>
              </w:rPr>
            </w:pPr>
            <w:r>
              <w:rPr>
                <w:rFonts w:ascii="Arial" w:cs="Arial" w:eastAsia="Arial" w:hAnsi="Arial"/>
                <w:sz w:val="14"/>
                <w:szCs w:val="14"/>
                <w:color w:val="auto"/>
              </w:rPr>
              <w:t>SBA debentures payable (par—$197,500,000 and $150,000,000, respectively) (See Notes 5 and 11)</w:t>
            </w: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193,244,534</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146,269,957</w:t>
            </w:r>
          </w:p>
        </w:tc>
      </w:tr>
      <w:tr>
        <w:trPr>
          <w:trHeight w:val="148"/>
        </w:trPr>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2025 Notes payable (par—$71,250,000) (See Notes 5 and 11)</w:t>
            </w:r>
          </w:p>
        </w:tc>
        <w:tc>
          <w:tcPr>
            <w:tcW w:w="1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72,618,000</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71,136,000</w:t>
            </w:r>
          </w:p>
        </w:tc>
      </w:tr>
      <w:tr>
        <w:trPr>
          <w:trHeight w:val="149"/>
        </w:trPr>
        <w:tc>
          <w:tcPr>
            <w:tcW w:w="7040" w:type="dxa"/>
            <w:vAlign w:val="bottom"/>
          </w:tcPr>
          <w:p>
            <w:pPr>
              <w:spacing w:after="0" w:line="149" w:lineRule="exact"/>
              <w:rPr>
                <w:sz w:val="20"/>
                <w:szCs w:val="20"/>
                <w:color w:val="auto"/>
              </w:rPr>
            </w:pPr>
            <w:r>
              <w:rPr>
                <w:rFonts w:ascii="Arial" w:cs="Arial" w:eastAsia="Arial" w:hAnsi="Arial"/>
                <w:sz w:val="14"/>
                <w:szCs w:val="14"/>
                <w:color w:val="auto"/>
              </w:rPr>
              <w:t>Base management fee payable, net (See Note 3)</w:t>
            </w: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5,074,830</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6,602,029</w:t>
            </w:r>
          </w:p>
        </w:tc>
      </w:tr>
      <w:tr>
        <w:trPr>
          <w:trHeight w:val="148"/>
        </w:trPr>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Performance-based incentive fee payable, net (See Note 3)</w:t>
            </w:r>
          </w:p>
        </w:tc>
        <w:tc>
          <w:tcPr>
            <w:tcW w:w="1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2,865,444</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5,007,792</w:t>
            </w:r>
          </w:p>
        </w:tc>
      </w:tr>
      <w:tr>
        <w:trPr>
          <w:trHeight w:val="148"/>
        </w:trPr>
        <w:tc>
          <w:tcPr>
            <w:tcW w:w="7040" w:type="dxa"/>
            <w:vAlign w:val="bottom"/>
          </w:tcPr>
          <w:p>
            <w:pPr>
              <w:spacing w:after="0" w:line="149" w:lineRule="exact"/>
              <w:rPr>
                <w:sz w:val="20"/>
                <w:szCs w:val="20"/>
                <w:color w:val="auto"/>
              </w:rPr>
            </w:pPr>
            <w:r>
              <w:rPr>
                <w:rFonts w:ascii="Arial" w:cs="Arial" w:eastAsia="Arial" w:hAnsi="Arial"/>
                <w:sz w:val="14"/>
                <w:szCs w:val="14"/>
                <w:color w:val="auto"/>
              </w:rPr>
              <w:t>Interest payable on debt</w:t>
            </w: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7,520,113</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7,638,514</w:t>
            </w:r>
          </w:p>
        </w:tc>
      </w:tr>
      <w:tr>
        <w:trPr>
          <w:trHeight w:val="148"/>
        </w:trPr>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other expenses</w:t>
            </w:r>
          </w:p>
        </w:tc>
        <w:tc>
          <w:tcPr>
            <w:tcW w:w="1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622,880</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2,322,367</w:t>
            </w:r>
          </w:p>
        </w:tc>
      </w:tr>
      <w:tr>
        <w:trPr>
          <w:trHeight w:val="163"/>
        </w:trPr>
        <w:tc>
          <w:tcPr>
            <w:tcW w:w="7040" w:type="dxa"/>
            <w:vAlign w:val="bottom"/>
          </w:tcPr>
          <w:p>
            <w:pPr>
              <w:ind w:left="580"/>
              <w:spacing w:after="0" w:line="155" w:lineRule="exact"/>
              <w:rPr>
                <w:sz w:val="20"/>
                <w:szCs w:val="20"/>
                <w:color w:val="auto"/>
              </w:rPr>
            </w:pPr>
            <w:r>
              <w:rPr>
                <w:rFonts w:ascii="Arial" w:cs="Arial" w:eastAsia="Arial" w:hAnsi="Arial"/>
                <w:sz w:val="14"/>
                <w:szCs w:val="14"/>
                <w:b w:val="1"/>
                <w:bCs w:val="1"/>
                <w:color w:val="auto"/>
              </w:rPr>
              <w:t>Total liabilities</w:t>
            </w:r>
          </w:p>
        </w:tc>
        <w:tc>
          <w:tcPr>
            <w:tcW w:w="11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595,569,022</w:t>
            </w:r>
          </w:p>
        </w:tc>
        <w:tc>
          <w:tcPr>
            <w:tcW w:w="5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648,457,688</w:t>
            </w:r>
          </w:p>
        </w:tc>
        <w:tc>
          <w:tcPr>
            <w:tcW w:w="100" w:type="dxa"/>
            <w:vAlign w:val="bottom"/>
          </w:tcPr>
          <w:p>
            <w:pPr>
              <w:spacing w:after="0"/>
              <w:rPr>
                <w:sz w:val="14"/>
                <w:szCs w:val="14"/>
                <w:color w:val="auto"/>
              </w:rPr>
            </w:pPr>
          </w:p>
        </w:tc>
      </w:tr>
      <w:tr>
        <w:trPr>
          <w:trHeight w:val="148"/>
        </w:trPr>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(See Note 12)</w:t>
            </w:r>
          </w:p>
        </w:tc>
        <w:tc>
          <w:tcPr>
            <w:tcW w:w="1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7040" w:type="dxa"/>
            <w:vAlign w:val="bottom"/>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7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71,060,836 and 72,966,043 shares issued and outstanding, respectively.</w:t>
            </w:r>
          </w:p>
        </w:tc>
        <w:tc>
          <w:tcPr>
            <w:tcW w:w="1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70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Par value $0.001 per share and 100,000,000 shares authorized.</w:t>
            </w:r>
          </w:p>
        </w:tc>
        <w:tc>
          <w:tcPr>
            <w:tcW w:w="1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71,061</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72,966</w:t>
            </w:r>
          </w:p>
        </w:tc>
      </w:tr>
      <w:tr>
        <w:trPr>
          <w:trHeight w:val="148"/>
        </w:trPr>
        <w:tc>
          <w:tcPr>
            <w:tcW w:w="7040" w:type="dxa"/>
            <w:vAlign w:val="bottom"/>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819,983,676</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834,711,229</w:t>
            </w:r>
          </w:p>
        </w:tc>
      </w:tr>
      <w:tr>
        <w:trPr>
          <w:trHeight w:val="148"/>
        </w:trPr>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Undistributed (distributions in excess of) net investment income</w:t>
            </w:r>
          </w:p>
        </w:tc>
        <w:tc>
          <w:tcPr>
            <w:tcW w:w="1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3,119,380</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(13,424,886)</w:t>
            </w:r>
          </w:p>
        </w:tc>
      </w:tr>
      <w:tr>
        <w:trPr>
          <w:trHeight w:val="149"/>
        </w:trPr>
        <w:tc>
          <w:tcPr>
            <w:tcW w:w="7040" w:type="dxa"/>
            <w:vAlign w:val="bottom"/>
          </w:tcPr>
          <w:p>
            <w:pPr>
              <w:spacing w:after="0" w:line="149" w:lineRule="exact"/>
              <w:rPr>
                <w:sz w:val="20"/>
                <w:szCs w:val="20"/>
                <w:color w:val="auto"/>
              </w:rPr>
            </w:pPr>
            <w:r>
              <w:rPr>
                <w:rFonts w:ascii="Arial" w:cs="Arial" w:eastAsia="Arial" w:hAnsi="Arial"/>
                <w:sz w:val="14"/>
                <w:szCs w:val="14"/>
                <w:color w:val="auto"/>
              </w:rPr>
              <w:t>Accumulated net realized (loss) gain on investments</w:t>
            </w: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(84,771,820)</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18,919,305</w:t>
            </w:r>
          </w:p>
        </w:tc>
      </w:tr>
      <w:tr>
        <w:trPr>
          <w:trHeight w:val="148"/>
        </w:trPr>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depreciation on investments</w:t>
            </w:r>
          </w:p>
        </w:tc>
        <w:tc>
          <w:tcPr>
            <w:tcW w:w="1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(100,280,954)</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(125,207,012)</w:t>
            </w:r>
          </w:p>
        </w:tc>
      </w:tr>
      <w:tr>
        <w:trPr>
          <w:trHeight w:val="148"/>
        </w:trPr>
        <w:tc>
          <w:tcPr>
            <w:tcW w:w="7040" w:type="dxa"/>
            <w:vAlign w:val="bottom"/>
          </w:tcPr>
          <w:p>
            <w:pPr>
              <w:spacing w:after="0" w:line="149" w:lineRule="exact"/>
              <w:rPr>
                <w:sz w:val="20"/>
                <w:szCs w:val="20"/>
                <w:color w:val="auto"/>
              </w:rPr>
            </w:pPr>
            <w:r>
              <w:rPr>
                <w:rFonts w:ascii="Arial" w:cs="Arial" w:eastAsia="Arial" w:hAnsi="Arial"/>
                <w:sz w:val="14"/>
                <w:szCs w:val="14"/>
                <w:color w:val="auto"/>
              </w:rPr>
              <w:t>Net unrealized depreciation on debt</w:t>
            </w: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5,245,513</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1,518,940</w:t>
            </w:r>
          </w:p>
        </w:tc>
      </w:tr>
      <w:tr>
        <w:trPr>
          <w:trHeight w:val="27"/>
        </w:trPr>
        <w:tc>
          <w:tcPr>
            <w:tcW w:w="7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70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b w:val="1"/>
                <w:bCs w:val="1"/>
                <w:color w:val="auto"/>
              </w:rPr>
              <w:t>Total net assets</w:t>
            </w:r>
          </w:p>
        </w:tc>
        <w:tc>
          <w:tcPr>
            <w:tcW w:w="1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643,366,856</w:t>
            </w: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716,590,542</w:t>
            </w:r>
          </w:p>
        </w:tc>
      </w:tr>
      <w:tr>
        <w:trPr>
          <w:trHeight w:val="156"/>
        </w:trPr>
        <w:tc>
          <w:tcPr>
            <w:tcW w:w="7040" w:type="dxa"/>
            <w:vAlign w:val="bottom"/>
          </w:tcPr>
          <w:p>
            <w:pPr>
              <w:ind w:left="58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1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1,238,935,878</w:t>
            </w:r>
          </w:p>
        </w:tc>
        <w:tc>
          <w:tcPr>
            <w:tcW w:w="5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1,365,048,230</w:t>
            </w:r>
          </w:p>
        </w:tc>
        <w:tc>
          <w:tcPr>
            <w:tcW w:w="100" w:type="dxa"/>
            <w:vAlign w:val="bottom"/>
          </w:tcPr>
          <w:p>
            <w:pPr>
              <w:spacing w:after="0"/>
              <w:rPr>
                <w:sz w:val="13"/>
                <w:szCs w:val="13"/>
                <w:color w:val="auto"/>
              </w:rPr>
            </w:pPr>
          </w:p>
        </w:tc>
      </w:tr>
      <w:tr>
        <w:trPr>
          <w:trHeight w:val="20"/>
        </w:trPr>
        <w:tc>
          <w:tcPr>
            <w:tcW w:w="7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70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1420" w:type="dxa"/>
            <w:vAlign w:val="bottom"/>
            <w:gridSpan w:val="2"/>
            <w:shd w:val="clear" w:color="auto" w:fill="CCEEFF"/>
          </w:tcPr>
          <w:p>
            <w:pPr>
              <w:ind w:left="1180"/>
              <w:spacing w:after="0" w:line="143"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500"/>
              <w:spacing w:after="0" w:line="143" w:lineRule="exact"/>
              <w:rPr>
                <w:sz w:val="20"/>
                <w:szCs w:val="20"/>
                <w:color w:val="auto"/>
              </w:rPr>
            </w:pPr>
            <w:r>
              <w:rPr>
                <w:rFonts w:ascii="Arial" w:cs="Arial" w:eastAsia="Arial" w:hAnsi="Arial"/>
                <w:sz w:val="14"/>
                <w:szCs w:val="14"/>
                <w:color w:val="auto"/>
              </w:rPr>
              <w:t>9.05</w:t>
            </w:r>
          </w:p>
        </w:tc>
        <w:tc>
          <w:tcPr>
            <w:tcW w:w="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9.82</w:t>
            </w:r>
          </w:p>
        </w:tc>
      </w:tr>
      <w:tr>
        <w:trPr>
          <w:trHeight w:val="20"/>
        </w:trPr>
        <w:tc>
          <w:tcPr>
            <w:tcW w:w="7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40"/>
          </w:cols>
          <w:pgMar w:left="32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Years Ended September 30,</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3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32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w:t>
            </w:r>
          </w:p>
        </w:tc>
        <w:tc>
          <w:tcPr>
            <w:tcW w:w="180" w:type="dxa"/>
            <w:vAlign w:val="bottom"/>
            <w:gridSpan w:val="2"/>
            <w:shd w:val="clear" w:color="auto" w:fill="CCEEFF"/>
          </w:tcPr>
          <w:p>
            <w:pPr>
              <w:jc w:val="right"/>
              <w:ind w:right="94"/>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104,508,016</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130,647,588</w:t>
            </w:r>
          </w:p>
        </w:tc>
        <w:tc>
          <w:tcPr>
            <w:tcW w:w="2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124,850,558</w:t>
            </w:r>
          </w:p>
        </w:tc>
        <w:tc>
          <w:tcPr>
            <w:tcW w:w="0" w:type="dxa"/>
            <w:vAlign w:val="bottom"/>
          </w:tcPr>
          <w:p>
            <w:pPr>
              <w:spacing w:after="0"/>
              <w:rPr>
                <w:sz w:val="1"/>
                <w:szCs w:val="1"/>
                <w:color w:val="auto"/>
              </w:rPr>
            </w:pPr>
          </w:p>
        </w:tc>
      </w:tr>
      <w:tr>
        <w:trPr>
          <w:trHeight w:val="148"/>
        </w:trPr>
        <w:tc>
          <w:tcPr>
            <w:tcW w:w="7320" w:type="dxa"/>
            <w:vAlign w:val="bottom"/>
          </w:tcPr>
          <w:p>
            <w:pPr>
              <w:ind w:left="300"/>
              <w:spacing w:after="0" w:line="149" w:lineRule="exact"/>
              <w:rPr>
                <w:sz w:val="20"/>
                <w:szCs w:val="20"/>
                <w:color w:val="auto"/>
              </w:rPr>
            </w:pPr>
            <w:r>
              <w:rPr>
                <w:rFonts w:ascii="Arial" w:cs="Arial" w:eastAsia="Arial" w:hAnsi="Arial"/>
                <w:sz w:val="14"/>
                <w:szCs w:val="14"/>
                <w:color w:val="auto"/>
              </w:rPr>
              <w:t>Other income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10,945,240</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339"/>
              <w:spacing w:after="0" w:line="149" w:lineRule="exact"/>
              <w:rPr>
                <w:sz w:val="20"/>
                <w:szCs w:val="20"/>
                <w:color w:val="auto"/>
              </w:rPr>
            </w:pPr>
            <w:r>
              <w:rPr>
                <w:rFonts w:ascii="Arial" w:cs="Arial" w:eastAsia="Arial" w:hAnsi="Arial"/>
                <w:sz w:val="14"/>
                <w:szCs w:val="14"/>
                <w:color w:val="auto"/>
              </w:rPr>
              <w:t>9,644,816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9,692,254</w:t>
            </w:r>
          </w:p>
        </w:tc>
        <w:tc>
          <w:tcPr>
            <w:tcW w:w="0" w:type="dxa"/>
            <w:vAlign w:val="bottom"/>
          </w:tcPr>
          <w:p>
            <w:pPr>
              <w:spacing w:after="0"/>
              <w:rPr>
                <w:sz w:val="1"/>
                <w:szCs w:val="1"/>
                <w:color w:val="auto"/>
              </w:rPr>
            </w:pPr>
          </w:p>
        </w:tc>
      </w:tr>
      <w:tr>
        <w:trPr>
          <w:trHeight w:val="148"/>
        </w:trPr>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non-controlled, affiliated investments: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tcPr>
          <w:p>
            <w:pPr>
              <w:ind w:left="300"/>
              <w:spacing w:after="0" w:line="149" w:lineRule="exact"/>
              <w:rPr>
                <w:sz w:val="20"/>
                <w:szCs w:val="20"/>
                <w:color w:val="auto"/>
              </w:rPr>
            </w:pPr>
            <w:r>
              <w:rPr>
                <w:rFonts w:ascii="Arial" w:cs="Arial" w:eastAsia="Arial" w:hAnsi="Arial"/>
                <w:sz w:val="14"/>
                <w:szCs w:val="14"/>
                <w:color w:val="auto"/>
              </w:rPr>
              <w:t>Interest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13,055,367</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339"/>
              <w:spacing w:after="0" w:line="149" w:lineRule="exact"/>
              <w:rPr>
                <w:sz w:val="20"/>
                <w:szCs w:val="20"/>
                <w:color w:val="auto"/>
              </w:rPr>
            </w:pPr>
            <w:r>
              <w:rPr>
                <w:rFonts w:ascii="Arial" w:cs="Arial" w:eastAsia="Arial" w:hAnsi="Arial"/>
                <w:sz w:val="14"/>
                <w:szCs w:val="14"/>
                <w:color w:val="auto"/>
              </w:rPr>
              <w:t>11,694,525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5,656,300</w:t>
            </w:r>
          </w:p>
        </w:tc>
        <w:tc>
          <w:tcPr>
            <w:tcW w:w="0" w:type="dxa"/>
            <w:vAlign w:val="bottom"/>
          </w:tcPr>
          <w:p>
            <w:pPr>
              <w:spacing w:after="0"/>
              <w:rPr>
                <w:sz w:val="1"/>
                <w:szCs w:val="1"/>
                <w:color w:val="auto"/>
              </w:rPr>
            </w:pPr>
          </w:p>
        </w:tc>
      </w:tr>
      <w:tr>
        <w:trPr>
          <w:trHeight w:val="148"/>
        </w:trPr>
        <w:tc>
          <w:tcPr>
            <w:tcW w:w="73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income</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80,521</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175,937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320" w:type="dxa"/>
            <w:vAlign w:val="bottom"/>
          </w:tcPr>
          <w:p>
            <w:pPr>
              <w:spacing w:after="0" w:line="149" w:lineRule="exact"/>
              <w:rPr>
                <w:sz w:val="20"/>
                <w:szCs w:val="20"/>
                <w:color w:val="auto"/>
              </w:rPr>
            </w:pPr>
            <w:r>
              <w:rPr>
                <w:rFonts w:ascii="Arial" w:cs="Arial" w:eastAsia="Arial" w:hAnsi="Arial"/>
                <w:sz w:val="14"/>
                <w:szCs w:val="14"/>
                <w:color w:val="auto"/>
              </w:rPr>
              <w:t>From controlled, affiliated investments: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13,481,683</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5,366,425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7,278,060</w:t>
            </w:r>
          </w:p>
        </w:tc>
        <w:tc>
          <w:tcPr>
            <w:tcW w:w="0" w:type="dxa"/>
            <w:vAlign w:val="bottom"/>
          </w:tcPr>
          <w:p>
            <w:pPr>
              <w:spacing w:after="0"/>
              <w:rPr>
                <w:sz w:val="1"/>
                <w:szCs w:val="1"/>
                <w:color w:val="auto"/>
              </w:rPr>
            </w:pPr>
          </w:p>
        </w:tc>
      </w:tr>
      <w:tr>
        <w:trPr>
          <w:trHeight w:val="148"/>
        </w:trPr>
        <w:tc>
          <w:tcPr>
            <w:tcW w:w="7320" w:type="dxa"/>
            <w:vAlign w:val="bottom"/>
          </w:tcPr>
          <w:p>
            <w:pPr>
              <w:ind w:left="300"/>
              <w:spacing w:after="0" w:line="149" w:lineRule="exact"/>
              <w:rPr>
                <w:sz w:val="20"/>
                <w:szCs w:val="20"/>
                <w:color w:val="auto"/>
              </w:rPr>
            </w:pPr>
            <w:r>
              <w:rPr>
                <w:rFonts w:ascii="Arial" w:cs="Arial" w:eastAsia="Arial" w:hAnsi="Arial"/>
                <w:sz w:val="14"/>
                <w:szCs w:val="14"/>
                <w:color w:val="auto"/>
              </w:rPr>
              <w:t>Other income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339"/>
              <w:spacing w:after="0" w:line="149" w:lineRule="exact"/>
              <w:rPr>
                <w:sz w:val="20"/>
                <w:szCs w:val="20"/>
                <w:color w:val="auto"/>
              </w:rPr>
            </w:pPr>
            <w:r>
              <w:rPr>
                <w:rFonts w:ascii="Arial" w:cs="Arial" w:eastAsia="Arial" w:hAnsi="Arial"/>
                <w:sz w:val="14"/>
                <w:szCs w:val="14"/>
                <w:color w:val="auto"/>
              </w:rPr>
              <w:t>4,100,000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459,166</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3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investment income</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142,070,827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161,629,291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147,936,338</w:t>
            </w:r>
          </w:p>
        </w:tc>
        <w:tc>
          <w:tcPr>
            <w:tcW w:w="0" w:type="dxa"/>
            <w:vAlign w:val="bottom"/>
          </w:tcPr>
          <w:p>
            <w:pPr>
              <w:spacing w:after="0"/>
              <w:rPr>
                <w:sz w:val="1"/>
                <w:szCs w:val="1"/>
                <w:color w:val="auto"/>
              </w:rPr>
            </w:pPr>
          </w:p>
        </w:tc>
      </w:tr>
      <w:tr>
        <w:trPr>
          <w:trHeight w:val="156"/>
        </w:trPr>
        <w:tc>
          <w:tcPr>
            <w:tcW w:w="732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Base management fee (See Note 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24,852,898</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26,695,653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24,291,420</w:t>
            </w:r>
          </w:p>
        </w:tc>
        <w:tc>
          <w:tcPr>
            <w:tcW w:w="0" w:type="dxa"/>
            <w:vAlign w:val="bottom"/>
          </w:tcPr>
          <w:p>
            <w:pPr>
              <w:spacing w:after="0"/>
              <w:rPr>
                <w:sz w:val="1"/>
                <w:szCs w:val="1"/>
                <w:color w:val="auto"/>
              </w:rPr>
            </w:pPr>
          </w:p>
        </w:tc>
      </w:tr>
      <w:tr>
        <w:trPr>
          <w:trHeight w:val="148"/>
        </w:trPr>
        <w:tc>
          <w:tcPr>
            <w:tcW w:w="7320" w:type="dxa"/>
            <w:vAlign w:val="bottom"/>
          </w:tcPr>
          <w:p>
            <w:pPr>
              <w:ind w:left="30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16,018,790</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339"/>
              <w:spacing w:after="0" w:line="149" w:lineRule="exact"/>
              <w:rPr>
                <w:sz w:val="20"/>
                <w:szCs w:val="20"/>
                <w:color w:val="auto"/>
              </w:rPr>
            </w:pPr>
            <w:r>
              <w:rPr>
                <w:rFonts w:ascii="Arial" w:cs="Arial" w:eastAsia="Arial" w:hAnsi="Arial"/>
                <w:sz w:val="14"/>
                <w:szCs w:val="14"/>
                <w:color w:val="auto"/>
              </w:rPr>
              <w:t>20,564,559</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17,832,129</w:t>
            </w:r>
          </w:p>
        </w:tc>
        <w:tc>
          <w:tcPr>
            <w:tcW w:w="0" w:type="dxa"/>
            <w:vAlign w:val="bottom"/>
          </w:tcPr>
          <w:p>
            <w:pPr>
              <w:spacing w:after="0"/>
              <w:rPr>
                <w:sz w:val="1"/>
                <w:szCs w:val="1"/>
                <w:color w:val="auto"/>
              </w:rPr>
            </w:pPr>
          </w:p>
        </w:tc>
      </w:tr>
      <w:tr>
        <w:trPr>
          <w:trHeight w:val="148"/>
        </w:trPr>
        <w:tc>
          <w:tcPr>
            <w:tcW w:w="73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 and expenses on debt (See Note 11)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27,601,242</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26,355,081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20,260,652</w:t>
            </w:r>
          </w:p>
        </w:tc>
        <w:tc>
          <w:tcPr>
            <w:tcW w:w="0" w:type="dxa"/>
            <w:vAlign w:val="bottom"/>
          </w:tcPr>
          <w:p>
            <w:pPr>
              <w:spacing w:after="0"/>
              <w:rPr>
                <w:sz w:val="1"/>
                <w:szCs w:val="1"/>
                <w:color w:val="auto"/>
              </w:rPr>
            </w:pPr>
          </w:p>
        </w:tc>
      </w:tr>
      <w:tr>
        <w:trPr>
          <w:trHeight w:val="148"/>
        </w:trPr>
        <w:tc>
          <w:tcPr>
            <w:tcW w:w="7320" w:type="dxa"/>
            <w:vAlign w:val="bottom"/>
          </w:tcPr>
          <w:p>
            <w:pPr>
              <w:ind w:left="30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3,566,667</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339"/>
              <w:spacing w:after="0" w:line="149" w:lineRule="exact"/>
              <w:rPr>
                <w:sz w:val="20"/>
                <w:szCs w:val="20"/>
                <w:color w:val="auto"/>
              </w:rPr>
            </w:pPr>
            <w:r>
              <w:rPr>
                <w:rFonts w:ascii="Arial" w:cs="Arial" w:eastAsia="Arial" w:hAnsi="Arial"/>
                <w:sz w:val="14"/>
                <w:szCs w:val="14"/>
                <w:color w:val="auto"/>
              </w:rPr>
              <w:t>2,686,765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2,953,423</w:t>
            </w:r>
          </w:p>
        </w:tc>
        <w:tc>
          <w:tcPr>
            <w:tcW w:w="0" w:type="dxa"/>
            <w:vAlign w:val="bottom"/>
          </w:tcPr>
          <w:p>
            <w:pPr>
              <w:spacing w:after="0"/>
              <w:rPr>
                <w:sz w:val="1"/>
                <w:szCs w:val="1"/>
                <w:color w:val="auto"/>
              </w:rPr>
            </w:pPr>
          </w:p>
        </w:tc>
      </w:tr>
      <w:tr>
        <w:trPr>
          <w:trHeight w:val="149"/>
        </w:trPr>
        <w:tc>
          <w:tcPr>
            <w:tcW w:w="73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3,605,923</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3,069,144</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2,860,094</w:t>
            </w:r>
          </w:p>
        </w:tc>
        <w:tc>
          <w:tcPr>
            <w:tcW w:w="0" w:type="dxa"/>
            <w:vAlign w:val="bottom"/>
          </w:tcPr>
          <w:p>
            <w:pPr>
              <w:spacing w:after="0"/>
              <w:rPr>
                <w:sz w:val="1"/>
                <w:szCs w:val="1"/>
                <w:color w:val="auto"/>
              </w:rPr>
            </w:pPr>
          </w:p>
        </w:tc>
      </w:tr>
      <w:tr>
        <w:trPr>
          <w:trHeight w:val="155"/>
        </w:trPr>
        <w:tc>
          <w:tcPr>
            <w:tcW w:w="732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Expenses before Management Fees waiver, provision for taxes and debt issuance costs</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75,645,520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79,371,202</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68,197,718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Management Fees waiver (See Note 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(6,539,475)</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320" w:type="dxa"/>
            <w:vAlign w:val="bottom"/>
          </w:tcPr>
          <w:p>
            <w:pPr>
              <w:ind w:left="300"/>
              <w:spacing w:after="0" w:line="149" w:lineRule="exact"/>
              <w:rPr>
                <w:sz w:val="20"/>
                <w:szCs w:val="20"/>
                <w:color w:val="auto"/>
              </w:rPr>
            </w:pPr>
            <w:r>
              <w:rPr>
                <w:rFonts w:ascii="Arial" w:cs="Arial" w:eastAsia="Arial" w:hAnsi="Arial"/>
                <w:sz w:val="14"/>
                <w:szCs w:val="14"/>
                <w:color w:val="auto"/>
              </w:rPr>
              <w:t>Provision for taxes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2,350,000</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339"/>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72,603</w:t>
            </w:r>
          </w:p>
        </w:tc>
        <w:tc>
          <w:tcPr>
            <w:tcW w:w="0" w:type="dxa"/>
            <w:vAlign w:val="bottom"/>
          </w:tcPr>
          <w:p>
            <w:pPr>
              <w:spacing w:after="0"/>
              <w:rPr>
                <w:sz w:val="1"/>
                <w:szCs w:val="1"/>
                <w:color w:val="auto"/>
              </w:rPr>
            </w:pPr>
          </w:p>
        </w:tc>
      </w:tr>
      <w:tr>
        <w:trPr>
          <w:trHeight w:val="149"/>
        </w:trPr>
        <w:tc>
          <w:tcPr>
            <w:tcW w:w="73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Debt issuance costs (See Note 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8,337,500</w:t>
            </w:r>
          </w:p>
        </w:tc>
        <w:tc>
          <w:tcPr>
            <w:tcW w:w="0" w:type="dxa"/>
            <w:vAlign w:val="bottom"/>
          </w:tcPr>
          <w:p>
            <w:pPr>
              <w:spacing w:after="0"/>
              <w:rPr>
                <w:sz w:val="1"/>
                <w:szCs w:val="1"/>
                <w:color w:val="auto"/>
              </w:rPr>
            </w:pPr>
          </w:p>
        </w:tc>
      </w:tr>
      <w:tr>
        <w:trPr>
          <w:trHeight w:val="163"/>
        </w:trPr>
        <w:tc>
          <w:tcPr>
            <w:tcW w:w="732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expenses</w:t>
            </w:r>
          </w:p>
        </w:tc>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71,456,045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79,371,202</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76,607,821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Net investment income</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70,614,782</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82,258,089</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71,328,517</w:t>
            </w:r>
          </w:p>
        </w:tc>
        <w:tc>
          <w:tcPr>
            <w:tcW w:w="0" w:type="dxa"/>
            <w:vAlign w:val="bottom"/>
          </w:tcPr>
          <w:p>
            <w:pPr>
              <w:spacing w:after="0"/>
              <w:rPr>
                <w:sz w:val="1"/>
                <w:szCs w:val="1"/>
                <w:color w:val="auto"/>
              </w:rPr>
            </w:pPr>
          </w:p>
        </w:tc>
      </w:tr>
      <w:tr>
        <w:trPr>
          <w:trHeight w:val="155"/>
        </w:trPr>
        <w:tc>
          <w:tcPr>
            <w:tcW w:w="7320" w:type="dxa"/>
            <w:vAlign w:val="bottom"/>
          </w:tcPr>
          <w:p>
            <w:pPr>
              <w:spacing w:after="0" w:line="155" w:lineRule="exact"/>
              <w:rPr>
                <w:sz w:val="20"/>
                <w:szCs w:val="20"/>
                <w:color w:val="auto"/>
              </w:rPr>
            </w:pPr>
            <w:r>
              <w:rPr>
                <w:rFonts w:ascii="Arial" w:cs="Arial" w:eastAsia="Arial" w:hAnsi="Arial"/>
                <w:sz w:val="14"/>
                <w:szCs w:val="14"/>
                <w:b w:val="1"/>
                <w:bCs w:val="1"/>
                <w:color w:val="auto"/>
              </w:rPr>
              <w:t>Realized and unrealized (loss) gain on investments and debt:</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(loss) gain on investments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(80,530,707)</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30,111,694</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30,235,265</w:t>
            </w:r>
          </w:p>
        </w:tc>
        <w:tc>
          <w:tcPr>
            <w:tcW w:w="0" w:type="dxa"/>
            <w:vAlign w:val="bottom"/>
          </w:tcPr>
          <w:p>
            <w:pPr>
              <w:spacing w:after="0"/>
              <w:rPr>
                <w:sz w:val="1"/>
                <w:szCs w:val="1"/>
                <w:color w:val="auto"/>
              </w:rPr>
            </w:pPr>
          </w:p>
        </w:tc>
      </w:tr>
      <w:tr>
        <w:trPr>
          <w:trHeight w:val="148"/>
        </w:trPr>
        <w:tc>
          <w:tcPr>
            <w:tcW w:w="7320" w:type="dxa"/>
            <w:vAlign w:val="bottom"/>
          </w:tcPr>
          <w:p>
            <w:pPr>
              <w:spacing w:after="0" w:line="149" w:lineRule="exact"/>
              <w:rPr>
                <w:sz w:val="20"/>
                <w:szCs w:val="20"/>
                <w:color w:val="auto"/>
              </w:rPr>
            </w:pPr>
            <w:r>
              <w:rPr>
                <w:rFonts w:ascii="Arial" w:cs="Arial" w:eastAsia="Arial" w:hAnsi="Arial"/>
                <w:sz w:val="14"/>
                <w:szCs w:val="14"/>
                <w:color w:val="auto"/>
              </w:rPr>
              <w:t>Net change in unrealized appreciation (depreciation) 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Non-controlled, non-affiliated investments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48,052,466</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99"/>
              <w:spacing w:after="0" w:line="149" w:lineRule="exact"/>
              <w:rPr>
                <w:sz w:val="20"/>
                <w:szCs w:val="20"/>
                <w:color w:val="auto"/>
              </w:rPr>
            </w:pPr>
            <w:r>
              <w:rPr>
                <w:rFonts w:ascii="Arial" w:cs="Arial" w:eastAsia="Arial" w:hAnsi="Arial"/>
                <w:sz w:val="14"/>
                <w:szCs w:val="14"/>
                <w:color w:val="auto"/>
              </w:rPr>
              <w:t>(113,376,060)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468,076</w:t>
            </w:r>
          </w:p>
        </w:tc>
        <w:tc>
          <w:tcPr>
            <w:tcW w:w="0" w:type="dxa"/>
            <w:vAlign w:val="bottom"/>
          </w:tcPr>
          <w:p>
            <w:pPr>
              <w:spacing w:after="0"/>
              <w:rPr>
                <w:sz w:val="1"/>
                <w:szCs w:val="1"/>
                <w:color w:val="auto"/>
              </w:rPr>
            </w:pPr>
          </w:p>
        </w:tc>
      </w:tr>
      <w:tr>
        <w:trPr>
          <w:trHeight w:val="148"/>
        </w:trPr>
        <w:tc>
          <w:tcPr>
            <w:tcW w:w="7320" w:type="dxa"/>
            <w:vAlign w:val="bottom"/>
          </w:tcPr>
          <w:p>
            <w:pPr>
              <w:ind w:left="300"/>
              <w:spacing w:after="0" w:line="149" w:lineRule="exact"/>
              <w:rPr>
                <w:sz w:val="20"/>
                <w:szCs w:val="20"/>
                <w:color w:val="auto"/>
              </w:rPr>
            </w:pPr>
            <w:r>
              <w:rPr>
                <w:rFonts w:ascii="Arial" w:cs="Arial" w:eastAsia="Arial" w:hAnsi="Arial"/>
                <w:sz w:val="14"/>
                <w:szCs w:val="14"/>
                <w:color w:val="auto"/>
              </w:rPr>
              <w:t>Non-controlled and controlled, affiliated investments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(23,126,408)</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299"/>
              <w:spacing w:after="0" w:line="149" w:lineRule="exact"/>
              <w:rPr>
                <w:sz w:val="20"/>
                <w:szCs w:val="20"/>
                <w:color w:val="auto"/>
              </w:rPr>
            </w:pPr>
            <w:r>
              <w:rPr>
                <w:rFonts w:ascii="Arial" w:cs="Arial" w:eastAsia="Arial" w:hAnsi="Arial"/>
                <w:sz w:val="14"/>
                <w:szCs w:val="14"/>
                <w:color w:val="auto"/>
              </w:rPr>
              <w:t>(10,949,885)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11,993,189</w:t>
            </w:r>
          </w:p>
        </w:tc>
        <w:tc>
          <w:tcPr>
            <w:tcW w:w="0" w:type="dxa"/>
            <w:vAlign w:val="bottom"/>
          </w:tcPr>
          <w:p>
            <w:pPr>
              <w:spacing w:after="0"/>
              <w:rPr>
                <w:sz w:val="1"/>
                <w:szCs w:val="1"/>
                <w:color w:val="auto"/>
              </w:rPr>
            </w:pPr>
          </w:p>
        </w:tc>
      </w:tr>
      <w:tr>
        <w:trPr>
          <w:trHeight w:val="148"/>
        </w:trPr>
        <w:tc>
          <w:tcPr>
            <w:tcW w:w="73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Debt depreciation (appreciation) (See Notes 5 and 11)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3,726,573</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1,710,510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(3,041,570)</w:t>
            </w:r>
          </w:p>
        </w:tc>
        <w:tc>
          <w:tcPr>
            <w:tcW w:w="0" w:type="dxa"/>
            <w:vAlign w:val="bottom"/>
          </w:tcPr>
          <w:p>
            <w:pPr>
              <w:spacing w:after="0"/>
              <w:rPr>
                <w:sz w:val="1"/>
                <w:szCs w:val="1"/>
                <w:color w:val="auto"/>
              </w:rPr>
            </w:pPr>
          </w:p>
        </w:tc>
      </w:tr>
      <w:tr>
        <w:trPr>
          <w:trHeight w:val="163"/>
        </w:trPr>
        <w:tc>
          <w:tcPr>
            <w:tcW w:w="732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change in unrealized appreciation (depreciation) on investments and debt</w:t>
            </w:r>
          </w:p>
        </w:tc>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28,652,631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(122,615,435)</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9,419,695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realized and unrealized (loss) gain from investments and debt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(51,878,076)</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99"/>
              <w:spacing w:after="0" w:line="149" w:lineRule="exact"/>
              <w:rPr>
                <w:sz w:val="20"/>
                <w:szCs w:val="20"/>
                <w:color w:val="auto"/>
              </w:rPr>
            </w:pPr>
            <w:r>
              <w:rPr>
                <w:rFonts w:ascii="Arial" w:cs="Arial" w:eastAsia="Arial" w:hAnsi="Arial"/>
                <w:sz w:val="14"/>
                <w:szCs w:val="14"/>
                <w:color w:val="auto"/>
              </w:rPr>
              <w:t>(92,503,741)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39,654,960</w:t>
            </w:r>
          </w:p>
        </w:tc>
        <w:tc>
          <w:tcPr>
            <w:tcW w:w="0" w:type="dxa"/>
            <w:vAlign w:val="bottom"/>
          </w:tcPr>
          <w:p>
            <w:pPr>
              <w:spacing w:after="0"/>
              <w:rPr>
                <w:sz w:val="1"/>
                <w:szCs w:val="1"/>
                <w:color w:val="auto"/>
              </w:rPr>
            </w:pPr>
          </w:p>
        </w:tc>
      </w:tr>
      <w:tr>
        <w:trPr>
          <w:trHeight w:val="155"/>
        </w:trPr>
        <w:tc>
          <w:tcPr>
            <w:tcW w:w="732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5"/>
                <w:szCs w:val="5"/>
                <w:color w:val="auto"/>
                <w:w w:val="70"/>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18,736,706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(10,245,652</w:t>
            </w:r>
          </w:p>
        </w:tc>
        <w:tc>
          <w:tcPr>
            <w:tcW w:w="380" w:type="dxa"/>
            <w:vAlign w:val="bottom"/>
          </w:tcPr>
          <w:p>
            <w:pPr>
              <w:jc w:val="right"/>
              <w:ind w:right="299"/>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110,983,477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increase (decrease) in net assets resulting from operations per common share</w:t>
            </w:r>
          </w:p>
        </w:tc>
        <w:tc>
          <w:tcPr>
            <w:tcW w:w="180" w:type="dxa"/>
            <w:vAlign w:val="bottom"/>
            <w:gridSpan w:val="2"/>
            <w:shd w:val="clear" w:color="auto" w:fill="CCEEFF"/>
          </w:tcPr>
          <w:p>
            <w:pPr>
              <w:jc w:val="right"/>
              <w:ind w:right="94"/>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0.26</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99"/>
              <w:spacing w:after="0" w:line="143" w:lineRule="exact"/>
              <w:rPr>
                <w:sz w:val="20"/>
                <w:szCs w:val="20"/>
                <w:color w:val="auto"/>
              </w:rPr>
            </w:pPr>
            <w:r>
              <w:rPr>
                <w:rFonts w:ascii="Arial" w:cs="Arial" w:eastAsia="Arial" w:hAnsi="Arial"/>
                <w:sz w:val="14"/>
                <w:szCs w:val="14"/>
                <w:color w:val="auto"/>
              </w:rPr>
              <w:t>(0.14)</w:t>
            </w:r>
          </w:p>
        </w:tc>
        <w:tc>
          <w:tcPr>
            <w:tcW w:w="200" w:type="dxa"/>
            <w:vAlign w:val="bottom"/>
            <w:gridSpan w:val="2"/>
            <w:shd w:val="clear" w:color="auto" w:fill="CCEEFF"/>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2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94"/>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0.99</w:t>
            </w: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1.10</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40"/>
          </w:cols>
          <w:pgMar w:left="32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8"/>
              </w:rPr>
              <w:t>Years Ended September 30,</w:t>
            </w: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5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(decrease) in net assets from operations:</w:t>
            </w:r>
          </w:p>
        </w:tc>
        <w:tc>
          <w:tcPr>
            <w:tcW w:w="8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80" w:type="dxa"/>
            <w:vAlign w:val="bottom"/>
          </w:tcPr>
          <w:p>
            <w:pPr>
              <w:ind w:left="300"/>
              <w:spacing w:after="0" w:line="149" w:lineRule="exact"/>
              <w:rPr>
                <w:sz w:val="20"/>
                <w:szCs w:val="20"/>
                <w:color w:val="auto"/>
              </w:rPr>
            </w:pPr>
            <w:r>
              <w:rPr>
                <w:rFonts w:ascii="Arial" w:cs="Arial" w:eastAsia="Arial" w:hAnsi="Arial"/>
                <w:sz w:val="14"/>
                <w:szCs w:val="14"/>
                <w:color w:val="auto"/>
              </w:rPr>
              <w:t>Net investment income</w:t>
            </w:r>
          </w:p>
        </w:tc>
        <w:tc>
          <w:tcPr>
            <w:tcW w:w="11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70,614,782</w:t>
            </w:r>
          </w:p>
        </w:tc>
        <w:tc>
          <w:tcPr>
            <w:tcW w:w="180" w:type="dxa"/>
            <w:vAlign w:val="bottom"/>
          </w:tcPr>
          <w:p>
            <w:pPr>
              <w:spacing w:after="0"/>
              <w:rPr>
                <w:sz w:val="12"/>
                <w:szCs w:val="12"/>
                <w:color w:val="auto"/>
              </w:rPr>
            </w:pPr>
          </w:p>
        </w:tc>
        <w:tc>
          <w:tcPr>
            <w:tcW w:w="6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82,258,089</w:t>
            </w:r>
          </w:p>
        </w:tc>
        <w:tc>
          <w:tcPr>
            <w:tcW w:w="4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71,328,517</w:t>
            </w:r>
          </w:p>
        </w:tc>
        <w:tc>
          <w:tcPr>
            <w:tcW w:w="0" w:type="dxa"/>
            <w:vAlign w:val="bottom"/>
          </w:tcPr>
          <w:p>
            <w:pPr>
              <w:spacing w:after="0"/>
              <w:rPr>
                <w:sz w:val="1"/>
                <w:szCs w:val="1"/>
                <w:color w:val="auto"/>
              </w:rPr>
            </w:pPr>
          </w:p>
        </w:tc>
      </w:tr>
      <w:tr>
        <w:trPr>
          <w:trHeight w:val="148"/>
        </w:trPr>
        <w:tc>
          <w:tcPr>
            <w:tcW w:w="55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realized (loss) gain on investments</w:t>
            </w: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(80,530,707)</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30,111,694</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30,235,265</w:t>
            </w:r>
          </w:p>
        </w:tc>
        <w:tc>
          <w:tcPr>
            <w:tcW w:w="0" w:type="dxa"/>
            <w:vAlign w:val="bottom"/>
          </w:tcPr>
          <w:p>
            <w:pPr>
              <w:spacing w:after="0"/>
              <w:rPr>
                <w:sz w:val="1"/>
                <w:szCs w:val="1"/>
                <w:color w:val="auto"/>
              </w:rPr>
            </w:pPr>
          </w:p>
        </w:tc>
      </w:tr>
      <w:tr>
        <w:trPr>
          <w:trHeight w:val="148"/>
        </w:trPr>
        <w:tc>
          <w:tcPr>
            <w:tcW w:w="5580" w:type="dxa"/>
            <w:vAlign w:val="bottom"/>
          </w:tcPr>
          <w:p>
            <w:pPr>
              <w:ind w:left="30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24,926,058</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(124,325,945)</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12,461,265</w:t>
            </w:r>
          </w:p>
        </w:tc>
        <w:tc>
          <w:tcPr>
            <w:tcW w:w="0" w:type="dxa"/>
            <w:vAlign w:val="bottom"/>
          </w:tcPr>
          <w:p>
            <w:pPr>
              <w:spacing w:after="0"/>
              <w:rPr>
                <w:sz w:val="1"/>
                <w:szCs w:val="1"/>
                <w:color w:val="auto"/>
              </w:rPr>
            </w:pPr>
          </w:p>
        </w:tc>
      </w:tr>
      <w:tr>
        <w:trPr>
          <w:trHeight w:val="148"/>
        </w:trPr>
        <w:tc>
          <w:tcPr>
            <w:tcW w:w="55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change in debt depreciation (appreciation)</w:t>
            </w: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3,726,573</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1,710,510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(3,041,570)</w:t>
            </w:r>
          </w:p>
        </w:tc>
        <w:tc>
          <w:tcPr>
            <w:tcW w:w="0" w:type="dxa"/>
            <w:vAlign w:val="bottom"/>
          </w:tcPr>
          <w:p>
            <w:pPr>
              <w:spacing w:after="0"/>
              <w:rPr>
                <w:sz w:val="1"/>
                <w:szCs w:val="1"/>
                <w:color w:val="auto"/>
              </w:rPr>
            </w:pPr>
          </w:p>
        </w:tc>
      </w:tr>
      <w:tr>
        <w:trPr>
          <w:trHeight w:val="163"/>
        </w:trPr>
        <w:tc>
          <w:tcPr>
            <w:tcW w:w="558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8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18,736,706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(10,245,652)</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110,983,477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ind w:left="300"/>
              <w:spacing w:after="0" w:line="149" w:lineRule="exact"/>
              <w:rPr>
                <w:sz w:val="20"/>
                <w:szCs w:val="20"/>
                <w:color w:val="auto"/>
              </w:rPr>
            </w:pPr>
            <w:r>
              <w:rPr>
                <w:rFonts w:ascii="Arial" w:cs="Arial" w:eastAsia="Arial" w:hAnsi="Arial"/>
                <w:sz w:val="14"/>
                <w:szCs w:val="14"/>
                <w:color w:val="auto"/>
              </w:rPr>
              <w:t>Distribution of net investment income</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(58,068,894)</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(83,275,238)</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(76,937,761)</w:t>
            </w:r>
          </w:p>
        </w:tc>
        <w:tc>
          <w:tcPr>
            <w:tcW w:w="0" w:type="dxa"/>
            <w:vAlign w:val="bottom"/>
          </w:tcPr>
          <w:p>
            <w:pPr>
              <w:spacing w:after="0"/>
              <w:rPr>
                <w:sz w:val="1"/>
                <w:szCs w:val="1"/>
                <w:color w:val="auto"/>
              </w:rPr>
            </w:pPr>
          </w:p>
        </w:tc>
      </w:tr>
      <w:tr>
        <w:trPr>
          <w:trHeight w:val="148"/>
        </w:trPr>
        <w:tc>
          <w:tcPr>
            <w:tcW w:w="55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Distribution of realized gains</w:t>
            </w: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(21,711,007)</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558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Total distributions to stockholders</w:t>
            </w:r>
          </w:p>
        </w:tc>
        <w:tc>
          <w:tcPr>
            <w:tcW w:w="8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(79,779,901)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(83,275,238)</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(76,937,761)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Capital transactions:</w:t>
            </w: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tcPr>
          <w:p>
            <w:pPr>
              <w:ind w:left="300"/>
              <w:spacing w:after="0" w:line="149" w:lineRule="exact"/>
              <w:rPr>
                <w:sz w:val="20"/>
                <w:szCs w:val="20"/>
                <w:color w:val="auto"/>
              </w:rPr>
            </w:pPr>
            <w:r>
              <w:rPr>
                <w:rFonts w:ascii="Arial" w:cs="Arial" w:eastAsia="Arial" w:hAnsi="Arial"/>
                <w:sz w:val="14"/>
                <w:szCs w:val="14"/>
                <w:color w:val="auto"/>
              </w:rPr>
              <w:t>Public offerings</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98,855,000</w:t>
            </w:r>
          </w:p>
        </w:tc>
        <w:tc>
          <w:tcPr>
            <w:tcW w:w="0" w:type="dxa"/>
            <w:vAlign w:val="bottom"/>
          </w:tcPr>
          <w:p>
            <w:pPr>
              <w:spacing w:after="0"/>
              <w:rPr>
                <w:sz w:val="1"/>
                <w:szCs w:val="1"/>
                <w:color w:val="auto"/>
              </w:rPr>
            </w:pPr>
          </w:p>
        </w:tc>
      </w:tr>
      <w:tr>
        <w:trPr>
          <w:trHeight w:val="148"/>
        </w:trPr>
        <w:tc>
          <w:tcPr>
            <w:tcW w:w="55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Offering costs</w:t>
            </w: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(3,465,650)</w:t>
            </w:r>
          </w:p>
        </w:tc>
        <w:tc>
          <w:tcPr>
            <w:tcW w:w="0" w:type="dxa"/>
            <w:vAlign w:val="bottom"/>
          </w:tcPr>
          <w:p>
            <w:pPr>
              <w:spacing w:after="0"/>
              <w:rPr>
                <w:sz w:val="1"/>
                <w:szCs w:val="1"/>
                <w:color w:val="auto"/>
              </w:rPr>
            </w:pPr>
          </w:p>
        </w:tc>
      </w:tr>
      <w:tr>
        <w:trPr>
          <w:trHeight w:val="149"/>
        </w:trPr>
        <w:tc>
          <w:tcPr>
            <w:tcW w:w="5580" w:type="dxa"/>
            <w:vAlign w:val="bottom"/>
          </w:tcPr>
          <w:p>
            <w:pPr>
              <w:ind w:left="300"/>
              <w:spacing w:after="0" w:line="149" w:lineRule="exact"/>
              <w:rPr>
                <w:sz w:val="20"/>
                <w:szCs w:val="20"/>
                <w:color w:val="auto"/>
              </w:rPr>
            </w:pPr>
            <w:r>
              <w:rPr>
                <w:rFonts w:ascii="Arial" w:cs="Arial" w:eastAsia="Arial" w:hAnsi="Arial"/>
                <w:sz w:val="14"/>
                <w:szCs w:val="14"/>
                <w:color w:val="auto"/>
              </w:rPr>
              <w:t>Repurchase of common stock</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(12,180,491)</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(17,898,517)</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5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Reinvestment of distributions</w:t>
            </w: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1,068,684</w:t>
            </w:r>
          </w:p>
        </w:tc>
        <w:tc>
          <w:tcPr>
            <w:tcW w:w="0" w:type="dxa"/>
            <w:vAlign w:val="bottom"/>
          </w:tcPr>
          <w:p>
            <w:pPr>
              <w:spacing w:after="0"/>
              <w:rPr>
                <w:sz w:val="1"/>
                <w:szCs w:val="1"/>
                <w:color w:val="auto"/>
              </w:rPr>
            </w:pPr>
          </w:p>
        </w:tc>
      </w:tr>
      <w:tr>
        <w:trPr>
          <w:trHeight w:val="163"/>
        </w:trPr>
        <w:tc>
          <w:tcPr>
            <w:tcW w:w="558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(decrease) increase in net assets resulting from capital transactions</w:t>
            </w:r>
          </w:p>
        </w:tc>
        <w:tc>
          <w:tcPr>
            <w:tcW w:w="8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(12,180,491)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(17,898,517)</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96,458,034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(decrease) increase in net assets</w:t>
            </w: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(73,223,686)</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(111,419,407)</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130,503,750</w:t>
            </w:r>
          </w:p>
        </w:tc>
        <w:tc>
          <w:tcPr>
            <w:tcW w:w="0" w:type="dxa"/>
            <w:vAlign w:val="bottom"/>
          </w:tcPr>
          <w:p>
            <w:pPr>
              <w:spacing w:after="0"/>
              <w:rPr>
                <w:sz w:val="1"/>
                <w:szCs w:val="1"/>
                <w:color w:val="auto"/>
              </w:rPr>
            </w:pPr>
          </w:p>
        </w:tc>
      </w:tr>
      <w:tr>
        <w:trPr>
          <w:trHeight w:val="148"/>
        </w:trPr>
        <w:tc>
          <w:tcPr>
            <w:tcW w:w="5580" w:type="dxa"/>
            <w:vAlign w:val="bottom"/>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Beginning of year</w:t>
            </w: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716,590,542</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828,009,949</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697,506,199</w:t>
            </w:r>
          </w:p>
        </w:tc>
        <w:tc>
          <w:tcPr>
            <w:tcW w:w="0" w:type="dxa"/>
            <w:vAlign w:val="bottom"/>
          </w:tcPr>
          <w:p>
            <w:pPr>
              <w:spacing w:after="0"/>
              <w:rPr>
                <w:sz w:val="1"/>
                <w:szCs w:val="1"/>
                <w:color w:val="auto"/>
              </w:rPr>
            </w:pPr>
          </w:p>
        </w:tc>
      </w:tr>
      <w:tr>
        <w:trPr>
          <w:trHeight w:val="156"/>
        </w:trPr>
        <w:tc>
          <w:tcPr>
            <w:tcW w:w="5580" w:type="dxa"/>
            <w:vAlign w:val="bottom"/>
          </w:tcPr>
          <w:p>
            <w:pPr>
              <w:ind w:left="300"/>
              <w:spacing w:after="0" w:line="155" w:lineRule="exact"/>
              <w:rPr>
                <w:sz w:val="20"/>
                <w:szCs w:val="20"/>
                <w:color w:val="auto"/>
              </w:rPr>
            </w:pPr>
            <w:r>
              <w:rPr>
                <w:rFonts w:ascii="Arial" w:cs="Arial" w:eastAsia="Arial" w:hAnsi="Arial"/>
                <w:sz w:val="14"/>
                <w:szCs w:val="14"/>
                <w:color w:val="auto"/>
              </w:rPr>
              <w:t>End of year</w:t>
            </w:r>
          </w:p>
        </w:tc>
        <w:tc>
          <w:tcPr>
            <w:tcW w:w="86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643,366,856</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716,590,542</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828,009,949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8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rPr>
              <w:t>Undistributed (distributions in excess of) net investment income, end of year</w:t>
            </w:r>
          </w:p>
        </w:tc>
        <w:tc>
          <w:tcPr>
            <w:tcW w:w="1120" w:type="dxa"/>
            <w:vAlign w:val="bottom"/>
            <w:gridSpan w:val="2"/>
            <w:shd w:val="clear" w:color="auto" w:fill="CCEEFF"/>
          </w:tcPr>
          <w:p>
            <w:pPr>
              <w:jc w:val="right"/>
              <w:ind w:right="108"/>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3,119,380</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8"/>
              <w:spacing w:after="0" w:line="143"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420"/>
              <w:spacing w:after="0" w:line="143" w:lineRule="exact"/>
              <w:rPr>
                <w:sz w:val="20"/>
                <w:szCs w:val="20"/>
                <w:color w:val="auto"/>
              </w:rPr>
            </w:pPr>
            <w:r>
              <w:rPr>
                <w:rFonts w:ascii="Arial" w:cs="Arial" w:eastAsia="Arial" w:hAnsi="Arial"/>
                <w:sz w:val="14"/>
                <w:szCs w:val="14"/>
                <w:color w:val="auto"/>
              </w:rPr>
              <w:t>(13,424,886)</w:t>
            </w:r>
          </w:p>
        </w:tc>
        <w:tc>
          <w:tcPr>
            <w:tcW w:w="420" w:type="dxa"/>
            <w:vAlign w:val="bottom"/>
            <w:gridSpan w:val="2"/>
            <w:shd w:val="clear" w:color="auto" w:fill="CCEEFF"/>
          </w:tcPr>
          <w:p>
            <w:pPr>
              <w:jc w:val="right"/>
              <w:ind w:right="108"/>
              <w:spacing w:after="0" w:line="143"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(11,802,580)</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Capital share activity:</w:t>
            </w:r>
          </w:p>
        </w:tc>
        <w:tc>
          <w:tcPr>
            <w:tcW w:w="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8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Shares of common stock (repurchased) / issued from public offerings</w:t>
            </w: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(1,905,207)</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(2,126,868)</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8,500,000</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300"/>
              <w:spacing w:after="0"/>
              <w:rPr>
                <w:sz w:val="20"/>
                <w:szCs w:val="20"/>
                <w:color w:val="auto"/>
              </w:rPr>
            </w:pPr>
            <w:r>
              <w:rPr>
                <w:rFonts w:ascii="Arial" w:cs="Arial" w:eastAsia="Arial" w:hAnsi="Arial"/>
                <w:sz w:val="14"/>
                <w:szCs w:val="14"/>
                <w:color w:val="auto"/>
              </w:rPr>
              <w:t>Shares issued from reinvestment of distributions</w:t>
            </w:r>
          </w:p>
        </w:tc>
        <w:tc>
          <w:tcPr>
            <w:tcW w:w="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8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93,584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40"/>
          </w:cols>
          <w:pgMar w:left="32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September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6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440"/>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18,736,706</w:t>
            </w:r>
          </w:p>
        </w:tc>
        <w:tc>
          <w:tcPr>
            <w:tcW w:w="26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(10,245,652)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110,983,477</w:t>
            </w:r>
          </w:p>
        </w:tc>
        <w:tc>
          <w:tcPr>
            <w:tcW w:w="0" w:type="dxa"/>
            <w:vAlign w:val="bottom"/>
          </w:tcPr>
          <w:p>
            <w:pPr>
              <w:spacing w:after="0"/>
              <w:rPr>
                <w:sz w:val="1"/>
                <w:szCs w:val="1"/>
                <w:color w:val="auto"/>
              </w:rPr>
            </w:pPr>
          </w:p>
        </w:tc>
      </w:tr>
      <w:tr>
        <w:trPr>
          <w:trHeight w:val="130"/>
        </w:trPr>
        <w:tc>
          <w:tcPr>
            <w:tcW w:w="768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w w:val="96"/>
              </w:rPr>
              <w:t>Adjustments to reconcile net increase (decrease) in net assets resulting from operations to net cash provided by (used in)</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6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operating activities:</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80" w:type="dxa"/>
            <w:vAlign w:val="bottom"/>
          </w:tcPr>
          <w:p>
            <w:pPr>
              <w:ind w:left="88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12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(24,926,058)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124,325,945</w:t>
            </w:r>
          </w:p>
        </w:tc>
        <w:tc>
          <w:tcPr>
            <w:tcW w:w="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(12,461,265)</w:t>
            </w:r>
          </w:p>
        </w:tc>
        <w:tc>
          <w:tcPr>
            <w:tcW w:w="0" w:type="dxa"/>
            <w:vAlign w:val="bottom"/>
          </w:tcPr>
          <w:p>
            <w:pPr>
              <w:spacing w:after="0"/>
              <w:rPr>
                <w:sz w:val="1"/>
                <w:szCs w:val="1"/>
                <w:color w:val="auto"/>
              </w:rPr>
            </w:pPr>
          </w:p>
        </w:tc>
      </w:tr>
      <w:tr>
        <w:trPr>
          <w:trHeight w:val="148"/>
        </w:trPr>
        <w:tc>
          <w:tcPr>
            <w:tcW w:w="76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change in unrealized (depreciation) appreciation on debt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(3,726,573)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(1,710,510)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3,041,570</w:t>
            </w:r>
          </w:p>
        </w:tc>
        <w:tc>
          <w:tcPr>
            <w:tcW w:w="0" w:type="dxa"/>
            <w:vAlign w:val="bottom"/>
          </w:tcPr>
          <w:p>
            <w:pPr>
              <w:spacing w:after="0"/>
              <w:rPr>
                <w:sz w:val="1"/>
                <w:szCs w:val="1"/>
                <w:color w:val="auto"/>
              </w:rPr>
            </w:pPr>
          </w:p>
        </w:tc>
      </w:tr>
      <w:tr>
        <w:trPr>
          <w:trHeight w:val="148"/>
        </w:trPr>
        <w:tc>
          <w:tcPr>
            <w:tcW w:w="7680" w:type="dxa"/>
            <w:vAlign w:val="bottom"/>
          </w:tcPr>
          <w:p>
            <w:pPr>
              <w:ind w:left="880"/>
              <w:spacing w:after="0" w:line="149" w:lineRule="exact"/>
              <w:rPr>
                <w:sz w:val="20"/>
                <w:szCs w:val="20"/>
                <w:color w:val="auto"/>
              </w:rPr>
            </w:pPr>
            <w:r>
              <w:rPr>
                <w:rFonts w:ascii="Arial" w:cs="Arial" w:eastAsia="Arial" w:hAnsi="Arial"/>
                <w:sz w:val="14"/>
                <w:szCs w:val="14"/>
                <w:color w:val="auto"/>
              </w:rPr>
              <w:t>Net realized loss (gain) on investments</w:t>
            </w: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80,530,707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(30,111,694)</w:t>
            </w:r>
          </w:p>
        </w:tc>
        <w:tc>
          <w:tcPr>
            <w:tcW w:w="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(30,235,265)</w:t>
            </w:r>
          </w:p>
        </w:tc>
        <w:tc>
          <w:tcPr>
            <w:tcW w:w="0" w:type="dxa"/>
            <w:vAlign w:val="bottom"/>
          </w:tcPr>
          <w:p>
            <w:pPr>
              <w:spacing w:after="0"/>
              <w:rPr>
                <w:sz w:val="1"/>
                <w:szCs w:val="1"/>
                <w:color w:val="auto"/>
              </w:rPr>
            </w:pPr>
          </w:p>
        </w:tc>
      </w:tr>
      <w:tr>
        <w:trPr>
          <w:trHeight w:val="148"/>
        </w:trPr>
        <w:tc>
          <w:tcPr>
            <w:tcW w:w="76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(5,251,804)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(6,341,502)</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(8,027,104)</w:t>
            </w:r>
          </w:p>
        </w:tc>
        <w:tc>
          <w:tcPr>
            <w:tcW w:w="0" w:type="dxa"/>
            <w:vAlign w:val="bottom"/>
          </w:tcPr>
          <w:p>
            <w:pPr>
              <w:spacing w:after="0"/>
              <w:rPr>
                <w:sz w:val="1"/>
                <w:szCs w:val="1"/>
                <w:color w:val="auto"/>
              </w:rPr>
            </w:pPr>
          </w:p>
        </w:tc>
      </w:tr>
      <w:tr>
        <w:trPr>
          <w:trHeight w:val="148"/>
        </w:trPr>
        <w:tc>
          <w:tcPr>
            <w:tcW w:w="7680" w:type="dxa"/>
            <w:vAlign w:val="bottom"/>
          </w:tcPr>
          <w:p>
            <w:pPr>
              <w:ind w:left="880"/>
              <w:spacing w:after="0" w:line="149" w:lineRule="exact"/>
              <w:rPr>
                <w:sz w:val="20"/>
                <w:szCs w:val="20"/>
                <w:color w:val="auto"/>
              </w:rPr>
            </w:pPr>
            <w:r>
              <w:rPr>
                <w:rFonts w:ascii="Arial" w:cs="Arial" w:eastAsia="Arial" w:hAnsi="Arial"/>
                <w:sz w:val="14"/>
                <w:szCs w:val="14"/>
                <w:color w:val="auto"/>
              </w:rPr>
              <w:t>Purchase of investments</w:t>
            </w:r>
          </w:p>
        </w:tc>
        <w:tc>
          <w:tcPr>
            <w:tcW w:w="12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6"/>
              </w:rPr>
              <w:t>(330,552,035)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(461,293,170)</w:t>
            </w:r>
          </w:p>
        </w:tc>
        <w:tc>
          <w:tcPr>
            <w:tcW w:w="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(795,089,483)</w:t>
            </w:r>
          </w:p>
        </w:tc>
        <w:tc>
          <w:tcPr>
            <w:tcW w:w="0" w:type="dxa"/>
            <w:vAlign w:val="bottom"/>
          </w:tcPr>
          <w:p>
            <w:pPr>
              <w:spacing w:after="0"/>
              <w:rPr>
                <w:sz w:val="1"/>
                <w:szCs w:val="1"/>
                <w:color w:val="auto"/>
              </w:rPr>
            </w:pPr>
          </w:p>
        </w:tc>
      </w:tr>
      <w:tr>
        <w:trPr>
          <w:trHeight w:val="148"/>
        </w:trPr>
        <w:tc>
          <w:tcPr>
            <w:tcW w:w="76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Payment-in-kind income</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(15,123,817)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(13,869,582)</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(10,961,812)</w:t>
            </w:r>
          </w:p>
        </w:tc>
        <w:tc>
          <w:tcPr>
            <w:tcW w:w="0" w:type="dxa"/>
            <w:vAlign w:val="bottom"/>
          </w:tcPr>
          <w:p>
            <w:pPr>
              <w:spacing w:after="0"/>
              <w:rPr>
                <w:sz w:val="1"/>
                <w:szCs w:val="1"/>
                <w:color w:val="auto"/>
              </w:rPr>
            </w:pPr>
          </w:p>
        </w:tc>
      </w:tr>
      <w:tr>
        <w:trPr>
          <w:trHeight w:val="149"/>
        </w:trPr>
        <w:tc>
          <w:tcPr>
            <w:tcW w:w="7680" w:type="dxa"/>
            <w:vAlign w:val="bottom"/>
          </w:tcPr>
          <w:p>
            <w:pPr>
              <w:ind w:left="88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439,738,846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390,474,733</w:t>
            </w: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625,551,026</w:t>
            </w:r>
          </w:p>
        </w:tc>
        <w:tc>
          <w:tcPr>
            <w:tcW w:w="0" w:type="dxa"/>
            <w:vAlign w:val="bottom"/>
          </w:tcPr>
          <w:p>
            <w:pPr>
              <w:spacing w:after="0"/>
              <w:rPr>
                <w:sz w:val="1"/>
                <w:szCs w:val="1"/>
                <w:color w:val="auto"/>
              </w:rPr>
            </w:pPr>
          </w:p>
        </w:tc>
      </w:tr>
      <w:tr>
        <w:trPr>
          <w:trHeight w:val="148"/>
        </w:trPr>
        <w:tc>
          <w:tcPr>
            <w:tcW w:w="76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Decrease (increase) in interest receivable</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557,339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6,113,328</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(2,808,632)</w:t>
            </w:r>
          </w:p>
        </w:tc>
        <w:tc>
          <w:tcPr>
            <w:tcW w:w="0" w:type="dxa"/>
            <w:vAlign w:val="bottom"/>
          </w:tcPr>
          <w:p>
            <w:pPr>
              <w:spacing w:after="0"/>
              <w:rPr>
                <w:sz w:val="1"/>
                <w:szCs w:val="1"/>
                <w:color w:val="auto"/>
              </w:rPr>
            </w:pPr>
          </w:p>
        </w:tc>
      </w:tr>
      <w:tr>
        <w:trPr>
          <w:trHeight w:val="148"/>
        </w:trPr>
        <w:tc>
          <w:tcPr>
            <w:tcW w:w="7680" w:type="dxa"/>
            <w:vAlign w:val="bottom"/>
          </w:tcPr>
          <w:p>
            <w:pPr>
              <w:ind w:left="880"/>
              <w:spacing w:after="0" w:line="149" w:lineRule="exact"/>
              <w:rPr>
                <w:sz w:val="20"/>
                <w:szCs w:val="20"/>
                <w:color w:val="auto"/>
              </w:rPr>
            </w:pPr>
            <w:r>
              <w:rPr>
                <w:rFonts w:ascii="Arial" w:cs="Arial" w:eastAsia="Arial" w:hAnsi="Arial"/>
                <w:sz w:val="14"/>
                <w:szCs w:val="14"/>
                <w:color w:val="auto"/>
              </w:rPr>
              <w:t>Decrease (increase) in prepaid expenses and other assets</w:t>
            </w: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6,175,712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474,481</w:t>
            </w:r>
          </w:p>
        </w:tc>
        <w:tc>
          <w:tcPr>
            <w:tcW w:w="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(7,498,949)</w:t>
            </w:r>
          </w:p>
        </w:tc>
        <w:tc>
          <w:tcPr>
            <w:tcW w:w="0" w:type="dxa"/>
            <w:vAlign w:val="bottom"/>
          </w:tcPr>
          <w:p>
            <w:pPr>
              <w:spacing w:after="0"/>
              <w:rPr>
                <w:sz w:val="1"/>
                <w:szCs w:val="1"/>
                <w:color w:val="auto"/>
              </w:rPr>
            </w:pPr>
          </w:p>
        </w:tc>
      </w:tr>
      <w:tr>
        <w:trPr>
          <w:trHeight w:val="148"/>
        </w:trPr>
        <w:tc>
          <w:tcPr>
            <w:tcW w:w="76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Decrease in payable for investments purchased</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(3,591,177)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(841,323)</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(48,112,204)</w:t>
            </w:r>
          </w:p>
        </w:tc>
        <w:tc>
          <w:tcPr>
            <w:tcW w:w="0" w:type="dxa"/>
            <w:vAlign w:val="bottom"/>
          </w:tcPr>
          <w:p>
            <w:pPr>
              <w:spacing w:after="0"/>
              <w:rPr>
                <w:sz w:val="1"/>
                <w:szCs w:val="1"/>
                <w:color w:val="auto"/>
              </w:rPr>
            </w:pPr>
          </w:p>
        </w:tc>
      </w:tr>
      <w:tr>
        <w:trPr>
          <w:trHeight w:val="148"/>
        </w:trPr>
        <w:tc>
          <w:tcPr>
            <w:tcW w:w="7680" w:type="dxa"/>
            <w:vAlign w:val="bottom"/>
          </w:tcPr>
          <w:p>
            <w:pPr>
              <w:ind w:left="880"/>
              <w:spacing w:after="0" w:line="149" w:lineRule="exact"/>
              <w:rPr>
                <w:sz w:val="20"/>
                <w:szCs w:val="20"/>
                <w:color w:val="auto"/>
              </w:rPr>
            </w:pPr>
            <w:r>
              <w:rPr>
                <w:rFonts w:ascii="Arial" w:cs="Arial" w:eastAsia="Arial" w:hAnsi="Arial"/>
                <w:sz w:val="14"/>
                <w:szCs w:val="14"/>
                <w:color w:val="auto"/>
              </w:rPr>
              <w:t>(Decrease) increase in interest payable on debt</w:t>
            </w:r>
          </w:p>
        </w:tc>
        <w:tc>
          <w:tcPr>
            <w:tcW w:w="12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(118,401)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5,676,250</w:t>
            </w: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151,798</w:t>
            </w:r>
          </w:p>
        </w:tc>
        <w:tc>
          <w:tcPr>
            <w:tcW w:w="0" w:type="dxa"/>
            <w:vAlign w:val="bottom"/>
          </w:tcPr>
          <w:p>
            <w:pPr>
              <w:spacing w:after="0"/>
              <w:rPr>
                <w:sz w:val="1"/>
                <w:szCs w:val="1"/>
                <w:color w:val="auto"/>
              </w:rPr>
            </w:pPr>
          </w:p>
        </w:tc>
      </w:tr>
      <w:tr>
        <w:trPr>
          <w:trHeight w:val="149"/>
        </w:trPr>
        <w:tc>
          <w:tcPr>
            <w:tcW w:w="76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Amortization of deferred financing costs</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626,452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554,756</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514,542</w:t>
            </w:r>
          </w:p>
        </w:tc>
        <w:tc>
          <w:tcPr>
            <w:tcW w:w="0" w:type="dxa"/>
            <w:vAlign w:val="bottom"/>
          </w:tcPr>
          <w:p>
            <w:pPr>
              <w:spacing w:after="0"/>
              <w:rPr>
                <w:sz w:val="1"/>
                <w:szCs w:val="1"/>
                <w:color w:val="auto"/>
              </w:rPr>
            </w:pPr>
          </w:p>
        </w:tc>
      </w:tr>
      <w:tr>
        <w:trPr>
          <w:trHeight w:val="148"/>
        </w:trPr>
        <w:tc>
          <w:tcPr>
            <w:tcW w:w="7680" w:type="dxa"/>
            <w:vAlign w:val="bottom"/>
          </w:tcPr>
          <w:p>
            <w:pPr>
              <w:ind w:left="880"/>
              <w:spacing w:after="0" w:line="149" w:lineRule="exact"/>
              <w:rPr>
                <w:sz w:val="20"/>
                <w:szCs w:val="20"/>
                <w:color w:val="auto"/>
              </w:rPr>
            </w:pPr>
            <w:r>
              <w:rPr>
                <w:rFonts w:ascii="Arial" w:cs="Arial" w:eastAsia="Arial" w:hAnsi="Arial"/>
                <w:sz w:val="14"/>
                <w:szCs w:val="14"/>
                <w:color w:val="auto"/>
              </w:rPr>
              <w:t>(Decrease) increase in base management fee payable, net</w:t>
            </w:r>
          </w:p>
        </w:tc>
        <w:tc>
          <w:tcPr>
            <w:tcW w:w="12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(1,527,199)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216,926</w:t>
            </w: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965,546</w:t>
            </w:r>
          </w:p>
        </w:tc>
        <w:tc>
          <w:tcPr>
            <w:tcW w:w="0" w:type="dxa"/>
            <w:vAlign w:val="bottom"/>
          </w:tcPr>
          <w:p>
            <w:pPr>
              <w:spacing w:after="0"/>
              <w:rPr>
                <w:sz w:val="1"/>
                <w:szCs w:val="1"/>
                <w:color w:val="auto"/>
              </w:rPr>
            </w:pPr>
          </w:p>
        </w:tc>
      </w:tr>
      <w:tr>
        <w:trPr>
          <w:trHeight w:val="148"/>
        </w:trPr>
        <w:tc>
          <w:tcPr>
            <w:tcW w:w="76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(Decrease) increase in performance-based incentive fee payable, net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(2,142,348)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385,038</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347,873</w:t>
            </w:r>
          </w:p>
        </w:tc>
        <w:tc>
          <w:tcPr>
            <w:tcW w:w="0" w:type="dxa"/>
            <w:vAlign w:val="bottom"/>
          </w:tcPr>
          <w:p>
            <w:pPr>
              <w:spacing w:after="0"/>
              <w:rPr>
                <w:sz w:val="1"/>
                <w:szCs w:val="1"/>
                <w:color w:val="auto"/>
              </w:rPr>
            </w:pPr>
          </w:p>
        </w:tc>
      </w:tr>
      <w:tr>
        <w:trPr>
          <w:trHeight w:val="148"/>
        </w:trPr>
        <w:tc>
          <w:tcPr>
            <w:tcW w:w="7680" w:type="dxa"/>
            <w:vAlign w:val="bottom"/>
          </w:tcPr>
          <w:p>
            <w:pPr>
              <w:ind w:left="880"/>
              <w:spacing w:after="0" w:line="149" w:lineRule="exact"/>
              <w:rPr>
                <w:sz w:val="20"/>
                <w:szCs w:val="20"/>
                <w:color w:val="auto"/>
              </w:rPr>
            </w:pPr>
            <w:r>
              <w:rPr>
                <w:rFonts w:ascii="Arial" w:cs="Arial" w:eastAsia="Arial" w:hAnsi="Arial"/>
                <w:sz w:val="14"/>
                <w:szCs w:val="14"/>
                <w:color w:val="auto"/>
              </w:rPr>
              <w:t>(Decrease) increase in accrued other expenses</w:t>
            </w:r>
          </w:p>
        </w:tc>
        <w:tc>
          <w:tcPr>
            <w:tcW w:w="12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(1,699,487)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(791,316)</w:t>
            </w: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1,103,877</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68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157,706,863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3,016,708</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(172,535,005)</w:t>
            </w:r>
          </w:p>
        </w:tc>
        <w:tc>
          <w:tcPr>
            <w:tcW w:w="0" w:type="dxa"/>
            <w:vAlign w:val="bottom"/>
          </w:tcPr>
          <w:p>
            <w:pPr>
              <w:spacing w:after="0"/>
              <w:rPr>
                <w:sz w:val="1"/>
                <w:szCs w:val="1"/>
                <w:color w:val="auto"/>
              </w:rPr>
            </w:pPr>
          </w:p>
        </w:tc>
      </w:tr>
      <w:tr>
        <w:trPr>
          <w:trHeight w:val="155"/>
        </w:trPr>
        <w:tc>
          <w:tcPr>
            <w:tcW w:w="768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Public offerings</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98,855,000</w:t>
            </w:r>
          </w:p>
        </w:tc>
        <w:tc>
          <w:tcPr>
            <w:tcW w:w="0" w:type="dxa"/>
            <w:vAlign w:val="bottom"/>
          </w:tcPr>
          <w:p>
            <w:pPr>
              <w:spacing w:after="0"/>
              <w:rPr>
                <w:sz w:val="1"/>
                <w:szCs w:val="1"/>
                <w:color w:val="auto"/>
              </w:rPr>
            </w:pPr>
          </w:p>
        </w:tc>
      </w:tr>
      <w:tr>
        <w:trPr>
          <w:trHeight w:val="148"/>
        </w:trPr>
        <w:tc>
          <w:tcPr>
            <w:tcW w:w="7680" w:type="dxa"/>
            <w:vAlign w:val="bottom"/>
          </w:tcPr>
          <w:p>
            <w:pPr>
              <w:ind w:left="880"/>
              <w:spacing w:after="0" w:line="149" w:lineRule="exact"/>
              <w:rPr>
                <w:sz w:val="20"/>
                <w:szCs w:val="20"/>
                <w:color w:val="auto"/>
              </w:rPr>
            </w:pPr>
            <w:r>
              <w:rPr>
                <w:rFonts w:ascii="Arial" w:cs="Arial" w:eastAsia="Arial" w:hAnsi="Arial"/>
                <w:sz w:val="14"/>
                <w:szCs w:val="14"/>
                <w:color w:val="auto"/>
              </w:rPr>
              <w:t>Offering costs</w:t>
            </w: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(3,465,650)</w:t>
            </w:r>
          </w:p>
        </w:tc>
        <w:tc>
          <w:tcPr>
            <w:tcW w:w="0" w:type="dxa"/>
            <w:vAlign w:val="bottom"/>
          </w:tcPr>
          <w:p>
            <w:pPr>
              <w:spacing w:after="0"/>
              <w:rPr>
                <w:sz w:val="1"/>
                <w:szCs w:val="1"/>
                <w:color w:val="auto"/>
              </w:rPr>
            </w:pPr>
          </w:p>
        </w:tc>
      </w:tr>
      <w:tr>
        <w:trPr>
          <w:trHeight w:val="148"/>
        </w:trPr>
        <w:tc>
          <w:tcPr>
            <w:tcW w:w="76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Repurchase of common stock</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(12,180,491)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(17,898,517)</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680" w:type="dxa"/>
            <w:vAlign w:val="bottom"/>
          </w:tcPr>
          <w:p>
            <w:pPr>
              <w:ind w:left="880"/>
              <w:spacing w:after="0" w:line="149" w:lineRule="exact"/>
              <w:rPr>
                <w:sz w:val="20"/>
                <w:szCs w:val="20"/>
                <w:color w:val="auto"/>
              </w:rPr>
            </w:pPr>
            <w:r>
              <w:rPr>
                <w:rFonts w:ascii="Arial" w:cs="Arial" w:eastAsia="Arial" w:hAnsi="Arial"/>
                <w:sz w:val="14"/>
                <w:szCs w:val="14"/>
                <w:color w:val="auto"/>
              </w:rPr>
              <w:t>Deferred financing costs</w:t>
            </w:r>
          </w:p>
        </w:tc>
        <w:tc>
          <w:tcPr>
            <w:tcW w:w="12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(1,151,875)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48"/>
        </w:trPr>
        <w:tc>
          <w:tcPr>
            <w:tcW w:w="76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Distributions paid to stockholders</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(80,313,359)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(83,870,760)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(73,462,877)</w:t>
            </w:r>
          </w:p>
        </w:tc>
        <w:tc>
          <w:tcPr>
            <w:tcW w:w="0" w:type="dxa"/>
            <w:vAlign w:val="bottom"/>
          </w:tcPr>
          <w:p>
            <w:pPr>
              <w:spacing w:after="0"/>
              <w:rPr>
                <w:sz w:val="1"/>
                <w:szCs w:val="1"/>
                <w:color w:val="auto"/>
              </w:rPr>
            </w:pPr>
          </w:p>
        </w:tc>
      </w:tr>
      <w:tr>
        <w:trPr>
          <w:trHeight w:val="148"/>
        </w:trPr>
        <w:tc>
          <w:tcPr>
            <w:tcW w:w="7680" w:type="dxa"/>
            <w:vAlign w:val="bottom"/>
          </w:tcPr>
          <w:p>
            <w:pPr>
              <w:ind w:left="880"/>
              <w:spacing w:after="0" w:line="149" w:lineRule="exact"/>
              <w:rPr>
                <w:sz w:val="20"/>
                <w:szCs w:val="20"/>
                <w:color w:val="auto"/>
              </w:rPr>
            </w:pPr>
            <w:r>
              <w:rPr>
                <w:rFonts w:ascii="Arial" w:cs="Arial" w:eastAsia="Arial" w:hAnsi="Arial"/>
                <w:sz w:val="14"/>
                <w:szCs w:val="14"/>
                <w:color w:val="auto"/>
              </w:rPr>
              <w:t>Borrowings under SBA debentures</w:t>
            </w: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47,500,000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6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Proceeds from 2019 and 2025 Notes issuances</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250,000,000</w:t>
            </w:r>
          </w:p>
        </w:tc>
        <w:tc>
          <w:tcPr>
            <w:tcW w:w="0" w:type="dxa"/>
            <w:vAlign w:val="bottom"/>
          </w:tcPr>
          <w:p>
            <w:pPr>
              <w:spacing w:after="0"/>
              <w:rPr>
                <w:sz w:val="1"/>
                <w:szCs w:val="1"/>
                <w:color w:val="auto"/>
              </w:rPr>
            </w:pPr>
          </w:p>
        </w:tc>
      </w:tr>
      <w:tr>
        <w:trPr>
          <w:trHeight w:val="148"/>
        </w:trPr>
        <w:tc>
          <w:tcPr>
            <w:tcW w:w="7680" w:type="dxa"/>
            <w:vAlign w:val="bottom"/>
          </w:tcPr>
          <w:p>
            <w:pPr>
              <w:ind w:left="880"/>
              <w:spacing w:after="0" w:line="149" w:lineRule="exact"/>
              <w:rPr>
                <w:sz w:val="20"/>
                <w:szCs w:val="20"/>
                <w:color w:val="auto"/>
              </w:rPr>
            </w:pPr>
            <w:r>
              <w:rPr>
                <w:rFonts w:ascii="Arial" w:cs="Arial" w:eastAsia="Arial" w:hAnsi="Arial"/>
                <w:sz w:val="14"/>
                <w:szCs w:val="14"/>
                <w:color w:val="auto"/>
              </w:rPr>
              <w:t>Borrowings under Credit Facility</w:t>
            </w: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413,664,923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644,000,000</w:t>
            </w: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1,186,753,100</w:t>
            </w:r>
          </w:p>
        </w:tc>
        <w:tc>
          <w:tcPr>
            <w:tcW w:w="0" w:type="dxa"/>
            <w:vAlign w:val="bottom"/>
          </w:tcPr>
          <w:p>
            <w:pPr>
              <w:spacing w:after="0"/>
              <w:rPr>
                <w:sz w:val="1"/>
                <w:szCs w:val="1"/>
                <w:color w:val="auto"/>
              </w:rPr>
            </w:pPr>
          </w:p>
        </w:tc>
      </w:tr>
      <w:tr>
        <w:trPr>
          <w:trHeight w:val="148"/>
        </w:trPr>
        <w:tc>
          <w:tcPr>
            <w:tcW w:w="76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Repayments under Credit Facility</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(500,189,523)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(562,362,000)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(1,277,026,800)</w:t>
            </w:r>
          </w:p>
        </w:tc>
        <w:tc>
          <w:tcPr>
            <w:tcW w:w="0" w:type="dxa"/>
            <w:vAlign w:val="bottom"/>
          </w:tcPr>
          <w:p>
            <w:pPr>
              <w:spacing w:after="0"/>
              <w:rPr>
                <w:sz w:val="1"/>
                <w:szCs w:val="1"/>
                <w:color w:val="auto"/>
              </w:rPr>
            </w:pPr>
          </w:p>
        </w:tc>
      </w:tr>
      <w:tr>
        <w:trPr>
          <w:trHeight w:val="163"/>
        </w:trPr>
        <w:tc>
          <w:tcPr>
            <w:tcW w:w="7680" w:type="dxa"/>
            <w:vAlign w:val="bottom"/>
          </w:tcPr>
          <w:p>
            <w:pPr>
              <w:ind w:left="130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(132,670,325)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(20,131,277)</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180,902,773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25,036,538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(17,114,569)</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8,367,768</w:t>
            </w:r>
          </w:p>
        </w:tc>
        <w:tc>
          <w:tcPr>
            <w:tcW w:w="0" w:type="dxa"/>
            <w:vAlign w:val="bottom"/>
          </w:tcPr>
          <w:p>
            <w:pPr>
              <w:spacing w:after="0"/>
              <w:rPr>
                <w:sz w:val="1"/>
                <w:szCs w:val="1"/>
                <w:color w:val="auto"/>
              </w:rPr>
            </w:pPr>
          </w:p>
        </w:tc>
      </w:tr>
      <w:tr>
        <w:trPr>
          <w:trHeight w:val="149"/>
        </w:trPr>
        <w:tc>
          <w:tcPr>
            <w:tcW w:w="7680" w:type="dxa"/>
            <w:vAlign w:val="bottom"/>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952,319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215,143</w:t>
            </w:r>
          </w:p>
        </w:tc>
        <w:tc>
          <w:tcPr>
            <w:tcW w:w="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(289,915)</w:t>
            </w:r>
          </w:p>
        </w:tc>
        <w:tc>
          <w:tcPr>
            <w:tcW w:w="0" w:type="dxa"/>
            <w:vAlign w:val="bottom"/>
          </w:tcPr>
          <w:p>
            <w:pPr>
              <w:spacing w:after="0"/>
              <w:rPr>
                <w:sz w:val="1"/>
                <w:szCs w:val="1"/>
                <w:color w:val="auto"/>
              </w:rPr>
            </w:pPr>
          </w:p>
        </w:tc>
      </w:tr>
      <w:tr>
        <w:trPr>
          <w:trHeight w:val="148"/>
        </w:trPr>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beginning of year</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49,619,256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66,518,682</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58,440,829</w:t>
            </w:r>
          </w:p>
        </w:tc>
        <w:tc>
          <w:tcPr>
            <w:tcW w:w="0" w:type="dxa"/>
            <w:vAlign w:val="bottom"/>
          </w:tcPr>
          <w:p>
            <w:pPr>
              <w:spacing w:after="0"/>
              <w:rPr>
                <w:sz w:val="1"/>
                <w:szCs w:val="1"/>
                <w:color w:val="auto"/>
              </w:rPr>
            </w:pPr>
          </w:p>
        </w:tc>
      </w:tr>
      <w:tr>
        <w:trPr>
          <w:trHeight w:val="155"/>
        </w:trPr>
        <w:tc>
          <w:tcPr>
            <w:tcW w:w="7680" w:type="dxa"/>
            <w:vAlign w:val="bottom"/>
          </w:tcPr>
          <w:p>
            <w:pPr>
              <w:spacing w:after="0" w:line="155" w:lineRule="exact"/>
              <w:rPr>
                <w:sz w:val="20"/>
                <w:szCs w:val="20"/>
                <w:color w:val="auto"/>
              </w:rPr>
            </w:pPr>
            <w:r>
              <w:rPr>
                <w:rFonts w:ascii="Arial" w:cs="Arial" w:eastAsia="Arial" w:hAnsi="Arial"/>
                <w:sz w:val="14"/>
                <w:szCs w:val="14"/>
                <w:b w:val="1"/>
                <w:bCs w:val="1"/>
                <w:color w:val="auto"/>
              </w:rPr>
              <w:t>Cash and cash equivalents, end of year</w:t>
            </w: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75,608,113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49,619,256</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66,518,682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tcPr>
          <w:p>
            <w:pPr>
              <w:ind w:left="220"/>
              <w:spacing w:after="0" w:line="149" w:lineRule="exact"/>
              <w:rPr>
                <w:sz w:val="20"/>
                <w:szCs w:val="20"/>
                <w:color w:val="auto"/>
              </w:rPr>
            </w:pPr>
            <w:r>
              <w:rPr>
                <w:rFonts w:ascii="Arial" w:cs="Arial" w:eastAsia="Arial" w:hAnsi="Arial"/>
                <w:sz w:val="14"/>
                <w:szCs w:val="14"/>
                <w:color w:val="auto"/>
              </w:rPr>
              <w:t>Interest paid</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27,093,191</w:t>
            </w:r>
          </w:p>
        </w:tc>
        <w:tc>
          <w:tcPr>
            <w:tcW w:w="26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20,124,075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19,575,955</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8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Taxes paid</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2,549,392</w:t>
            </w:r>
          </w:p>
        </w:tc>
        <w:tc>
          <w:tcPr>
            <w:tcW w:w="260" w:type="dxa"/>
            <w:vAlign w:val="bottom"/>
            <w:gridSpan w:val="2"/>
            <w:shd w:val="clear" w:color="auto" w:fill="CCEEFF"/>
          </w:tcPr>
          <w:p>
            <w:pPr>
              <w:jc w:val="right"/>
              <w:ind w:right="9"/>
              <w:spacing w:after="0" w:line="143"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61,748</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8,278</w:t>
            </w:r>
          </w:p>
        </w:tc>
        <w:tc>
          <w:tcPr>
            <w:tcW w:w="0" w:type="dxa"/>
            <w:vAlign w:val="bottom"/>
          </w:tcPr>
          <w:p>
            <w:pPr>
              <w:spacing w:after="0"/>
              <w:rPr>
                <w:sz w:val="1"/>
                <w:szCs w:val="1"/>
                <w:color w:val="auto"/>
              </w:rPr>
            </w:pPr>
          </w:p>
        </w:tc>
      </w:tr>
      <w:tr>
        <w:trPr>
          <w:trHeight w:val="20"/>
        </w:trPr>
        <w:tc>
          <w:tcPr>
            <w:tcW w:w="7680" w:type="dxa"/>
            <w:vAlign w:val="bottom"/>
            <w:vMerge w:val="restart"/>
          </w:tcPr>
          <w:p>
            <w:pPr>
              <w:ind w:left="220"/>
              <w:spacing w:after="0"/>
              <w:rPr>
                <w:sz w:val="20"/>
                <w:szCs w:val="20"/>
                <w:color w:val="auto"/>
              </w:rPr>
            </w:pPr>
            <w:r>
              <w:rPr>
                <w:rFonts w:ascii="Arial" w:cs="Arial" w:eastAsia="Arial" w:hAnsi="Arial"/>
                <w:sz w:val="14"/>
                <w:szCs w:val="14"/>
                <w:color w:val="auto"/>
              </w:rPr>
              <w:t>Distributions reinvested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80" w:type="dxa"/>
            <w:vAlign w:val="bottom"/>
            <w:vMerge w:val="continue"/>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1,068,682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68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Non-cash exchanges and conversions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62,949,729</w:t>
            </w:r>
          </w:p>
        </w:tc>
        <w:tc>
          <w:tcPr>
            <w:tcW w:w="260" w:type="dxa"/>
            <w:vAlign w:val="bottom"/>
            <w:gridSpan w:val="2"/>
            <w:shd w:val="clear" w:color="auto" w:fill="CCEEFF"/>
          </w:tcPr>
          <w:p>
            <w:pPr>
              <w:jc w:val="right"/>
              <w:ind w:right="9"/>
              <w:spacing w:after="0" w:line="143"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39,765,183</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59,126,053</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jc w:val="center"/>
              <w:ind w:right="77"/>
              <w:spacing w:after="0"/>
              <w:rPr>
                <w:sz w:val="20"/>
                <w:szCs w:val="20"/>
                <w:color w:val="auto"/>
              </w:rPr>
            </w:pPr>
            <w:r>
              <w:rPr>
                <w:rFonts w:ascii="Arial" w:cs="Arial" w:eastAsia="Arial" w:hAnsi="Arial"/>
                <w:sz w:val="13"/>
                <w:szCs w:val="13"/>
                <w:b w:val="1"/>
                <w:bCs w:val="1"/>
                <w:color w:val="auto"/>
                <w:w w:val="84"/>
              </w:rPr>
              <w:t>Basis Point</w:t>
            </w: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6"/>
              </w:rPr>
              <w:t>Spread</w:t>
            </w: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320" w:type="dxa"/>
            <w:vAlign w:val="bottom"/>
          </w:tcPr>
          <w:p>
            <w:pPr>
              <w:ind w:left="620"/>
              <w:spacing w:after="0" w:line="135" w:lineRule="exact"/>
              <w:rPr>
                <w:sz w:val="20"/>
                <w:szCs w:val="20"/>
                <w:color w:val="auto"/>
              </w:rPr>
            </w:pPr>
            <w:r>
              <w:rPr>
                <w:rFonts w:ascii="Arial" w:cs="Arial" w:eastAsia="Arial" w:hAnsi="Arial"/>
                <w:sz w:val="13"/>
                <w:szCs w:val="13"/>
                <w:b w:val="1"/>
                <w:bCs w:val="1"/>
                <w:color w:val="auto"/>
              </w:rPr>
              <w:t>Maturity /</w:t>
            </w:r>
          </w:p>
        </w:tc>
        <w:tc>
          <w:tcPr>
            <w:tcW w:w="1860" w:type="dxa"/>
            <w:vAlign w:val="bottom"/>
          </w:tcPr>
          <w:p>
            <w:pPr>
              <w:spacing w:after="0"/>
              <w:rPr>
                <w:sz w:val="11"/>
                <w:szCs w:val="11"/>
                <w:color w:val="auto"/>
              </w:rPr>
            </w:pPr>
          </w:p>
        </w:tc>
        <w:tc>
          <w:tcPr>
            <w:tcW w:w="940" w:type="dxa"/>
            <w:vAlign w:val="bottom"/>
          </w:tcPr>
          <w:p>
            <w:pPr>
              <w:jc w:val="right"/>
              <w:ind w:right="277"/>
              <w:spacing w:after="0" w:line="135" w:lineRule="exact"/>
              <w:rPr>
                <w:sz w:val="20"/>
                <w:szCs w:val="20"/>
                <w:color w:val="auto"/>
              </w:rPr>
            </w:pPr>
            <w:r>
              <w:rPr>
                <w:rFonts w:ascii="Arial" w:cs="Arial" w:eastAsia="Arial" w:hAnsi="Arial"/>
                <w:sz w:val="13"/>
                <w:szCs w:val="13"/>
                <w:b w:val="1"/>
                <w:bCs w:val="1"/>
                <w:color w:val="auto"/>
              </w:rPr>
              <w:t>Current</w:t>
            </w:r>
          </w:p>
        </w:tc>
        <w:tc>
          <w:tcPr>
            <w:tcW w:w="9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5"/>
              </w:rPr>
              <w:t>Above</w:t>
            </w:r>
          </w:p>
        </w:tc>
        <w:tc>
          <w:tcPr>
            <w:tcW w:w="1020" w:type="dxa"/>
            <w:vAlign w:val="bottom"/>
          </w:tcPr>
          <w:p>
            <w:pPr>
              <w:jc w:val="right"/>
              <w:ind w:right="437"/>
              <w:spacing w:after="0" w:line="135" w:lineRule="exact"/>
              <w:rPr>
                <w:sz w:val="20"/>
                <w:szCs w:val="20"/>
                <w:color w:val="auto"/>
              </w:rPr>
            </w:pPr>
            <w:r>
              <w:rPr>
                <w:rFonts w:ascii="Arial" w:cs="Arial" w:eastAsia="Arial" w:hAnsi="Arial"/>
                <w:sz w:val="13"/>
                <w:szCs w:val="13"/>
                <w:b w:val="1"/>
                <w:bCs w:val="1"/>
                <w:color w:val="auto"/>
              </w:rPr>
              <w:t>Par /</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80" w:type="dxa"/>
            <w:vAlign w:val="bottom"/>
            <w:vMerge w:val="continue"/>
          </w:tcPr>
          <w:p>
            <w:pPr>
              <w:spacing w:after="0"/>
              <w:rPr>
                <w:sz w:val="13"/>
                <w:szCs w:val="13"/>
                <w:color w:val="auto"/>
              </w:rPr>
            </w:pPr>
          </w:p>
        </w:tc>
        <w:tc>
          <w:tcPr>
            <w:tcW w:w="1320" w:type="dxa"/>
            <w:vAlign w:val="bottom"/>
          </w:tcPr>
          <w:p>
            <w:pPr>
              <w:ind w:left="600"/>
              <w:spacing w:after="0"/>
              <w:rPr>
                <w:sz w:val="20"/>
                <w:szCs w:val="20"/>
                <w:color w:val="auto"/>
              </w:rPr>
            </w:pPr>
            <w:r>
              <w:rPr>
                <w:rFonts w:ascii="Arial" w:cs="Arial" w:eastAsia="Arial" w:hAnsi="Arial"/>
                <w:sz w:val="13"/>
                <w:szCs w:val="13"/>
                <w:b w:val="1"/>
                <w:bCs w:val="1"/>
                <w:color w:val="auto"/>
              </w:rPr>
              <w:t>Expiration</w:t>
            </w: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3"/>
              </w:rPr>
              <w:t>Industry</w:t>
            </w:r>
          </w:p>
        </w:tc>
        <w:tc>
          <w:tcPr>
            <w:tcW w:w="940" w:type="dxa"/>
            <w:vAlign w:val="bottom"/>
          </w:tcPr>
          <w:p>
            <w:pPr>
              <w:jc w:val="right"/>
              <w:ind w:right="297"/>
              <w:spacing w:after="0"/>
              <w:rPr>
                <w:sz w:val="20"/>
                <w:szCs w:val="20"/>
                <w:color w:val="auto"/>
              </w:rPr>
            </w:pPr>
            <w:r>
              <w:rPr>
                <w:rFonts w:ascii="Arial" w:cs="Arial" w:eastAsia="Arial" w:hAnsi="Arial"/>
                <w:sz w:val="13"/>
                <w:szCs w:val="13"/>
                <w:b w:val="1"/>
                <w:bCs w:val="1"/>
                <w:color w:val="auto"/>
              </w:rPr>
              <w:t>Coupon</w:t>
            </w:r>
          </w:p>
        </w:tc>
        <w:tc>
          <w:tcPr>
            <w:tcW w:w="980" w:type="dxa"/>
            <w:vAlign w:val="bottom"/>
          </w:tcPr>
          <w:p>
            <w:pPr>
              <w:jc w:val="center"/>
              <w:ind w:right="9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1020" w:type="dxa"/>
            <w:vAlign w:val="bottom"/>
          </w:tcPr>
          <w:p>
            <w:pPr>
              <w:jc w:val="right"/>
              <w:ind w:right="377"/>
              <w:spacing w:after="0"/>
              <w:rPr>
                <w:sz w:val="20"/>
                <w:szCs w:val="20"/>
                <w:color w:val="auto"/>
              </w:rPr>
            </w:pPr>
            <w:r>
              <w:rPr>
                <w:rFonts w:ascii="Arial" w:cs="Arial" w:eastAsia="Arial" w:hAnsi="Arial"/>
                <w:sz w:val="13"/>
                <w:szCs w:val="13"/>
                <w:b w:val="1"/>
                <w:bCs w:val="1"/>
                <w:color w:val="auto"/>
              </w:rPr>
              <w:t>Shares</w:t>
            </w:r>
          </w:p>
        </w:tc>
        <w:tc>
          <w:tcPr>
            <w:tcW w:w="9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Cost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9"/>
              </w:rPr>
              <w:t xml:space="preserve">Fair Value </w:t>
            </w:r>
            <w:r>
              <w:rPr>
                <w:rFonts w:ascii="Arial" w:cs="Arial" w:eastAsia="Arial" w:hAnsi="Arial"/>
                <w:sz w:val="10"/>
                <w:szCs w:val="10"/>
                <w:b w:val="1"/>
                <w:bCs w:val="1"/>
                <w:color w:val="auto"/>
                <w:w w:val="89"/>
              </w:rPr>
              <w:t>(3)</w:t>
            </w:r>
          </w:p>
        </w:tc>
        <w:tc>
          <w:tcPr>
            <w:tcW w:w="0" w:type="dxa"/>
            <w:vAlign w:val="bottom"/>
          </w:tcPr>
          <w:p>
            <w:pPr>
              <w:spacing w:after="0"/>
              <w:rPr>
                <w:sz w:val="1"/>
                <w:szCs w:val="1"/>
                <w:color w:val="auto"/>
              </w:rPr>
            </w:pPr>
          </w:p>
        </w:tc>
      </w:tr>
      <w:tr>
        <w:trPr>
          <w:trHeight w:val="128"/>
        </w:trPr>
        <w:tc>
          <w:tcPr>
            <w:tcW w:w="460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1"/>
              </w:rPr>
              <w:t xml:space="preserve">Investments in Non-Controlled, Non-Affiliated Portfolio Companies—126.4% </w:t>
            </w:r>
            <w:r>
              <w:rPr>
                <w:rFonts w:ascii="Arial" w:cs="Arial" w:eastAsia="Arial" w:hAnsi="Arial"/>
                <w:sz w:val="10"/>
                <w:szCs w:val="10"/>
                <w:b w:val="1"/>
                <w:bCs w:val="1"/>
                <w:color w:val="auto"/>
                <w:w w:val="91"/>
              </w:rPr>
              <w:t>(1), (2)</w:t>
            </w:r>
          </w:p>
        </w:tc>
        <w:tc>
          <w:tcPr>
            <w:tcW w:w="18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Debt—38.7%</w:t>
            </w:r>
          </w:p>
        </w:tc>
        <w:tc>
          <w:tcPr>
            <w:tcW w:w="1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 Gaming I, LLC</w:t>
            </w:r>
          </w:p>
        </w:tc>
        <w:tc>
          <w:tcPr>
            <w:tcW w:w="132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12/21/2020</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Hotels, Motels, Inns and Gaming</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9.25%</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L+825</w:t>
            </w:r>
          </w:p>
        </w:tc>
        <w:tc>
          <w:tcPr>
            <w:tcW w:w="102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23,333,361</w:t>
            </w:r>
          </w:p>
        </w:tc>
        <w:tc>
          <w:tcPr>
            <w:tcW w:w="9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w w:val="89"/>
              </w:rPr>
              <w:t>$ 23,071,460</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7"/>
              </w:rPr>
              <w:t>$  22,210,559</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Broder Bros., Co., Tranche A</w:t>
            </w:r>
          </w:p>
        </w:tc>
        <w:tc>
          <w:tcPr>
            <w:tcW w:w="132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06/03/2021</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102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9,150,000</w:t>
            </w:r>
          </w:p>
        </w:tc>
        <w:tc>
          <w:tcPr>
            <w:tcW w:w="9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8,989,610</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9,085,577</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Broder Bros., Co., Tranche B</w:t>
            </w:r>
          </w:p>
        </w:tc>
        <w:tc>
          <w:tcPr>
            <w:tcW w:w="132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06/03/2021</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13.50%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L+1,225</w:t>
            </w:r>
          </w:p>
        </w:tc>
        <w:tc>
          <w:tcPr>
            <w:tcW w:w="102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9,225,000</w:t>
            </w:r>
          </w:p>
        </w:tc>
        <w:tc>
          <w:tcPr>
            <w:tcW w:w="9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9,058,699</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9,160,048</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32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10/21/2020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L+800</w:t>
            </w:r>
          </w:p>
        </w:tc>
        <w:tc>
          <w:tcPr>
            <w:tcW w:w="102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4,372,074</w:t>
            </w:r>
          </w:p>
        </w:tc>
        <w:tc>
          <w:tcPr>
            <w:tcW w:w="9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4,323,938</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4,284,632</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Interior Specialists, Inc.</w:t>
            </w:r>
          </w:p>
        </w:tc>
        <w:tc>
          <w:tcPr>
            <w:tcW w:w="132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06/30/2020</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3"/>
              </w:rPr>
              <w:t>Building Materials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L+800</w:t>
            </w:r>
          </w:p>
        </w:tc>
        <w:tc>
          <w:tcPr>
            <w:tcW w:w="102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24,985,195</w:t>
            </w:r>
          </w:p>
        </w:tc>
        <w:tc>
          <w:tcPr>
            <w:tcW w:w="9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24,786,989</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24,985,195</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K2 Pure Solutions NoCal, L.P.</w:t>
            </w:r>
          </w:p>
        </w:tc>
        <w:tc>
          <w:tcPr>
            <w:tcW w:w="132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02/19/2021</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10.00%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L+900</w:t>
            </w:r>
          </w:p>
        </w:tc>
        <w:tc>
          <w:tcPr>
            <w:tcW w:w="102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14,522,529</w:t>
            </w:r>
          </w:p>
        </w:tc>
        <w:tc>
          <w:tcPr>
            <w:tcW w:w="9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14,273,869</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14,244,486</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LSF9 Atlantis Holdings, LLC</w:t>
            </w:r>
          </w:p>
        </w:tc>
        <w:tc>
          <w:tcPr>
            <w:tcW w:w="132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01/15/2021</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10.00%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L+900</w:t>
            </w:r>
          </w:p>
        </w:tc>
        <w:tc>
          <w:tcPr>
            <w:tcW w:w="102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38,391,045</w:t>
            </w:r>
          </w:p>
        </w:tc>
        <w:tc>
          <w:tcPr>
            <w:tcW w:w="9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37,888,445</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38,391,045</w:t>
            </w:r>
          </w:p>
        </w:tc>
        <w:tc>
          <w:tcPr>
            <w:tcW w:w="0" w:type="dxa"/>
            <w:vAlign w:val="bottom"/>
          </w:tcPr>
          <w:p>
            <w:pPr>
              <w:spacing w:after="0"/>
              <w:rPr>
                <w:sz w:val="1"/>
                <w:szCs w:val="1"/>
                <w:color w:val="auto"/>
              </w:rPr>
            </w:pPr>
          </w:p>
        </w:tc>
      </w:tr>
      <w:tr>
        <w:trPr>
          <w:trHeight w:val="121"/>
        </w:trPr>
        <w:tc>
          <w:tcPr>
            <w:tcW w:w="3280" w:type="dxa"/>
            <w:vAlign w:val="bottom"/>
          </w:tcPr>
          <w:p>
            <w:pPr>
              <w:spacing w:after="0" w:line="121" w:lineRule="exact"/>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10"/>
                <w:szCs w:val="10"/>
                <w:color w:val="auto"/>
              </w:rPr>
              <w:t>(5)</w:t>
            </w:r>
          </w:p>
        </w:tc>
        <w:tc>
          <w:tcPr>
            <w:tcW w:w="1320" w:type="dxa"/>
            <w:vAlign w:val="bottom"/>
          </w:tcPr>
          <w:p>
            <w:pPr>
              <w:jc w:val="center"/>
              <w:ind w:left="417"/>
              <w:spacing w:after="0" w:line="121" w:lineRule="exact"/>
              <w:rPr>
                <w:sz w:val="20"/>
                <w:szCs w:val="20"/>
                <w:color w:val="auto"/>
              </w:rPr>
            </w:pPr>
            <w:r>
              <w:rPr>
                <w:rFonts w:ascii="Arial" w:cs="Arial" w:eastAsia="Arial" w:hAnsi="Arial"/>
                <w:sz w:val="13"/>
                <w:szCs w:val="13"/>
                <w:color w:val="auto"/>
                <w:w w:val="86"/>
              </w:rPr>
              <w:t>12/16/2019</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90"/>
              </w:rPr>
              <w:t>Mining, Steel, Iron and Non-</w:t>
            </w:r>
          </w:p>
        </w:tc>
        <w:tc>
          <w:tcPr>
            <w:tcW w:w="9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11.50%</w:t>
            </w:r>
          </w:p>
        </w:tc>
        <w:tc>
          <w:tcPr>
            <w:tcW w:w="98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257"/>
              <w:spacing w:after="0" w:line="121" w:lineRule="exact"/>
              <w:rPr>
                <w:sz w:val="20"/>
                <w:szCs w:val="20"/>
                <w:color w:val="auto"/>
              </w:rPr>
            </w:pPr>
            <w:r>
              <w:rPr>
                <w:rFonts w:ascii="Arial" w:cs="Arial" w:eastAsia="Arial" w:hAnsi="Arial"/>
                <w:sz w:val="13"/>
                <w:szCs w:val="13"/>
                <w:color w:val="auto"/>
              </w:rPr>
              <w:t>14,250,000</w:t>
            </w:r>
          </w:p>
        </w:tc>
        <w:tc>
          <w:tcPr>
            <w:tcW w:w="98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14,156,176</w:t>
            </w:r>
          </w:p>
        </w:tc>
        <w:tc>
          <w:tcPr>
            <w:tcW w:w="8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13,359,375</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86"/>
              </w:rPr>
              <w:t>Precious Metals</w:t>
            </w: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w:t>
            </w:r>
          </w:p>
        </w:tc>
        <w:tc>
          <w:tcPr>
            <w:tcW w:w="132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06/18/2019</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8.50%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L+700</w:t>
            </w:r>
          </w:p>
        </w:tc>
        <w:tc>
          <w:tcPr>
            <w:tcW w:w="102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15,948,113</w:t>
            </w:r>
          </w:p>
        </w:tc>
        <w:tc>
          <w:tcPr>
            <w:tcW w:w="9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15,875,684</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15,970,121</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32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04/21/2017</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L+750</w:t>
            </w:r>
          </w:p>
        </w:tc>
        <w:tc>
          <w:tcPr>
            <w:tcW w:w="102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18,306,549</w:t>
            </w:r>
          </w:p>
        </w:tc>
        <w:tc>
          <w:tcPr>
            <w:tcW w:w="9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18,075,370</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18,215,016</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Triad Manufacturing, Inc.</w:t>
            </w:r>
          </w:p>
        </w:tc>
        <w:tc>
          <w:tcPr>
            <w:tcW w:w="132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12/28/2020</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Manufacturing / Basic Industries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11.27%</w:t>
            </w:r>
          </w:p>
        </w:tc>
        <w:tc>
          <w:tcPr>
            <w:tcW w:w="9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L+1,075</w:t>
            </w:r>
            <w:r>
              <w:rPr>
                <w:rFonts w:ascii="Arial" w:cs="Arial" w:eastAsia="Arial" w:hAnsi="Arial"/>
                <w:sz w:val="10"/>
                <w:szCs w:val="10"/>
                <w:color w:val="auto"/>
              </w:rPr>
              <w:t>(7)</w:t>
            </w:r>
          </w:p>
        </w:tc>
        <w:tc>
          <w:tcPr>
            <w:tcW w:w="102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28,859,421</w:t>
            </w:r>
          </w:p>
        </w:tc>
        <w:tc>
          <w:tcPr>
            <w:tcW w:w="9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28,349,720</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28,859,421</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 xml:space="preserve">Trust Inns Limited </w:t>
            </w:r>
            <w:r>
              <w:rPr>
                <w:rFonts w:ascii="Arial" w:cs="Arial" w:eastAsia="Arial" w:hAnsi="Arial"/>
                <w:sz w:val="10"/>
                <w:szCs w:val="10"/>
                <w:color w:val="auto"/>
              </w:rPr>
              <w:t>(9), (11), (12)</w:t>
            </w:r>
          </w:p>
        </w:tc>
        <w:tc>
          <w:tcPr>
            <w:tcW w:w="132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02/12/2020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Buildings and Real Estate</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10.88%</w:t>
            </w:r>
          </w:p>
        </w:tc>
        <w:tc>
          <w:tcPr>
            <w:tcW w:w="9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(7)</w:t>
            </w:r>
          </w:p>
        </w:tc>
        <w:tc>
          <w:tcPr>
            <w:tcW w:w="102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22,512,751</w:t>
            </w:r>
          </w:p>
        </w:tc>
        <w:tc>
          <w:tcPr>
            <w:tcW w:w="9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35,990,065</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28,703,752</w:t>
            </w:r>
          </w:p>
        </w:tc>
        <w:tc>
          <w:tcPr>
            <w:tcW w:w="0" w:type="dxa"/>
            <w:vAlign w:val="bottom"/>
          </w:tcPr>
          <w:p>
            <w:pPr>
              <w:spacing w:after="0"/>
              <w:rPr>
                <w:sz w:val="1"/>
                <w:szCs w:val="1"/>
                <w:color w:val="auto"/>
              </w:rPr>
            </w:pPr>
          </w:p>
        </w:tc>
      </w:tr>
      <w:tr>
        <w:trPr>
          <w:trHeight w:val="121"/>
        </w:trPr>
        <w:tc>
          <w:tcPr>
            <w:tcW w:w="32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US Med Acquisition, Inc.</w:t>
            </w:r>
          </w:p>
        </w:tc>
        <w:tc>
          <w:tcPr>
            <w:tcW w:w="1320" w:type="dxa"/>
            <w:vAlign w:val="bottom"/>
            <w:shd w:val="clear" w:color="auto" w:fill="CCEEFF"/>
          </w:tcPr>
          <w:p>
            <w:pPr>
              <w:jc w:val="center"/>
              <w:ind w:left="417"/>
              <w:spacing w:after="0" w:line="121" w:lineRule="exact"/>
              <w:rPr>
                <w:sz w:val="20"/>
                <w:szCs w:val="20"/>
                <w:color w:val="auto"/>
              </w:rPr>
            </w:pPr>
            <w:r>
              <w:rPr>
                <w:rFonts w:ascii="Arial" w:cs="Arial" w:eastAsia="Arial" w:hAnsi="Arial"/>
                <w:sz w:val="13"/>
                <w:szCs w:val="13"/>
                <w:color w:val="auto"/>
                <w:w w:val="86"/>
              </w:rPr>
              <w:t>08/13/2021</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94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10.00%</w:t>
            </w:r>
          </w:p>
        </w:tc>
        <w:tc>
          <w:tcPr>
            <w:tcW w:w="98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L+900</w:t>
            </w:r>
          </w:p>
        </w:tc>
        <w:tc>
          <w:tcPr>
            <w:tcW w:w="1020" w:type="dxa"/>
            <w:vAlign w:val="bottom"/>
            <w:shd w:val="clear" w:color="auto" w:fill="CCEEFF"/>
          </w:tcPr>
          <w:p>
            <w:pPr>
              <w:jc w:val="right"/>
              <w:ind w:right="257"/>
              <w:spacing w:after="0" w:line="121" w:lineRule="exact"/>
              <w:rPr>
                <w:sz w:val="20"/>
                <w:szCs w:val="20"/>
                <w:color w:val="auto"/>
              </w:rPr>
            </w:pPr>
            <w:r>
              <w:rPr>
                <w:rFonts w:ascii="Arial" w:cs="Arial" w:eastAsia="Arial" w:hAnsi="Arial"/>
                <w:sz w:val="13"/>
                <w:szCs w:val="13"/>
                <w:color w:val="auto"/>
              </w:rPr>
              <w:t>8,651,563</w:t>
            </w:r>
          </w:p>
        </w:tc>
        <w:tc>
          <w:tcPr>
            <w:tcW w:w="98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8,651,563</w:t>
            </w:r>
          </w:p>
        </w:tc>
        <w:tc>
          <w:tcPr>
            <w:tcW w:w="8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8,651,563</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Childcare</w:t>
            </w:r>
          </w:p>
        </w:tc>
        <w:tc>
          <w:tcPr>
            <w:tcW w:w="9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80" w:type="dxa"/>
            <w:vAlign w:val="bottom"/>
          </w:tcPr>
          <w:p>
            <w:pPr>
              <w:spacing w:after="0" w:line="121" w:lineRule="exact"/>
              <w:rPr>
                <w:sz w:val="20"/>
                <w:szCs w:val="20"/>
                <w:color w:val="auto"/>
              </w:rPr>
            </w:pPr>
            <w:r>
              <w:rPr>
                <w:rFonts w:ascii="Arial" w:cs="Arial" w:eastAsia="Arial" w:hAnsi="Arial"/>
                <w:sz w:val="13"/>
                <w:szCs w:val="13"/>
                <w:color w:val="auto"/>
              </w:rPr>
              <w:t>U.S. Well Services, LLC</w:t>
            </w:r>
          </w:p>
        </w:tc>
        <w:tc>
          <w:tcPr>
            <w:tcW w:w="1320" w:type="dxa"/>
            <w:vAlign w:val="bottom"/>
          </w:tcPr>
          <w:p>
            <w:pPr>
              <w:jc w:val="center"/>
              <w:ind w:left="417"/>
              <w:spacing w:after="0" w:line="121" w:lineRule="exact"/>
              <w:rPr>
                <w:sz w:val="20"/>
                <w:szCs w:val="20"/>
                <w:color w:val="auto"/>
              </w:rPr>
            </w:pPr>
            <w:r>
              <w:rPr>
                <w:rFonts w:ascii="Arial" w:cs="Arial" w:eastAsia="Arial" w:hAnsi="Arial"/>
                <w:sz w:val="13"/>
                <w:szCs w:val="13"/>
                <w:color w:val="auto"/>
                <w:w w:val="86"/>
              </w:rPr>
              <w:t>05/02/2019</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9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14.02%</w:t>
            </w:r>
          </w:p>
        </w:tc>
        <w:tc>
          <w:tcPr>
            <w:tcW w:w="980" w:type="dxa"/>
            <w:vAlign w:val="bottom"/>
          </w:tcPr>
          <w:p>
            <w:pPr>
              <w:jc w:val="right"/>
              <w:ind w:right="77"/>
              <w:spacing w:after="0" w:line="121" w:lineRule="exact"/>
              <w:rPr>
                <w:sz w:val="20"/>
                <w:szCs w:val="20"/>
                <w:color w:val="auto"/>
              </w:rPr>
            </w:pPr>
            <w:r>
              <w:rPr>
                <w:rFonts w:ascii="Arial" w:cs="Arial" w:eastAsia="Arial" w:hAnsi="Arial"/>
                <w:sz w:val="13"/>
                <w:szCs w:val="13"/>
                <w:color w:val="auto"/>
              </w:rPr>
              <w:t>L+1,350</w:t>
            </w:r>
            <w:r>
              <w:rPr>
                <w:rFonts w:ascii="Arial" w:cs="Arial" w:eastAsia="Arial" w:hAnsi="Arial"/>
                <w:sz w:val="10"/>
                <w:szCs w:val="10"/>
                <w:color w:val="auto"/>
              </w:rPr>
              <w:t>(7)</w:t>
            </w:r>
          </w:p>
        </w:tc>
        <w:tc>
          <w:tcPr>
            <w:tcW w:w="1020" w:type="dxa"/>
            <w:vAlign w:val="bottom"/>
          </w:tcPr>
          <w:p>
            <w:pPr>
              <w:jc w:val="right"/>
              <w:ind w:right="257"/>
              <w:spacing w:after="0" w:line="121" w:lineRule="exact"/>
              <w:rPr>
                <w:sz w:val="20"/>
                <w:szCs w:val="20"/>
                <w:color w:val="auto"/>
              </w:rPr>
            </w:pPr>
            <w:r>
              <w:rPr>
                <w:rFonts w:ascii="Arial" w:cs="Arial" w:eastAsia="Arial" w:hAnsi="Arial"/>
                <w:sz w:val="13"/>
                <w:szCs w:val="13"/>
                <w:color w:val="auto"/>
              </w:rPr>
              <w:t>14,988,321</w:t>
            </w:r>
          </w:p>
        </w:tc>
        <w:tc>
          <w:tcPr>
            <w:tcW w:w="98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14,796,715</w:t>
            </w:r>
          </w:p>
        </w:tc>
        <w:tc>
          <w:tcPr>
            <w:tcW w:w="8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12,912,527</w:t>
            </w:r>
          </w:p>
        </w:tc>
        <w:tc>
          <w:tcPr>
            <w:tcW w:w="0" w:type="dxa"/>
            <w:vAlign w:val="bottom"/>
          </w:tcPr>
          <w:p>
            <w:pPr>
              <w:spacing w:after="0"/>
              <w:rPr>
                <w:sz w:val="1"/>
                <w:szCs w:val="1"/>
                <w:color w:val="auto"/>
              </w:rPr>
            </w:pPr>
          </w:p>
        </w:tc>
      </w:tr>
      <w:tr>
        <w:trPr>
          <w:trHeight w:val="170"/>
        </w:trPr>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(PIK 14.02%)</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13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w w:val="94"/>
              </w:rPr>
              <w:t>258,288,303</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6"/>
              </w:rPr>
              <w:t>249,033,317</w:t>
            </w: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Arial" w:cs="Arial" w:eastAsia="Arial" w:hAnsi="Arial"/>
                <w:sz w:val="13"/>
                <w:szCs w:val="13"/>
                <w:b w:val="1"/>
                <w:bCs w:val="1"/>
                <w:color w:val="auto"/>
              </w:rPr>
              <w:t>Second Lien Secured Debt—61.0%</w:t>
            </w:r>
          </w:p>
        </w:tc>
        <w:tc>
          <w:tcPr>
            <w:tcW w:w="1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1320" w:type="dxa"/>
            <w:vAlign w:val="bottom"/>
            <w:shd w:val="clear" w:color="auto" w:fill="CCEEFF"/>
          </w:tcPr>
          <w:p>
            <w:pPr>
              <w:jc w:val="center"/>
              <w:ind w:left="417"/>
              <w:spacing w:after="0" w:line="121" w:lineRule="exact"/>
              <w:rPr>
                <w:sz w:val="20"/>
                <w:szCs w:val="20"/>
                <w:color w:val="auto"/>
              </w:rPr>
            </w:pPr>
            <w:r>
              <w:rPr>
                <w:rFonts w:ascii="Arial" w:cs="Arial" w:eastAsia="Arial" w:hAnsi="Arial"/>
                <w:sz w:val="13"/>
                <w:szCs w:val="13"/>
                <w:color w:val="auto"/>
                <w:w w:val="86"/>
              </w:rPr>
              <w:t>09/01/2017</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Diversified Natural Resources,</w:t>
            </w:r>
          </w:p>
        </w:tc>
        <w:tc>
          <w:tcPr>
            <w:tcW w:w="94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8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257"/>
              <w:spacing w:after="0" w:line="121" w:lineRule="exact"/>
              <w:rPr>
                <w:sz w:val="20"/>
                <w:szCs w:val="20"/>
                <w:color w:val="auto"/>
              </w:rPr>
            </w:pPr>
            <w:r>
              <w:rPr>
                <w:rFonts w:ascii="Arial" w:cs="Arial" w:eastAsia="Arial" w:hAnsi="Arial"/>
                <w:sz w:val="13"/>
                <w:szCs w:val="13"/>
                <w:color w:val="auto"/>
              </w:rPr>
              <w:t>25,400,000</w:t>
            </w:r>
          </w:p>
        </w:tc>
        <w:tc>
          <w:tcPr>
            <w:tcW w:w="98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25,400,000</w:t>
            </w:r>
          </w:p>
        </w:tc>
        <w:tc>
          <w:tcPr>
            <w:tcW w:w="8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17,780,000</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Precious Metals and Minerals</w:t>
            </w:r>
          </w:p>
        </w:tc>
        <w:tc>
          <w:tcPr>
            <w:tcW w:w="9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 xml:space="preserve">Balboa Capital Corporation </w:t>
            </w:r>
            <w:r>
              <w:rPr>
                <w:rFonts w:ascii="Arial" w:cs="Arial" w:eastAsia="Arial" w:hAnsi="Arial"/>
                <w:sz w:val="10"/>
                <w:szCs w:val="10"/>
                <w:color w:val="auto"/>
              </w:rPr>
              <w:t>(12)</w:t>
            </w:r>
          </w:p>
        </w:tc>
        <w:tc>
          <w:tcPr>
            <w:tcW w:w="132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03/04/2022</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13.75%</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28,500,000</w:t>
            </w:r>
          </w:p>
        </w:tc>
        <w:tc>
          <w:tcPr>
            <w:tcW w:w="9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28,253,554</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28,500,000</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Bennu Oil &amp; Gas, LLC</w:t>
            </w:r>
          </w:p>
        </w:tc>
        <w:tc>
          <w:tcPr>
            <w:tcW w:w="132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11/01/2018</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26,979,281</w:t>
            </w:r>
          </w:p>
        </w:tc>
        <w:tc>
          <w:tcPr>
            <w:tcW w:w="9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25,422,260</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8,633,370</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Howard Berger Co. LLC</w:t>
            </w:r>
          </w:p>
        </w:tc>
        <w:tc>
          <w:tcPr>
            <w:tcW w:w="132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09/30/2020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11.00%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L+1,000</w:t>
            </w:r>
          </w:p>
        </w:tc>
        <w:tc>
          <w:tcPr>
            <w:tcW w:w="102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41,250,000</w:t>
            </w:r>
          </w:p>
        </w:tc>
        <w:tc>
          <w:tcPr>
            <w:tcW w:w="9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39,419,316</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37,125,000</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Intermediate Transportation 100, LLC </w:t>
            </w:r>
            <w:r>
              <w:rPr>
                <w:rFonts w:ascii="Arial" w:cs="Arial" w:eastAsia="Arial" w:hAnsi="Arial"/>
                <w:sz w:val="10"/>
                <w:szCs w:val="10"/>
                <w:color w:val="auto"/>
              </w:rPr>
              <w:t>(5)</w:t>
            </w:r>
          </w:p>
        </w:tc>
        <w:tc>
          <w:tcPr>
            <w:tcW w:w="132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03/01/2017</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Cargo Transport</w:t>
            </w:r>
          </w:p>
        </w:tc>
        <w:tc>
          <w:tcPr>
            <w:tcW w:w="9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4,887,760</w:t>
            </w:r>
          </w:p>
        </w:tc>
        <w:tc>
          <w:tcPr>
            <w:tcW w:w="9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3,739,797</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2,932,656</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Jacobs Entertainment, Inc.</w:t>
            </w:r>
          </w:p>
        </w:tc>
        <w:tc>
          <w:tcPr>
            <w:tcW w:w="132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10/29/2019</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Hotels, Motels, Inns and Gaming</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13.00%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L+1,175</w:t>
            </w:r>
          </w:p>
        </w:tc>
        <w:tc>
          <w:tcPr>
            <w:tcW w:w="102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51,775,000</w:t>
            </w:r>
          </w:p>
        </w:tc>
        <w:tc>
          <w:tcPr>
            <w:tcW w:w="9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51,362,786</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51,775,000</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MailSouth, Inc.</w:t>
            </w:r>
          </w:p>
        </w:tc>
        <w:tc>
          <w:tcPr>
            <w:tcW w:w="132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10/22/2021</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Printing and Publishing</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11.50%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L+1,050</w:t>
            </w:r>
          </w:p>
        </w:tc>
        <w:tc>
          <w:tcPr>
            <w:tcW w:w="102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26,425,000</w:t>
            </w:r>
          </w:p>
        </w:tc>
        <w:tc>
          <w:tcPr>
            <w:tcW w:w="9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25,926,258</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26,425,000</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Novitex Acquisition, LLC</w:t>
            </w:r>
          </w:p>
        </w:tc>
        <w:tc>
          <w:tcPr>
            <w:tcW w:w="132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07/07/2021</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12.25%</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L+1,100</w:t>
            </w:r>
          </w:p>
        </w:tc>
        <w:tc>
          <w:tcPr>
            <w:tcW w:w="102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41,250,000</w:t>
            </w:r>
          </w:p>
        </w:tc>
        <w:tc>
          <w:tcPr>
            <w:tcW w:w="9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40,929,816</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41,250,000</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Parq Holdings Limited Partnership </w:t>
            </w:r>
            <w:r>
              <w:rPr>
                <w:rFonts w:ascii="Arial" w:cs="Arial" w:eastAsia="Arial" w:hAnsi="Arial"/>
                <w:sz w:val="10"/>
                <w:szCs w:val="10"/>
                <w:color w:val="auto"/>
              </w:rPr>
              <w:t>(9), (12)</w:t>
            </w:r>
          </w:p>
        </w:tc>
        <w:tc>
          <w:tcPr>
            <w:tcW w:w="132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12/17/2021</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Hotels, Motels, Inns and Gaming</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13.00%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L+1,200</w:t>
            </w:r>
          </w:p>
        </w:tc>
        <w:tc>
          <w:tcPr>
            <w:tcW w:w="102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75,000,000</w:t>
            </w:r>
          </w:p>
        </w:tc>
        <w:tc>
          <w:tcPr>
            <w:tcW w:w="9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75,000,000</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76,229,058</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Penton Media, Inc.</w:t>
            </w:r>
          </w:p>
        </w:tc>
        <w:tc>
          <w:tcPr>
            <w:tcW w:w="132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10/02/2020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90"/>
              </w:rPr>
              <w:t>Media</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L+775</w:t>
            </w:r>
          </w:p>
        </w:tc>
        <w:tc>
          <w:tcPr>
            <w:tcW w:w="102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18,270,159</w:t>
            </w:r>
          </w:p>
        </w:tc>
        <w:tc>
          <w:tcPr>
            <w:tcW w:w="9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18,101,798</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18,201,646</w:t>
            </w:r>
          </w:p>
        </w:tc>
        <w:tc>
          <w:tcPr>
            <w:tcW w:w="0" w:type="dxa"/>
            <w:vAlign w:val="bottom"/>
          </w:tcPr>
          <w:p>
            <w:pPr>
              <w:spacing w:after="0"/>
              <w:rPr>
                <w:sz w:val="1"/>
                <w:szCs w:val="1"/>
                <w:color w:val="auto"/>
              </w:rPr>
            </w:pPr>
          </w:p>
        </w:tc>
      </w:tr>
      <w:tr>
        <w:trPr>
          <w:trHeight w:val="121"/>
        </w:trPr>
        <w:tc>
          <w:tcPr>
            <w:tcW w:w="32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Pre-Paid Legal Services, Inc.</w:t>
            </w:r>
          </w:p>
        </w:tc>
        <w:tc>
          <w:tcPr>
            <w:tcW w:w="1320" w:type="dxa"/>
            <w:vAlign w:val="bottom"/>
            <w:shd w:val="clear" w:color="auto" w:fill="CCEEFF"/>
          </w:tcPr>
          <w:p>
            <w:pPr>
              <w:jc w:val="center"/>
              <w:ind w:left="417"/>
              <w:spacing w:after="0" w:line="121" w:lineRule="exact"/>
              <w:rPr>
                <w:sz w:val="20"/>
                <w:szCs w:val="20"/>
                <w:color w:val="auto"/>
              </w:rPr>
            </w:pPr>
            <w:r>
              <w:rPr>
                <w:rFonts w:ascii="Arial" w:cs="Arial" w:eastAsia="Arial" w:hAnsi="Arial"/>
                <w:sz w:val="13"/>
                <w:szCs w:val="13"/>
                <w:color w:val="auto"/>
                <w:w w:val="86"/>
              </w:rPr>
              <w:t>07/01/2020</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94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10.25%</w:t>
            </w:r>
          </w:p>
        </w:tc>
        <w:tc>
          <w:tcPr>
            <w:tcW w:w="98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L+900</w:t>
            </w:r>
          </w:p>
        </w:tc>
        <w:tc>
          <w:tcPr>
            <w:tcW w:w="1020" w:type="dxa"/>
            <w:vAlign w:val="bottom"/>
            <w:shd w:val="clear" w:color="auto" w:fill="CCEEFF"/>
          </w:tcPr>
          <w:p>
            <w:pPr>
              <w:jc w:val="right"/>
              <w:ind w:right="257"/>
              <w:spacing w:after="0" w:line="121" w:lineRule="exact"/>
              <w:rPr>
                <w:sz w:val="20"/>
                <w:szCs w:val="20"/>
                <w:color w:val="auto"/>
              </w:rPr>
            </w:pPr>
            <w:r>
              <w:rPr>
                <w:rFonts w:ascii="Arial" w:cs="Arial" w:eastAsia="Arial" w:hAnsi="Arial"/>
                <w:sz w:val="13"/>
                <w:szCs w:val="13"/>
                <w:color w:val="auto"/>
              </w:rPr>
              <w:t>56,750,000</w:t>
            </w:r>
          </w:p>
        </w:tc>
        <w:tc>
          <w:tcPr>
            <w:tcW w:w="98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56,202,295</w:t>
            </w:r>
          </w:p>
        </w:tc>
        <w:tc>
          <w:tcPr>
            <w:tcW w:w="8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56,087,727</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Miscellaneous Services</w:t>
            </w:r>
          </w:p>
        </w:tc>
        <w:tc>
          <w:tcPr>
            <w:tcW w:w="9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80" w:type="dxa"/>
            <w:vAlign w:val="bottom"/>
          </w:tcPr>
          <w:p>
            <w:pPr>
              <w:spacing w:after="0" w:line="121" w:lineRule="exact"/>
              <w:rPr>
                <w:sz w:val="20"/>
                <w:szCs w:val="20"/>
                <w:color w:val="auto"/>
              </w:rPr>
            </w:pPr>
            <w:r>
              <w:rPr>
                <w:rFonts w:ascii="Arial" w:cs="Arial" w:eastAsia="Arial" w:hAnsi="Arial"/>
                <w:sz w:val="13"/>
                <w:szCs w:val="13"/>
                <w:color w:val="auto"/>
              </w:rPr>
              <w:t>Prime Security Services Borrower, LLC</w:t>
            </w:r>
          </w:p>
        </w:tc>
        <w:tc>
          <w:tcPr>
            <w:tcW w:w="1320" w:type="dxa"/>
            <w:vAlign w:val="bottom"/>
          </w:tcPr>
          <w:p>
            <w:pPr>
              <w:jc w:val="center"/>
              <w:ind w:left="417"/>
              <w:spacing w:after="0" w:line="121" w:lineRule="exact"/>
              <w:rPr>
                <w:sz w:val="20"/>
                <w:szCs w:val="20"/>
                <w:color w:val="auto"/>
              </w:rPr>
            </w:pPr>
            <w:r>
              <w:rPr>
                <w:rFonts w:ascii="Arial" w:cs="Arial" w:eastAsia="Arial" w:hAnsi="Arial"/>
                <w:sz w:val="13"/>
                <w:szCs w:val="13"/>
                <w:color w:val="auto"/>
                <w:w w:val="86"/>
              </w:rPr>
              <w:t>07/01/2022</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9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9.75%</w:t>
            </w:r>
          </w:p>
        </w:tc>
        <w:tc>
          <w:tcPr>
            <w:tcW w:w="98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L+875</w:t>
            </w:r>
          </w:p>
        </w:tc>
        <w:tc>
          <w:tcPr>
            <w:tcW w:w="1020" w:type="dxa"/>
            <w:vAlign w:val="bottom"/>
          </w:tcPr>
          <w:p>
            <w:pPr>
              <w:jc w:val="right"/>
              <w:ind w:right="257"/>
              <w:spacing w:after="0" w:line="121" w:lineRule="exact"/>
              <w:rPr>
                <w:sz w:val="20"/>
                <w:szCs w:val="20"/>
                <w:color w:val="auto"/>
              </w:rPr>
            </w:pPr>
            <w:r>
              <w:rPr>
                <w:rFonts w:ascii="Arial" w:cs="Arial" w:eastAsia="Arial" w:hAnsi="Arial"/>
                <w:sz w:val="13"/>
                <w:szCs w:val="13"/>
                <w:color w:val="auto"/>
              </w:rPr>
              <w:t>14,798,077</w:t>
            </w:r>
          </w:p>
        </w:tc>
        <w:tc>
          <w:tcPr>
            <w:tcW w:w="98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14,613,655</w:t>
            </w:r>
          </w:p>
        </w:tc>
        <w:tc>
          <w:tcPr>
            <w:tcW w:w="8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15,029,371</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88"/>
              </w:rPr>
              <w:t>Miscellaneous Services</w:t>
            </w: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VT Buyer Acquisition Corp.</w:t>
            </w:r>
          </w:p>
        </w:tc>
        <w:tc>
          <w:tcPr>
            <w:tcW w:w="132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01/30/2023</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10.75%</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L+975</w:t>
            </w:r>
          </w:p>
        </w:tc>
        <w:tc>
          <w:tcPr>
            <w:tcW w:w="102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12,862,500</w:t>
            </w:r>
          </w:p>
        </w:tc>
        <w:tc>
          <w:tcPr>
            <w:tcW w:w="9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12,441,130</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12,862,500</w:t>
            </w:r>
          </w:p>
        </w:tc>
        <w:tc>
          <w:tcPr>
            <w:tcW w:w="0" w:type="dxa"/>
            <w:vAlign w:val="bottom"/>
          </w:tcPr>
          <w:p>
            <w:pPr>
              <w:spacing w:after="0"/>
              <w:rPr>
                <w:sz w:val="1"/>
                <w:szCs w:val="1"/>
                <w:color w:val="auto"/>
              </w:rPr>
            </w:pPr>
          </w:p>
        </w:tc>
      </w:tr>
      <w:tr>
        <w:trPr>
          <w:trHeight w:val="149"/>
        </w:trPr>
        <w:tc>
          <w:tcPr>
            <w:tcW w:w="3280" w:type="dxa"/>
            <w:vAlign w:val="bottom"/>
          </w:tcPr>
          <w:p>
            <w:pPr>
              <w:spacing w:after="0" w:line="142" w:lineRule="exact"/>
              <w:rPr>
                <w:sz w:val="20"/>
                <w:szCs w:val="20"/>
                <w:color w:val="auto"/>
              </w:rPr>
            </w:pPr>
            <w:r>
              <w:rPr>
                <w:rFonts w:ascii="Arial" w:cs="Arial" w:eastAsia="Arial" w:hAnsi="Arial"/>
                <w:sz w:val="13"/>
                <w:szCs w:val="13"/>
                <w:b w:val="1"/>
                <w:bCs w:val="1"/>
                <w:color w:val="auto"/>
              </w:rPr>
              <w:t>Total Second Lien Secured Debt</w:t>
            </w:r>
          </w:p>
        </w:tc>
        <w:tc>
          <w:tcPr>
            <w:tcW w:w="1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4"/>
              </w:rPr>
              <w:t>416,812,665</w:t>
            </w:r>
          </w:p>
        </w:tc>
        <w:tc>
          <w:tcPr>
            <w:tcW w:w="2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392,831,328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Subordinated Debt/Corporate Notes—15.9%</w:t>
            </w:r>
          </w:p>
        </w:tc>
        <w:tc>
          <w:tcPr>
            <w:tcW w:w="13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Alegeus Technologies, LLC</w:t>
            </w:r>
          </w:p>
        </w:tc>
        <w:tc>
          <w:tcPr>
            <w:tcW w:w="132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02/15/2019</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13.00%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L+1,200</w:t>
            </w:r>
          </w:p>
        </w:tc>
        <w:tc>
          <w:tcPr>
            <w:tcW w:w="102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8,930,000</w:t>
            </w:r>
          </w:p>
        </w:tc>
        <w:tc>
          <w:tcPr>
            <w:tcW w:w="9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8,844,669</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8,831,201</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Cascade Environmental LLC</w:t>
            </w:r>
          </w:p>
        </w:tc>
        <w:tc>
          <w:tcPr>
            <w:tcW w:w="132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08/20/2021</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12.00%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32,675,553</w:t>
            </w:r>
          </w:p>
        </w:tc>
        <w:tc>
          <w:tcPr>
            <w:tcW w:w="9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32,055,101</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32,675,553</w:t>
            </w:r>
          </w:p>
        </w:tc>
        <w:tc>
          <w:tcPr>
            <w:tcW w:w="0" w:type="dxa"/>
            <w:vAlign w:val="bottom"/>
          </w:tcPr>
          <w:p>
            <w:pPr>
              <w:spacing w:after="0"/>
              <w:rPr>
                <w:sz w:val="1"/>
                <w:szCs w:val="1"/>
                <w:color w:val="auto"/>
              </w:rPr>
            </w:pPr>
          </w:p>
        </w:tc>
      </w:tr>
      <w:tr>
        <w:trPr>
          <w:trHeight w:val="121"/>
        </w:trPr>
        <w:tc>
          <w:tcPr>
            <w:tcW w:w="3280" w:type="dxa"/>
            <w:vAlign w:val="bottom"/>
          </w:tcPr>
          <w:p>
            <w:pPr>
              <w:spacing w:after="0" w:line="121" w:lineRule="exact"/>
              <w:rPr>
                <w:sz w:val="20"/>
                <w:szCs w:val="20"/>
                <w:color w:val="auto"/>
              </w:rPr>
            </w:pPr>
            <w:r>
              <w:rPr>
                <w:rFonts w:ascii="Arial" w:cs="Arial" w:eastAsia="Arial" w:hAnsi="Arial"/>
                <w:sz w:val="13"/>
                <w:szCs w:val="13"/>
                <w:color w:val="auto"/>
              </w:rPr>
              <w:t>Credit Infonet, Inc.</w:t>
            </w:r>
          </w:p>
        </w:tc>
        <w:tc>
          <w:tcPr>
            <w:tcW w:w="1320" w:type="dxa"/>
            <w:vAlign w:val="bottom"/>
          </w:tcPr>
          <w:p>
            <w:pPr>
              <w:jc w:val="center"/>
              <w:ind w:left="417"/>
              <w:spacing w:after="0" w:line="121" w:lineRule="exact"/>
              <w:rPr>
                <w:sz w:val="20"/>
                <w:szCs w:val="20"/>
                <w:color w:val="auto"/>
              </w:rPr>
            </w:pPr>
            <w:r>
              <w:rPr>
                <w:rFonts w:ascii="Arial" w:cs="Arial" w:eastAsia="Arial" w:hAnsi="Arial"/>
                <w:sz w:val="13"/>
                <w:szCs w:val="13"/>
                <w:color w:val="auto"/>
                <w:w w:val="86"/>
              </w:rPr>
              <w:t>10/26/2018</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9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13.00%</w:t>
            </w:r>
          </w:p>
        </w:tc>
        <w:tc>
          <w:tcPr>
            <w:tcW w:w="98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257"/>
              <w:spacing w:after="0" w:line="121" w:lineRule="exact"/>
              <w:rPr>
                <w:sz w:val="20"/>
                <w:szCs w:val="20"/>
                <w:color w:val="auto"/>
              </w:rPr>
            </w:pPr>
            <w:r>
              <w:rPr>
                <w:rFonts w:ascii="Arial" w:cs="Arial" w:eastAsia="Arial" w:hAnsi="Arial"/>
                <w:sz w:val="13"/>
                <w:szCs w:val="13"/>
                <w:color w:val="auto"/>
              </w:rPr>
              <w:t>11,035,083</w:t>
            </w:r>
          </w:p>
        </w:tc>
        <w:tc>
          <w:tcPr>
            <w:tcW w:w="98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10,937,329</w:t>
            </w:r>
          </w:p>
        </w:tc>
        <w:tc>
          <w:tcPr>
            <w:tcW w:w="8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10,538,501</w:t>
            </w:r>
          </w:p>
        </w:tc>
        <w:tc>
          <w:tcPr>
            <w:tcW w:w="0" w:type="dxa"/>
            <w:vAlign w:val="bottom"/>
          </w:tcPr>
          <w:p>
            <w:pPr>
              <w:spacing w:after="0"/>
              <w:rPr>
                <w:sz w:val="1"/>
                <w:szCs w:val="1"/>
                <w:color w:val="auto"/>
              </w:rPr>
            </w:pPr>
          </w:p>
        </w:tc>
      </w:tr>
      <w:tr>
        <w:trPr>
          <w:trHeight w:val="161"/>
        </w:trPr>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88"/>
              </w:rPr>
              <w:t>Miscellaneous Services</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(PIK 1.75%)</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8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 xml:space="preserve">Goldsun Trading Limited </w:t>
            </w:r>
            <w:r>
              <w:rPr>
                <w:rFonts w:ascii="Arial" w:cs="Arial" w:eastAsia="Arial" w:hAnsi="Arial"/>
                <w:sz w:val="10"/>
                <w:szCs w:val="10"/>
                <w:color w:val="auto"/>
              </w:rPr>
              <w:t>(9), (11), (12)</w:t>
            </w:r>
          </w:p>
        </w:tc>
        <w:tc>
          <w:tcPr>
            <w:tcW w:w="1320" w:type="dxa"/>
            <w:vAlign w:val="bottom"/>
            <w:shd w:val="clear" w:color="auto" w:fill="CCEEFF"/>
          </w:tcPr>
          <w:p>
            <w:pPr>
              <w:jc w:val="center"/>
              <w:ind w:left="417"/>
              <w:spacing w:after="0" w:line="122" w:lineRule="exact"/>
              <w:rPr>
                <w:sz w:val="20"/>
                <w:szCs w:val="20"/>
                <w:color w:val="auto"/>
              </w:rPr>
            </w:pPr>
            <w:r>
              <w:rPr>
                <w:rFonts w:ascii="Arial" w:cs="Arial" w:eastAsia="Arial" w:hAnsi="Arial"/>
                <w:sz w:val="13"/>
                <w:szCs w:val="13"/>
                <w:color w:val="auto"/>
                <w:w w:val="86"/>
              </w:rPr>
              <w:t>02/19/2018</w:t>
            </w:r>
          </w:p>
        </w:tc>
        <w:tc>
          <w:tcPr>
            <w:tcW w:w="186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6"/>
              </w:rPr>
              <w:t>Healthcare, Education and</w:t>
            </w:r>
          </w:p>
        </w:tc>
        <w:tc>
          <w:tcPr>
            <w:tcW w:w="940" w:type="dxa"/>
            <w:vAlign w:val="bottom"/>
            <w:shd w:val="clear" w:color="auto" w:fill="CCEEFF"/>
          </w:tcPr>
          <w:p>
            <w:pPr>
              <w:jc w:val="right"/>
              <w:ind w:right="97"/>
              <w:spacing w:after="0" w:line="122" w:lineRule="exact"/>
              <w:rPr>
                <w:sz w:val="20"/>
                <w:szCs w:val="20"/>
                <w:color w:val="auto"/>
              </w:rPr>
            </w:pPr>
            <w:r>
              <w:rPr>
                <w:rFonts w:ascii="Arial" w:cs="Arial" w:eastAsia="Arial" w:hAnsi="Arial"/>
                <w:sz w:val="13"/>
                <w:szCs w:val="13"/>
                <w:color w:val="auto"/>
              </w:rPr>
              <w:t>14.50%</w:t>
            </w:r>
          </w:p>
        </w:tc>
        <w:tc>
          <w:tcPr>
            <w:tcW w:w="980" w:type="dxa"/>
            <w:vAlign w:val="bottom"/>
            <w:shd w:val="clear" w:color="auto" w:fill="CCEEFF"/>
          </w:tcPr>
          <w:p>
            <w:pPr>
              <w:jc w:val="right"/>
              <w:ind w:right="197"/>
              <w:spacing w:after="0" w:line="122" w:lineRule="exact"/>
              <w:rPr>
                <w:sz w:val="20"/>
                <w:szCs w:val="20"/>
                <w:color w:val="auto"/>
              </w:rPr>
            </w:pPr>
            <w:r>
              <w:rPr>
                <w:rFonts w:ascii="Arial" w:cs="Arial" w:eastAsia="Arial" w:hAnsi="Arial"/>
                <w:sz w:val="13"/>
                <w:szCs w:val="13"/>
                <w:color w:val="auto"/>
              </w:rPr>
              <w:t>L+1,000</w:t>
            </w:r>
          </w:p>
        </w:tc>
        <w:tc>
          <w:tcPr>
            <w:tcW w:w="1020" w:type="dxa"/>
            <w:vAlign w:val="bottom"/>
            <w:shd w:val="clear" w:color="auto" w:fill="CCEEFF"/>
          </w:tcPr>
          <w:p>
            <w:pPr>
              <w:jc w:val="right"/>
              <w:ind w:right="257"/>
              <w:spacing w:after="0" w:line="122" w:lineRule="exact"/>
              <w:rPr>
                <w:sz w:val="20"/>
                <w:szCs w:val="20"/>
                <w:color w:val="auto"/>
              </w:rPr>
            </w:pPr>
            <w:r>
              <w:rPr>
                <w:rFonts w:ascii="Arial" w:cs="Arial" w:eastAsia="Arial" w:hAnsi="Arial"/>
                <w:sz w:val="13"/>
                <w:szCs w:val="13"/>
                <w:color w:val="auto"/>
              </w:rPr>
              <w:t>8,375,600</w:t>
            </w:r>
          </w:p>
        </w:tc>
        <w:tc>
          <w:tcPr>
            <w:tcW w:w="98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3"/>
                <w:szCs w:val="13"/>
                <w:color w:val="auto"/>
              </w:rPr>
              <w:t>12,306,414</w:t>
            </w:r>
          </w:p>
        </w:tc>
        <w:tc>
          <w:tcPr>
            <w:tcW w:w="8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3"/>
                <w:szCs w:val="13"/>
                <w:color w:val="auto"/>
              </w:rPr>
              <w:t>10,855,976</w:t>
            </w:r>
          </w:p>
        </w:tc>
        <w:tc>
          <w:tcPr>
            <w:tcW w:w="0" w:type="dxa"/>
            <w:vAlign w:val="bottom"/>
          </w:tcPr>
          <w:p>
            <w:pPr>
              <w:spacing w:after="0"/>
              <w:rPr>
                <w:sz w:val="1"/>
                <w:szCs w:val="1"/>
                <w:color w:val="auto"/>
              </w:rPr>
            </w:pPr>
          </w:p>
        </w:tc>
      </w:tr>
      <w:tr>
        <w:trPr>
          <w:trHeight w:val="163"/>
        </w:trPr>
        <w:tc>
          <w:tcPr>
            <w:tcW w:w="3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Childcare</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(PIK 6.00%)</w:t>
            </w:r>
          </w:p>
        </w:tc>
        <w:tc>
          <w:tcPr>
            <w:tcW w:w="9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Randall-Reilly, LLC</w:t>
            </w:r>
          </w:p>
        </w:tc>
        <w:tc>
          <w:tcPr>
            <w:tcW w:w="132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04/15/2020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12.00%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26,500,000</w:t>
            </w:r>
          </w:p>
        </w:tc>
        <w:tc>
          <w:tcPr>
            <w:tcW w:w="9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26,617,239</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26,309,750</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Roto Holdings, Inc.</w:t>
            </w:r>
          </w:p>
        </w:tc>
        <w:tc>
          <w:tcPr>
            <w:tcW w:w="132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05/13/2021</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Manufacturing / Basic Industries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11.00%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13,300,000</w:t>
            </w:r>
          </w:p>
        </w:tc>
        <w:tc>
          <w:tcPr>
            <w:tcW w:w="9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13,090,281</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13,300,000</w:t>
            </w:r>
          </w:p>
        </w:tc>
        <w:tc>
          <w:tcPr>
            <w:tcW w:w="0" w:type="dxa"/>
            <w:vAlign w:val="bottom"/>
          </w:tcPr>
          <w:p>
            <w:pPr>
              <w:spacing w:after="0"/>
              <w:rPr>
                <w:sz w:val="1"/>
                <w:szCs w:val="1"/>
                <w:color w:val="auto"/>
              </w:rPr>
            </w:pPr>
          </w:p>
        </w:tc>
      </w:tr>
      <w:tr>
        <w:trPr>
          <w:trHeight w:val="149"/>
        </w:trPr>
        <w:tc>
          <w:tcPr>
            <w:tcW w:w="3280" w:type="dxa"/>
            <w:vAlign w:val="bottom"/>
          </w:tcPr>
          <w:p>
            <w:pPr>
              <w:spacing w:after="0" w:line="142" w:lineRule="exact"/>
              <w:rPr>
                <w:sz w:val="20"/>
                <w:szCs w:val="20"/>
                <w:color w:val="auto"/>
              </w:rPr>
            </w:pPr>
            <w:r>
              <w:rPr>
                <w:rFonts w:ascii="Arial" w:cs="Arial" w:eastAsia="Arial" w:hAnsi="Arial"/>
                <w:sz w:val="13"/>
                <w:szCs w:val="13"/>
                <w:b w:val="1"/>
                <w:bCs w:val="1"/>
                <w:color w:val="auto"/>
              </w:rPr>
              <w:t>Total Subordinated Debt/Corporate Notes</w:t>
            </w:r>
          </w:p>
        </w:tc>
        <w:tc>
          <w:tcPr>
            <w:tcW w:w="1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4"/>
              </w:rPr>
              <w:t>103,851,033</w:t>
            </w:r>
          </w:p>
        </w:tc>
        <w:tc>
          <w:tcPr>
            <w:tcW w:w="2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102,510,981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Equity/Partnership Interests—0.8% </w:t>
            </w:r>
            <w:r>
              <w:rPr>
                <w:rFonts w:ascii="Arial" w:cs="Arial" w:eastAsia="Arial" w:hAnsi="Arial"/>
                <w:sz w:val="10"/>
                <w:szCs w:val="10"/>
                <w:b w:val="1"/>
                <w:bCs w:val="1"/>
                <w:color w:val="auto"/>
              </w:rPr>
              <w:t>(6)</w:t>
            </w:r>
          </w:p>
        </w:tc>
        <w:tc>
          <w:tcPr>
            <w:tcW w:w="13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280" w:type="dxa"/>
            <w:vAlign w:val="bottom"/>
          </w:tcPr>
          <w:p>
            <w:pPr>
              <w:spacing w:after="0" w:line="121" w:lineRule="exact"/>
              <w:rPr>
                <w:sz w:val="20"/>
                <w:szCs w:val="20"/>
                <w:color w:val="auto"/>
              </w:rPr>
            </w:pPr>
            <w:r>
              <w:rPr>
                <w:rFonts w:ascii="Arial" w:cs="Arial" w:eastAsia="Arial" w:hAnsi="Arial"/>
                <w:sz w:val="13"/>
                <w:szCs w:val="13"/>
                <w:color w:val="auto"/>
              </w:rPr>
              <w:t>AH Holdings, Inc.</w:t>
            </w:r>
          </w:p>
        </w:tc>
        <w:tc>
          <w:tcPr>
            <w:tcW w:w="1320" w:type="dxa"/>
            <w:vAlign w:val="bottom"/>
          </w:tcPr>
          <w:p>
            <w:pPr>
              <w:jc w:val="center"/>
              <w:ind w:left="417"/>
              <w:spacing w:after="0" w:line="121" w:lineRule="exact"/>
              <w:rPr>
                <w:sz w:val="20"/>
                <w:szCs w:val="20"/>
                <w:color w:val="auto"/>
              </w:rPr>
            </w:pPr>
            <w:r>
              <w:rPr>
                <w:rFonts w:ascii="Arial" w:cs="Arial" w:eastAsia="Arial" w:hAnsi="Arial"/>
                <w:sz w:val="13"/>
                <w:szCs w:val="13"/>
                <w:color w:val="auto"/>
                <w:w w:val="91"/>
              </w:rPr>
              <w:t>—</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9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6.00%</w:t>
            </w:r>
          </w:p>
        </w:tc>
        <w:tc>
          <w:tcPr>
            <w:tcW w:w="98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257"/>
              <w:spacing w:after="0" w:line="121" w:lineRule="exact"/>
              <w:rPr>
                <w:sz w:val="20"/>
                <w:szCs w:val="20"/>
                <w:color w:val="auto"/>
              </w:rPr>
            </w:pPr>
            <w:r>
              <w:rPr>
                <w:rFonts w:ascii="Arial" w:cs="Arial" w:eastAsia="Arial" w:hAnsi="Arial"/>
                <w:sz w:val="13"/>
                <w:szCs w:val="13"/>
                <w:color w:val="auto"/>
              </w:rPr>
              <w:t>211</w:t>
            </w:r>
          </w:p>
        </w:tc>
        <w:tc>
          <w:tcPr>
            <w:tcW w:w="98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500,000</w:t>
            </w:r>
          </w:p>
        </w:tc>
        <w:tc>
          <w:tcPr>
            <w:tcW w:w="8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128,457</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87"/>
              </w:rPr>
              <w:t>Childcare</w:t>
            </w: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132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949</w:t>
            </w:r>
          </w:p>
        </w:tc>
        <w:tc>
          <w:tcPr>
            <w:tcW w:w="9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949,050</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1,081,633</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132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8.00%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2,375</w:t>
            </w:r>
          </w:p>
        </w:tc>
        <w:tc>
          <w:tcPr>
            <w:tcW w:w="9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2,088,121</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2,396,892</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w:t>
            </w:r>
          </w:p>
        </w:tc>
        <w:tc>
          <w:tcPr>
            <w:tcW w:w="132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8.00%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3,591</w:t>
            </w:r>
          </w:p>
        </w:tc>
        <w:tc>
          <w:tcPr>
            <w:tcW w:w="9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32,476</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132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8"/>
              </w:rPr>
              <w:t>Manufacturing / Basic Industries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1,197</w:t>
            </w:r>
          </w:p>
        </w:tc>
        <w:tc>
          <w:tcPr>
            <w:tcW w:w="9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1,197,000</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1,404,944</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Equity/Partnership Interests</w:t>
            </w:r>
          </w:p>
        </w:tc>
        <w:tc>
          <w:tcPr>
            <w:tcW w:w="13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4,734,171</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5,044,402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40"/>
          </w:cols>
          <w:pgMar w:left="320" w:top="459"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1"/>
              </w:rPr>
              <w:t>Basis Point</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Spread</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84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Maturity /</w:t>
            </w:r>
          </w:p>
        </w:tc>
        <w:tc>
          <w:tcPr>
            <w:tcW w:w="2020" w:type="dxa"/>
            <w:vAlign w:val="bottom"/>
          </w:tcPr>
          <w:p>
            <w:pPr>
              <w:spacing w:after="0"/>
              <w:rPr>
                <w:sz w:val="11"/>
                <w:szCs w:val="11"/>
                <w:color w:val="auto"/>
              </w:rPr>
            </w:pPr>
          </w:p>
        </w:tc>
        <w:tc>
          <w:tcPr>
            <w:tcW w:w="1020" w:type="dxa"/>
            <w:vAlign w:val="bottom"/>
          </w:tcPr>
          <w:p>
            <w:pPr>
              <w:jc w:val="right"/>
              <w:ind w:right="377"/>
              <w:spacing w:after="0" w:line="135" w:lineRule="exact"/>
              <w:rPr>
                <w:sz w:val="20"/>
                <w:szCs w:val="20"/>
                <w:color w:val="auto"/>
              </w:rPr>
            </w:pPr>
            <w:r>
              <w:rPr>
                <w:rFonts w:ascii="Arial" w:cs="Arial" w:eastAsia="Arial" w:hAnsi="Arial"/>
                <w:sz w:val="13"/>
                <w:szCs w:val="13"/>
                <w:b w:val="1"/>
                <w:bCs w:val="1"/>
                <w:color w:val="auto"/>
              </w:rPr>
              <w:t>Current</w:t>
            </w: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Above</w:t>
            </w:r>
          </w:p>
        </w:tc>
        <w:tc>
          <w:tcPr>
            <w:tcW w:w="74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rPr>
              <w:t>Par /</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60" w:type="dxa"/>
            <w:vAlign w:val="bottom"/>
            <w:vMerge w:val="continue"/>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3"/>
                <w:szCs w:val="13"/>
                <w:b w:val="1"/>
                <w:bCs w:val="1"/>
                <w:color w:val="auto"/>
              </w:rPr>
              <w:t>Expiration</w:t>
            </w:r>
          </w:p>
        </w:tc>
        <w:tc>
          <w:tcPr>
            <w:tcW w:w="2020" w:type="dxa"/>
            <w:vAlign w:val="bottom"/>
          </w:tcPr>
          <w:p>
            <w:pPr>
              <w:jc w:val="center"/>
              <w:ind w:right="77"/>
              <w:spacing w:after="0"/>
              <w:rPr>
                <w:sz w:val="20"/>
                <w:szCs w:val="20"/>
                <w:color w:val="auto"/>
              </w:rPr>
            </w:pPr>
            <w:r>
              <w:rPr>
                <w:rFonts w:ascii="Arial" w:cs="Arial" w:eastAsia="Arial" w:hAnsi="Arial"/>
                <w:sz w:val="13"/>
                <w:szCs w:val="13"/>
                <w:b w:val="1"/>
                <w:bCs w:val="1"/>
                <w:color w:val="auto"/>
                <w:w w:val="93"/>
              </w:rPr>
              <w:t>Industry</w:t>
            </w:r>
          </w:p>
        </w:tc>
        <w:tc>
          <w:tcPr>
            <w:tcW w:w="1020" w:type="dxa"/>
            <w:vAlign w:val="bottom"/>
          </w:tcPr>
          <w:p>
            <w:pPr>
              <w:jc w:val="right"/>
              <w:ind w:right="377"/>
              <w:spacing w:after="0"/>
              <w:rPr>
                <w:sz w:val="20"/>
                <w:szCs w:val="20"/>
                <w:color w:val="auto"/>
              </w:rPr>
            </w:pPr>
            <w:r>
              <w:rPr>
                <w:rFonts w:ascii="Arial" w:cs="Arial" w:eastAsia="Arial" w:hAnsi="Arial"/>
                <w:sz w:val="13"/>
                <w:szCs w:val="13"/>
                <w:b w:val="1"/>
                <w:bCs w:val="1"/>
                <w:color w:val="auto"/>
              </w:rPr>
              <w:t>Coupon</w:t>
            </w: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7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76"/>
        </w:trPr>
        <w:tc>
          <w:tcPr>
            <w:tcW w:w="33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w w:val="93"/>
              </w:rPr>
              <w:t xml:space="preserve">Common Equity/Partnership Interests/Warrants—10.0% </w:t>
            </w:r>
            <w:r>
              <w:rPr>
                <w:rFonts w:ascii="Arial" w:cs="Arial" w:eastAsia="Arial" w:hAnsi="Arial"/>
                <w:sz w:val="10"/>
                <w:szCs w:val="10"/>
                <w:b w:val="1"/>
                <w:bCs w:val="1"/>
                <w:color w:val="auto"/>
                <w:w w:val="93"/>
              </w:rPr>
              <w:t>(6)</w:t>
            </w: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202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AH Holdings, Inc. (Warrants)</w:t>
            </w:r>
          </w:p>
        </w:tc>
        <w:tc>
          <w:tcPr>
            <w:tcW w:w="84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9"/>
              </w:rPr>
              <w:t>03/23/2021</w:t>
            </w:r>
          </w:p>
        </w:tc>
        <w:tc>
          <w:tcPr>
            <w:tcW w:w="202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102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753</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9"/>
              </w:rPr>
              <w:t>Financial Services</w:t>
            </w:r>
          </w:p>
        </w:tc>
        <w:tc>
          <w:tcPr>
            <w:tcW w:w="10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950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1,083</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ASP LCG Holdings, Inc. (Warrants)</w:t>
            </w:r>
          </w:p>
        </w:tc>
        <w:tc>
          <w:tcPr>
            <w:tcW w:w="84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9"/>
              </w:rPr>
              <w:t>05/05/2026</w:t>
            </w:r>
          </w:p>
        </w:tc>
        <w:tc>
          <w:tcPr>
            <w:tcW w:w="202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6"/>
              </w:rPr>
              <w:t>Education</w:t>
            </w:r>
          </w:p>
        </w:tc>
        <w:tc>
          <w:tcPr>
            <w:tcW w:w="102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933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586,975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1,192,535</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Autumn Games, LLC</w:t>
            </w:r>
          </w:p>
        </w:tc>
        <w:tc>
          <w:tcPr>
            <w:tcW w:w="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7"/>
              </w:rPr>
              <w:t>Broadcasting and Entertainment</w:t>
            </w:r>
          </w:p>
        </w:tc>
        <w:tc>
          <w:tcPr>
            <w:tcW w:w="10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1,333,330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3,000,000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360" w:type="dxa"/>
            <w:vAlign w:val="bottom"/>
          </w:tcPr>
          <w:p>
            <w:pPr>
              <w:spacing w:after="0" w:line="121" w:lineRule="exact"/>
              <w:rPr>
                <w:sz w:val="20"/>
                <w:szCs w:val="20"/>
                <w:color w:val="auto"/>
              </w:rPr>
            </w:pPr>
            <w:r>
              <w:rPr>
                <w:rFonts w:ascii="Arial" w:cs="Arial" w:eastAsia="Arial" w:hAnsi="Arial"/>
                <w:sz w:val="13"/>
                <w:szCs w:val="13"/>
                <w:color w:val="auto"/>
              </w:rPr>
              <w:t xml:space="preserve">Cardinal Logistics Holdings LLC </w:t>
            </w:r>
            <w:r>
              <w:rPr>
                <w:rFonts w:ascii="Arial" w:cs="Arial" w:eastAsia="Arial" w:hAnsi="Arial"/>
                <w:sz w:val="10"/>
                <w:szCs w:val="10"/>
                <w:color w:val="auto"/>
              </w:rPr>
              <w:t>(10)</w:t>
            </w:r>
          </w:p>
        </w:tc>
        <w:tc>
          <w:tcPr>
            <w:tcW w:w="84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86"/>
              </w:rPr>
              <w:t>Cargo Transport</w:t>
            </w:r>
          </w:p>
        </w:tc>
        <w:tc>
          <w:tcPr>
            <w:tcW w:w="1020" w:type="dxa"/>
            <w:vAlign w:val="bottom"/>
          </w:tcPr>
          <w:p>
            <w:pPr>
              <w:jc w:val="right"/>
              <w:ind w:right="237"/>
              <w:spacing w:after="0" w:line="121"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0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137,923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2,111,588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360" w:type="dxa"/>
            <w:vAlign w:val="bottom"/>
          </w:tcPr>
          <w:p>
            <w:pPr>
              <w:ind w:left="140"/>
              <w:spacing w:after="0"/>
              <w:rPr>
                <w:sz w:val="20"/>
                <w:szCs w:val="20"/>
                <w:color w:val="auto"/>
              </w:rPr>
            </w:pPr>
            <w:r>
              <w:rPr>
                <w:rFonts w:ascii="Arial" w:cs="Arial" w:eastAsia="Arial" w:hAnsi="Arial"/>
                <w:sz w:val="13"/>
                <w:szCs w:val="13"/>
                <w:color w:val="auto"/>
              </w:rPr>
              <w:t>(Intermediate Transportation 100, LLC)</w:t>
            </w:r>
          </w:p>
        </w:tc>
        <w:tc>
          <w:tcPr>
            <w:tcW w:w="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Cascade Environmental LLC </w:t>
            </w:r>
            <w:r>
              <w:rPr>
                <w:rFonts w:ascii="Arial" w:cs="Arial" w:eastAsia="Arial" w:hAnsi="Arial"/>
                <w:sz w:val="10"/>
                <w:szCs w:val="10"/>
                <w:color w:val="auto"/>
              </w:rPr>
              <w:t>(10)</w:t>
            </w:r>
          </w:p>
        </w:tc>
        <w:tc>
          <w:tcPr>
            <w:tcW w:w="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9"/>
              </w:rPr>
              <w:t>Environmental Services</w:t>
            </w:r>
          </w:p>
        </w:tc>
        <w:tc>
          <w:tcPr>
            <w:tcW w:w="10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23,600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2,360,000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5,194,738</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 xml:space="preserve">CI (Galls) Prime Investment Holdings, LLC </w:t>
            </w:r>
            <w:r>
              <w:rPr>
                <w:rFonts w:ascii="Arial" w:cs="Arial" w:eastAsia="Arial" w:hAnsi="Arial"/>
                <w:sz w:val="10"/>
                <w:szCs w:val="10"/>
                <w:color w:val="auto"/>
              </w:rPr>
              <w:t>(10)</w:t>
            </w:r>
          </w:p>
        </w:tc>
        <w:tc>
          <w:tcPr>
            <w:tcW w:w="84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5"/>
              </w:rPr>
              <w:t>Distribution</w:t>
            </w:r>
          </w:p>
        </w:tc>
        <w:tc>
          <w:tcPr>
            <w:tcW w:w="102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1,745,639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1,745,639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3,637,907</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91"/>
              </w:rPr>
              <w:t>Electronics</w:t>
            </w:r>
          </w:p>
        </w:tc>
        <w:tc>
          <w:tcPr>
            <w:tcW w:w="10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2,375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2,671,422</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e.l.f. Beauty, Inc.</w:t>
            </w:r>
          </w:p>
        </w:tc>
        <w:tc>
          <w:tcPr>
            <w:tcW w:w="84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5"/>
              </w:rPr>
              <w:t>Consumer Products</w:t>
            </w:r>
          </w:p>
        </w:tc>
        <w:tc>
          <w:tcPr>
            <w:tcW w:w="102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938,399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2,513,193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25,141,220</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Faraday Holdings, LLC (Interior Specialists, Inc.)</w:t>
            </w:r>
          </w:p>
        </w:tc>
        <w:tc>
          <w:tcPr>
            <w:tcW w:w="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91"/>
              </w:rPr>
              <w:t>Building Materials</w:t>
            </w:r>
          </w:p>
        </w:tc>
        <w:tc>
          <w:tcPr>
            <w:tcW w:w="10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4,277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217,635</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354,555</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HW Holdco, LLC</w:t>
            </w:r>
          </w:p>
        </w:tc>
        <w:tc>
          <w:tcPr>
            <w:tcW w:w="84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9"/>
              </w:rPr>
              <w:t>Other Media</w:t>
            </w:r>
          </w:p>
        </w:tc>
        <w:tc>
          <w:tcPr>
            <w:tcW w:w="102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388,378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3,512,420</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Kadmon Holdings, Inc.</w:t>
            </w:r>
          </w:p>
        </w:tc>
        <w:tc>
          <w:tcPr>
            <w:tcW w:w="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10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252,014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2,265,639</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1,849,783</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 xml:space="preserve">LaMi Acquisition, LLC </w:t>
            </w:r>
            <w:r>
              <w:rPr>
                <w:rFonts w:ascii="Arial" w:cs="Arial" w:eastAsia="Arial" w:hAnsi="Arial"/>
                <w:sz w:val="10"/>
                <w:szCs w:val="10"/>
                <w:color w:val="auto"/>
              </w:rPr>
              <w:t>(10)</w:t>
            </w:r>
          </w:p>
        </w:tc>
        <w:tc>
          <w:tcPr>
            <w:tcW w:w="84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5"/>
              </w:rPr>
              <w:t>Distribution</w:t>
            </w:r>
          </w:p>
        </w:tc>
        <w:tc>
          <w:tcPr>
            <w:tcW w:w="102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493,280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526,382</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Lariat ecoserv Co-Invest Holdings, LLC </w:t>
            </w:r>
            <w:r>
              <w:rPr>
                <w:rFonts w:ascii="Arial" w:cs="Arial" w:eastAsia="Arial" w:hAnsi="Arial"/>
                <w:sz w:val="10"/>
                <w:szCs w:val="10"/>
                <w:color w:val="auto"/>
              </w:rPr>
              <w:t>(10)</w:t>
            </w:r>
          </w:p>
        </w:tc>
        <w:tc>
          <w:tcPr>
            <w:tcW w:w="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9"/>
              </w:rPr>
              <w:t>Environmental Services</w:t>
            </w:r>
          </w:p>
        </w:tc>
        <w:tc>
          <w:tcPr>
            <w:tcW w:w="10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1,000,000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1,000,000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360" w:type="dxa"/>
            <w:vAlign w:val="bottom"/>
          </w:tcPr>
          <w:p>
            <w:pPr>
              <w:spacing w:after="0" w:line="121" w:lineRule="exact"/>
              <w:rPr>
                <w:sz w:val="20"/>
                <w:szCs w:val="20"/>
                <w:color w:val="auto"/>
              </w:rPr>
            </w:pPr>
            <w:r>
              <w:rPr>
                <w:rFonts w:ascii="Arial" w:cs="Arial" w:eastAsia="Arial" w:hAnsi="Arial"/>
                <w:sz w:val="13"/>
                <w:szCs w:val="13"/>
                <w:color w:val="auto"/>
                <w:w w:val="92"/>
              </w:rPr>
              <w:t>MidOcean PPL Holdings, Corp. (Pre-Paid Legal Services, Inc.)</w:t>
            </w:r>
          </w:p>
        </w:tc>
        <w:tc>
          <w:tcPr>
            <w:tcW w:w="84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87"/>
              </w:rPr>
              <w:t>Personal, Food and Miscellaneous</w:t>
            </w:r>
          </w:p>
        </w:tc>
        <w:tc>
          <w:tcPr>
            <w:tcW w:w="1020" w:type="dxa"/>
            <w:vAlign w:val="bottom"/>
          </w:tcPr>
          <w:p>
            <w:pPr>
              <w:jc w:val="right"/>
              <w:ind w:right="237"/>
              <w:spacing w:after="0" w:line="121"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0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3,000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3,000,000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5,959,292</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20" w:type="dxa"/>
            <w:vAlign w:val="bottom"/>
          </w:tcPr>
          <w:p>
            <w:pPr>
              <w:jc w:val="center"/>
              <w:ind w:right="57"/>
              <w:spacing w:after="0"/>
              <w:rPr>
                <w:sz w:val="20"/>
                <w:szCs w:val="20"/>
                <w:color w:val="auto"/>
              </w:rPr>
            </w:pPr>
            <w:r>
              <w:rPr>
                <w:rFonts w:ascii="Arial" w:cs="Arial" w:eastAsia="Arial" w:hAnsi="Arial"/>
                <w:sz w:val="13"/>
                <w:szCs w:val="13"/>
                <w:color w:val="auto"/>
                <w:w w:val="84"/>
              </w:rPr>
              <w:t>Services</w:t>
            </w: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Patriot National, Inc.</w:t>
            </w:r>
          </w:p>
        </w:tc>
        <w:tc>
          <w:tcPr>
            <w:tcW w:w="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7"/>
              </w:rPr>
              <w:t>Insurance</w:t>
            </w:r>
          </w:p>
        </w:tc>
        <w:tc>
          <w:tcPr>
            <w:tcW w:w="10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100,885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238,038</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908,974</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 xml:space="preserve">Power Products Holdings, LLC, Class A Units </w:t>
            </w:r>
            <w:r>
              <w:rPr>
                <w:rFonts w:ascii="Arial" w:cs="Arial" w:eastAsia="Arial" w:hAnsi="Arial"/>
                <w:sz w:val="10"/>
                <w:szCs w:val="10"/>
                <w:color w:val="auto"/>
              </w:rPr>
              <w:t>(10)</w:t>
            </w:r>
          </w:p>
        </w:tc>
        <w:tc>
          <w:tcPr>
            <w:tcW w:w="84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1"/>
              </w:rPr>
              <w:t>Electronics</w:t>
            </w:r>
          </w:p>
        </w:tc>
        <w:tc>
          <w:tcPr>
            <w:tcW w:w="102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1,350,000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901,263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1,223,409</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Power Products Holdings, LLC, Class B Units </w:t>
            </w:r>
            <w:r>
              <w:rPr>
                <w:rFonts w:ascii="Arial" w:cs="Arial" w:eastAsia="Arial" w:hAnsi="Arial"/>
                <w:sz w:val="10"/>
                <w:szCs w:val="10"/>
                <w:color w:val="auto"/>
              </w:rPr>
              <w:t>(10)</w:t>
            </w:r>
          </w:p>
        </w:tc>
        <w:tc>
          <w:tcPr>
            <w:tcW w:w="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91"/>
              </w:rPr>
              <w:t>Electronics</w:t>
            </w:r>
          </w:p>
        </w:tc>
        <w:tc>
          <w:tcPr>
            <w:tcW w:w="10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142,300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2,800,010</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84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9"/>
              </w:rPr>
              <w:t>Manufacturing / Basic Industries</w:t>
            </w:r>
          </w:p>
        </w:tc>
        <w:tc>
          <w:tcPr>
            <w:tcW w:w="102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1,330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133,000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1,022,594</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Vestcom Parent Holdings, Inc.</w:t>
            </w:r>
          </w:p>
        </w:tc>
        <w:tc>
          <w:tcPr>
            <w:tcW w:w="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8"/>
              </w:rPr>
              <w:t>Printing and Publishing</w:t>
            </w:r>
          </w:p>
        </w:tc>
        <w:tc>
          <w:tcPr>
            <w:tcW w:w="10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211,797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793,873</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8,051,139</w:t>
            </w:r>
          </w:p>
        </w:tc>
        <w:tc>
          <w:tcPr>
            <w:tcW w:w="0" w:type="dxa"/>
            <w:vAlign w:val="bottom"/>
          </w:tcPr>
          <w:p>
            <w:pPr>
              <w:spacing w:after="0"/>
              <w:rPr>
                <w:sz w:val="1"/>
                <w:szCs w:val="1"/>
                <w:color w:val="auto"/>
              </w:rPr>
            </w:pPr>
          </w:p>
        </w:tc>
      </w:tr>
      <w:tr>
        <w:trPr>
          <w:trHeight w:val="149"/>
        </w:trPr>
        <w:tc>
          <w:tcPr>
            <w:tcW w:w="3360" w:type="dxa"/>
            <w:vAlign w:val="bottom"/>
          </w:tcPr>
          <w:p>
            <w:pPr>
              <w:spacing w:after="0" w:line="142"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21,503,373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64,047,463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3"/>
              </w:rPr>
              <w:t>Total Investments in Non-Controlled, Non-Affiliated Portfolio Companies</w:t>
            </w:r>
          </w:p>
        </w:tc>
        <w:tc>
          <w:tcPr>
            <w:tcW w:w="20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85"/>
              </w:rPr>
              <w:t>805,189,545</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813,467,491</w:t>
            </w:r>
          </w:p>
        </w:tc>
        <w:tc>
          <w:tcPr>
            <w:tcW w:w="0" w:type="dxa"/>
            <w:vAlign w:val="bottom"/>
          </w:tcPr>
          <w:p>
            <w:pPr>
              <w:spacing w:after="0"/>
              <w:rPr>
                <w:sz w:val="1"/>
                <w:szCs w:val="1"/>
                <w:color w:val="auto"/>
              </w:rPr>
            </w:pPr>
          </w:p>
        </w:tc>
      </w:tr>
      <w:tr>
        <w:trPr>
          <w:trHeight w:val="142"/>
        </w:trPr>
        <w:tc>
          <w:tcPr>
            <w:tcW w:w="42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w w:val="89"/>
              </w:rPr>
              <w:t xml:space="preserve">Investments in Non-Controlled, Affiliated Portfolio Companies—33.5% </w:t>
            </w:r>
            <w:r>
              <w:rPr>
                <w:rFonts w:ascii="Arial" w:cs="Arial" w:eastAsia="Arial" w:hAnsi="Arial"/>
                <w:sz w:val="10"/>
                <w:szCs w:val="10"/>
                <w:b w:val="1"/>
                <w:bCs w:val="1"/>
                <w:color w:val="auto"/>
                <w:w w:val="89"/>
              </w:rPr>
              <w:t>(1), (2)</w:t>
            </w:r>
          </w:p>
        </w:tc>
        <w:tc>
          <w:tcPr>
            <w:tcW w:w="2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First Lien Secured Debt—8.3%</w:t>
            </w:r>
          </w:p>
        </w:tc>
        <w:tc>
          <w:tcPr>
            <w:tcW w:w="8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Corfin Industries LLC</w:t>
            </w:r>
          </w:p>
        </w:tc>
        <w:tc>
          <w:tcPr>
            <w:tcW w:w="84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9"/>
              </w:rPr>
              <w:t>11/25/2020</w:t>
            </w:r>
          </w:p>
        </w:tc>
        <w:tc>
          <w:tcPr>
            <w:tcW w:w="202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4"/>
              </w:rPr>
              <w:t>Aerospace and Defense</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10.75%</w:t>
            </w:r>
          </w:p>
        </w:tc>
        <w:tc>
          <w:tcPr>
            <w:tcW w:w="12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L+975</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23,522,250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23,114,058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23,522,250</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Industries LLC (Revolver) </w:t>
            </w:r>
            <w:r>
              <w:rPr>
                <w:rFonts w:ascii="Arial" w:cs="Arial" w:eastAsia="Arial" w:hAnsi="Arial"/>
                <w:sz w:val="10"/>
                <w:szCs w:val="10"/>
                <w:color w:val="auto"/>
              </w:rPr>
              <w:t>(8)</w:t>
            </w:r>
          </w:p>
        </w:tc>
        <w:tc>
          <w:tcPr>
            <w:tcW w:w="84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w w:val="89"/>
              </w:rPr>
              <w:t>11/25/2020</w:t>
            </w:r>
          </w:p>
        </w:tc>
        <w:tc>
          <w:tcPr>
            <w:tcW w:w="202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4"/>
              </w:rPr>
              <w:t>Aerospace and Defense</w:t>
            </w:r>
          </w:p>
        </w:tc>
        <w:tc>
          <w:tcPr>
            <w:tcW w:w="10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1,942,623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360" w:type="dxa"/>
            <w:vAlign w:val="bottom"/>
          </w:tcPr>
          <w:p>
            <w:pPr>
              <w:spacing w:after="0" w:line="121" w:lineRule="exact"/>
              <w:rPr>
                <w:sz w:val="20"/>
                <w:szCs w:val="20"/>
                <w:color w:val="auto"/>
              </w:rPr>
            </w:pPr>
            <w:r>
              <w:rPr>
                <w:rFonts w:ascii="Arial" w:cs="Arial" w:eastAsia="Arial" w:hAnsi="Arial"/>
                <w:sz w:val="13"/>
                <w:szCs w:val="13"/>
                <w:color w:val="auto"/>
              </w:rPr>
              <w:t>PAS Technologies, Inc.</w:t>
            </w:r>
          </w:p>
        </w:tc>
        <w:tc>
          <w:tcPr>
            <w:tcW w:w="840" w:type="dxa"/>
            <w:vAlign w:val="bottom"/>
          </w:tcPr>
          <w:p>
            <w:pPr>
              <w:jc w:val="center"/>
              <w:ind w:right="37"/>
              <w:spacing w:after="0" w:line="121" w:lineRule="exact"/>
              <w:rPr>
                <w:sz w:val="20"/>
                <w:szCs w:val="20"/>
                <w:color w:val="auto"/>
              </w:rPr>
            </w:pPr>
            <w:r>
              <w:rPr>
                <w:rFonts w:ascii="Arial" w:cs="Arial" w:eastAsia="Arial" w:hAnsi="Arial"/>
                <w:sz w:val="13"/>
                <w:szCs w:val="13"/>
                <w:color w:val="auto"/>
                <w:w w:val="89"/>
              </w:rPr>
              <w:t>03/21/2017</w:t>
            </w:r>
          </w:p>
        </w:tc>
        <w:tc>
          <w:tcPr>
            <w:tcW w:w="202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84"/>
              </w:rPr>
              <w:t>Aerospace and Defense</w:t>
            </w:r>
          </w:p>
        </w:tc>
        <w:tc>
          <w:tcPr>
            <w:tcW w:w="10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6.01%</w:t>
            </w:r>
          </w:p>
        </w:tc>
        <w:tc>
          <w:tcPr>
            <w:tcW w:w="1200" w:type="dxa"/>
            <w:vAlign w:val="bottom"/>
            <w:gridSpan w:val="2"/>
          </w:tcPr>
          <w:p>
            <w:pPr>
              <w:jc w:val="right"/>
              <w:ind w:right="300"/>
              <w:spacing w:after="0" w:line="121" w:lineRule="exact"/>
              <w:rPr>
                <w:sz w:val="20"/>
                <w:szCs w:val="20"/>
                <w:color w:val="auto"/>
              </w:rPr>
            </w:pPr>
            <w:r>
              <w:rPr>
                <w:rFonts w:ascii="Arial" w:cs="Arial" w:eastAsia="Arial" w:hAnsi="Arial"/>
                <w:sz w:val="13"/>
                <w:szCs w:val="13"/>
                <w:color w:val="auto"/>
              </w:rPr>
              <w:t>L+500</w:t>
            </w:r>
          </w:p>
        </w:tc>
        <w:tc>
          <w:tcPr>
            <w:tcW w:w="74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4,434,295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3,357,949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3,946,523</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(PIK 1.00%)</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3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TRAK Acquisition Corp.</w:t>
            </w:r>
          </w:p>
        </w:tc>
        <w:tc>
          <w:tcPr>
            <w:tcW w:w="840" w:type="dxa"/>
            <w:vAlign w:val="bottom"/>
            <w:shd w:val="clear" w:color="auto" w:fill="CCEEFF"/>
          </w:tcPr>
          <w:p>
            <w:pPr>
              <w:jc w:val="center"/>
              <w:ind w:right="37"/>
              <w:spacing w:after="0" w:line="136" w:lineRule="exact"/>
              <w:rPr>
                <w:sz w:val="20"/>
                <w:szCs w:val="20"/>
                <w:color w:val="auto"/>
              </w:rPr>
            </w:pPr>
            <w:r>
              <w:rPr>
                <w:rFonts w:ascii="Arial" w:cs="Arial" w:eastAsia="Arial" w:hAnsi="Arial"/>
                <w:sz w:val="13"/>
                <w:szCs w:val="13"/>
                <w:color w:val="auto"/>
                <w:w w:val="89"/>
              </w:rPr>
              <w:t>04/30/2018</w:t>
            </w:r>
          </w:p>
        </w:tc>
        <w:tc>
          <w:tcPr>
            <w:tcW w:w="2020" w:type="dxa"/>
            <w:vAlign w:val="bottom"/>
            <w:shd w:val="clear" w:color="auto" w:fill="CCEEFF"/>
          </w:tcPr>
          <w:p>
            <w:pPr>
              <w:jc w:val="center"/>
              <w:ind w:right="57"/>
              <w:spacing w:after="0" w:line="136" w:lineRule="exact"/>
              <w:rPr>
                <w:sz w:val="20"/>
                <w:szCs w:val="20"/>
                <w:color w:val="auto"/>
              </w:rPr>
            </w:pPr>
            <w:r>
              <w:rPr>
                <w:rFonts w:ascii="Arial" w:cs="Arial" w:eastAsia="Arial" w:hAnsi="Arial"/>
                <w:sz w:val="13"/>
                <w:szCs w:val="13"/>
                <w:color w:val="auto"/>
                <w:w w:val="84"/>
              </w:rPr>
              <w:t>Business Services</w:t>
            </w:r>
          </w:p>
        </w:tc>
        <w:tc>
          <w:tcPr>
            <w:tcW w:w="1020" w:type="dxa"/>
            <w:vAlign w:val="bottom"/>
            <w:shd w:val="clear" w:color="auto" w:fill="CCEEFF"/>
          </w:tcPr>
          <w:p>
            <w:pPr>
              <w:jc w:val="right"/>
              <w:ind w:right="137"/>
              <w:spacing w:after="0" w:line="136" w:lineRule="exact"/>
              <w:rPr>
                <w:sz w:val="20"/>
                <w:szCs w:val="20"/>
                <w:color w:val="auto"/>
              </w:rPr>
            </w:pPr>
            <w:r>
              <w:rPr>
                <w:rFonts w:ascii="Arial" w:cs="Arial" w:eastAsia="Arial" w:hAnsi="Arial"/>
                <w:sz w:val="13"/>
                <w:szCs w:val="13"/>
                <w:color w:val="auto"/>
              </w:rPr>
              <w:t>12.00%</w:t>
            </w:r>
          </w:p>
        </w:tc>
        <w:tc>
          <w:tcPr>
            <w:tcW w:w="120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3"/>
                <w:szCs w:val="13"/>
                <w:color w:val="auto"/>
              </w:rPr>
              <w:t>L+1,050</w:t>
            </w:r>
          </w:p>
        </w:tc>
        <w:tc>
          <w:tcPr>
            <w:tcW w:w="7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w w:val="92"/>
              </w:rPr>
              <w:t>22,764,911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w w:val="95"/>
              </w:rPr>
              <w:t>22,613,930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22,764,911</w:t>
            </w:r>
          </w:p>
        </w:tc>
        <w:tc>
          <w:tcPr>
            <w:tcW w:w="0" w:type="dxa"/>
            <w:vAlign w:val="bottom"/>
          </w:tcPr>
          <w:p>
            <w:pPr>
              <w:spacing w:after="0"/>
              <w:rPr>
                <w:sz w:val="1"/>
                <w:szCs w:val="1"/>
                <w:color w:val="auto"/>
              </w:rPr>
            </w:pPr>
          </w:p>
        </w:tc>
      </w:tr>
      <w:tr>
        <w:trPr>
          <w:trHeight w:val="142"/>
        </w:trPr>
        <w:tc>
          <w:tcPr>
            <w:tcW w:w="3360" w:type="dxa"/>
            <w:vAlign w:val="bottom"/>
          </w:tcPr>
          <w:p>
            <w:pPr>
              <w:spacing w:after="0" w:line="135" w:lineRule="exact"/>
              <w:rPr>
                <w:sz w:val="20"/>
                <w:szCs w:val="20"/>
                <w:color w:val="auto"/>
              </w:rPr>
            </w:pPr>
            <w:r>
              <w:rPr>
                <w:rFonts w:ascii="Arial" w:cs="Arial" w:eastAsia="Arial" w:hAnsi="Arial"/>
                <w:sz w:val="13"/>
                <w:szCs w:val="13"/>
                <w:color w:val="auto"/>
              </w:rPr>
              <w:t>TRAK Acquisition Corp. (Revolver)</w:t>
            </w:r>
          </w:p>
        </w:tc>
        <w:tc>
          <w:tcPr>
            <w:tcW w:w="84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9"/>
              </w:rPr>
              <w:t>11/22/2016</w:t>
            </w:r>
          </w:p>
        </w:tc>
        <w:tc>
          <w:tcPr>
            <w:tcW w:w="202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4"/>
              </w:rPr>
              <w:t>Business Services</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12.00%</w:t>
            </w:r>
          </w:p>
        </w:tc>
        <w:tc>
          <w:tcPr>
            <w:tcW w:w="12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L+1,050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3,000,000</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3,000,000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8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52,085,937</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53,233,684</w:t>
            </w: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Arial" w:cs="Arial" w:eastAsia="Arial" w:hAnsi="Arial"/>
                <w:sz w:val="13"/>
                <w:szCs w:val="13"/>
                <w:b w:val="1"/>
                <w:bCs w:val="1"/>
                <w:color w:val="auto"/>
              </w:rPr>
              <w:t>Second Lien Secured Debt—3.9%</w:t>
            </w:r>
          </w:p>
        </w:tc>
        <w:tc>
          <w:tcPr>
            <w:tcW w:w="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Inc.</w:t>
            </w:r>
          </w:p>
        </w:tc>
        <w:tc>
          <w:tcPr>
            <w:tcW w:w="84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w w:val="89"/>
              </w:rPr>
              <w:t>10/31/2018</w:t>
            </w:r>
          </w:p>
        </w:tc>
        <w:tc>
          <w:tcPr>
            <w:tcW w:w="202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5"/>
              </w:rPr>
              <w:t>Consumer Products</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8.50%</w:t>
            </w:r>
          </w:p>
        </w:tc>
        <w:tc>
          <w:tcPr>
            <w:tcW w:w="12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L+700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2"/>
              </w:rPr>
              <w:t>18,000,000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16,960,967</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15,825,060</w:t>
            </w:r>
          </w:p>
        </w:tc>
        <w:tc>
          <w:tcPr>
            <w:tcW w:w="0" w:type="dxa"/>
            <w:vAlign w:val="bottom"/>
          </w:tcPr>
          <w:p>
            <w:pPr>
              <w:spacing w:after="0"/>
              <w:rPr>
                <w:sz w:val="1"/>
                <w:szCs w:val="1"/>
                <w:color w:val="auto"/>
              </w:rPr>
            </w:pPr>
          </w:p>
        </w:tc>
      </w:tr>
      <w:tr>
        <w:trPr>
          <w:trHeight w:val="142"/>
        </w:trPr>
        <w:tc>
          <w:tcPr>
            <w:tcW w:w="3360" w:type="dxa"/>
            <w:vAlign w:val="bottom"/>
          </w:tcPr>
          <w:p>
            <w:pPr>
              <w:spacing w:after="0" w:line="135" w:lineRule="exact"/>
              <w:rPr>
                <w:sz w:val="20"/>
                <w:szCs w:val="20"/>
                <w:color w:val="auto"/>
              </w:rPr>
            </w:pPr>
            <w:r>
              <w:rPr>
                <w:rFonts w:ascii="Arial" w:cs="Arial" w:eastAsia="Arial" w:hAnsi="Arial"/>
                <w:sz w:val="13"/>
                <w:szCs w:val="13"/>
                <w:color w:val="auto"/>
              </w:rPr>
              <w:t>EnviroSolutions Real Property Holdings, Inc.</w:t>
            </w:r>
          </w:p>
        </w:tc>
        <w:tc>
          <w:tcPr>
            <w:tcW w:w="84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9"/>
              </w:rPr>
              <w:t>12/26/2017</w:t>
            </w:r>
          </w:p>
        </w:tc>
        <w:tc>
          <w:tcPr>
            <w:tcW w:w="202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9"/>
              </w:rPr>
              <w:t>Environmental Services</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12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L+800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9,409,740</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9,307,548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9,409,740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8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26,268,515</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25,234,800</w:t>
            </w: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Arial" w:cs="Arial" w:eastAsia="Arial" w:hAnsi="Arial"/>
                <w:sz w:val="13"/>
                <w:szCs w:val="13"/>
                <w:b w:val="1"/>
                <w:bCs w:val="1"/>
                <w:color w:val="auto"/>
              </w:rPr>
              <w:t>Subordinated Debt/Corporate Notes—11.7%</w:t>
            </w:r>
          </w:p>
        </w:tc>
        <w:tc>
          <w:tcPr>
            <w:tcW w:w="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Affinion International Holdings Limited </w:t>
            </w:r>
            <w:r>
              <w:rPr>
                <w:rFonts w:ascii="Arial" w:cs="Arial" w:eastAsia="Arial" w:hAnsi="Arial"/>
                <w:sz w:val="10"/>
                <w:szCs w:val="10"/>
                <w:color w:val="auto"/>
              </w:rPr>
              <w:t>(5), (9), (12)</w:t>
            </w:r>
          </w:p>
        </w:tc>
        <w:tc>
          <w:tcPr>
            <w:tcW w:w="840" w:type="dxa"/>
            <w:vAlign w:val="bottom"/>
            <w:shd w:val="clear" w:color="auto" w:fill="CCEEFF"/>
          </w:tcPr>
          <w:p>
            <w:pPr>
              <w:jc w:val="center"/>
              <w:ind w:right="37"/>
              <w:spacing w:after="0" w:line="121" w:lineRule="exact"/>
              <w:rPr>
                <w:sz w:val="20"/>
                <w:szCs w:val="20"/>
                <w:color w:val="auto"/>
              </w:rPr>
            </w:pPr>
            <w:r>
              <w:rPr>
                <w:rFonts w:ascii="Arial" w:cs="Arial" w:eastAsia="Arial" w:hAnsi="Arial"/>
                <w:sz w:val="13"/>
                <w:szCs w:val="13"/>
                <w:color w:val="auto"/>
                <w:w w:val="89"/>
              </w:rPr>
              <w:t>07/30/2018</w:t>
            </w:r>
          </w:p>
        </w:tc>
        <w:tc>
          <w:tcPr>
            <w:tcW w:w="202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85"/>
              </w:rPr>
              <w:t>Consumer Products</w:t>
            </w:r>
          </w:p>
        </w:tc>
        <w:tc>
          <w:tcPr>
            <w:tcW w:w="10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7.50%</w:t>
            </w:r>
          </w:p>
        </w:tc>
        <w:tc>
          <w:tcPr>
            <w:tcW w:w="1200" w:type="dxa"/>
            <w:vAlign w:val="bottom"/>
            <w:gridSpan w:val="2"/>
            <w:shd w:val="clear" w:color="auto" w:fill="CCEEFF"/>
          </w:tcPr>
          <w:p>
            <w:pPr>
              <w:jc w:val="right"/>
              <w:ind w:right="30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9,858,025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8,946,674</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8,995,448</w:t>
            </w:r>
          </w:p>
        </w:tc>
        <w:tc>
          <w:tcPr>
            <w:tcW w:w="0" w:type="dxa"/>
            <w:vAlign w:val="bottom"/>
          </w:tcPr>
          <w:p>
            <w:pPr>
              <w:spacing w:after="0"/>
              <w:rPr>
                <w:sz w:val="1"/>
                <w:szCs w:val="1"/>
                <w:color w:val="auto"/>
              </w:rPr>
            </w:pPr>
          </w:p>
        </w:tc>
      </w:tr>
      <w:tr>
        <w:trPr>
          <w:trHeight w:val="163"/>
        </w:trPr>
        <w:tc>
          <w:tcPr>
            <w:tcW w:w="3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(PIK 4.00%)</w:t>
            </w:r>
          </w:p>
        </w:tc>
        <w:tc>
          <w:tcPr>
            <w:tcW w:w="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DirectBuy Holdings, Inc.</w:t>
            </w:r>
          </w:p>
        </w:tc>
        <w:tc>
          <w:tcPr>
            <w:tcW w:w="84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9"/>
              </w:rPr>
              <w:t>11/05/2019</w:t>
            </w:r>
          </w:p>
        </w:tc>
        <w:tc>
          <w:tcPr>
            <w:tcW w:w="202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5"/>
              </w:rPr>
              <w:t>Consumer Products</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2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14,735,238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12,340,534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2,799,695</w:t>
            </w:r>
          </w:p>
        </w:tc>
        <w:tc>
          <w:tcPr>
            <w:tcW w:w="0" w:type="dxa"/>
            <w:vAlign w:val="bottom"/>
          </w:tcPr>
          <w:p>
            <w:pPr>
              <w:spacing w:after="0"/>
              <w:rPr>
                <w:sz w:val="1"/>
                <w:szCs w:val="1"/>
                <w:color w:val="auto"/>
              </w:rPr>
            </w:pPr>
          </w:p>
        </w:tc>
      </w:tr>
      <w:tr>
        <w:trPr>
          <w:trHeight w:val="121"/>
        </w:trPr>
        <w:tc>
          <w:tcPr>
            <w:tcW w:w="3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ETX Energy, LLC (f/k/a New Gulf Resources, LLC),</w:t>
            </w:r>
          </w:p>
        </w:tc>
        <w:tc>
          <w:tcPr>
            <w:tcW w:w="840" w:type="dxa"/>
            <w:vAlign w:val="bottom"/>
            <w:shd w:val="clear" w:color="auto" w:fill="CCEEFF"/>
          </w:tcPr>
          <w:p>
            <w:pPr>
              <w:jc w:val="center"/>
              <w:ind w:right="37"/>
              <w:spacing w:after="0" w:line="121" w:lineRule="exact"/>
              <w:rPr>
                <w:sz w:val="20"/>
                <w:szCs w:val="20"/>
                <w:color w:val="auto"/>
              </w:rPr>
            </w:pPr>
            <w:r>
              <w:rPr>
                <w:rFonts w:ascii="Arial" w:cs="Arial" w:eastAsia="Arial" w:hAnsi="Arial"/>
                <w:sz w:val="13"/>
                <w:szCs w:val="13"/>
                <w:color w:val="auto"/>
                <w:w w:val="89"/>
              </w:rPr>
              <w:t>05/03/2021</w:t>
            </w:r>
          </w:p>
        </w:tc>
        <w:tc>
          <w:tcPr>
            <w:tcW w:w="2020" w:type="dxa"/>
            <w:vAlign w:val="bottom"/>
            <w:shd w:val="clear" w:color="auto" w:fill="CCEEFF"/>
          </w:tcPr>
          <w:p>
            <w:pPr>
              <w:jc w:val="center"/>
              <w:ind w:right="37"/>
              <w:spacing w:after="0" w:line="121" w:lineRule="exact"/>
              <w:rPr>
                <w:sz w:val="20"/>
                <w:szCs w:val="20"/>
                <w:color w:val="auto"/>
              </w:rPr>
            </w:pPr>
            <w:r>
              <w:rPr>
                <w:rFonts w:ascii="Arial" w:cs="Arial" w:eastAsia="Arial" w:hAnsi="Arial"/>
                <w:sz w:val="13"/>
                <w:szCs w:val="13"/>
                <w:color w:val="auto"/>
                <w:w w:val="87"/>
              </w:rPr>
              <w:t>Oil and Gas</w:t>
            </w:r>
          </w:p>
        </w:tc>
        <w:tc>
          <w:tcPr>
            <w:tcW w:w="10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12.50%</w:t>
            </w:r>
          </w:p>
        </w:tc>
        <w:tc>
          <w:tcPr>
            <w:tcW w:w="1200" w:type="dxa"/>
            <w:vAlign w:val="bottom"/>
            <w:gridSpan w:val="2"/>
            <w:shd w:val="clear" w:color="auto" w:fill="CCEEFF"/>
          </w:tcPr>
          <w:p>
            <w:pPr>
              <w:jc w:val="right"/>
              <w:ind w:right="30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w w:val="92"/>
              </w:rPr>
              <w:t>25,297,664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w w:val="95"/>
              </w:rPr>
              <w:t>36,473,119</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35,416,730</w:t>
            </w:r>
          </w:p>
        </w:tc>
        <w:tc>
          <w:tcPr>
            <w:tcW w:w="0" w:type="dxa"/>
            <w:vAlign w:val="bottom"/>
          </w:tcPr>
          <w:p>
            <w:pPr>
              <w:spacing w:after="0"/>
              <w:rPr>
                <w:sz w:val="1"/>
                <w:szCs w:val="1"/>
                <w:color w:val="auto"/>
              </w:rPr>
            </w:pPr>
          </w:p>
        </w:tc>
      </w:tr>
      <w:tr>
        <w:trPr>
          <w:trHeight w:val="163"/>
        </w:trPr>
        <w:tc>
          <w:tcPr>
            <w:tcW w:w="3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xml:space="preserve">Convertible Note </w:t>
            </w:r>
            <w:r>
              <w:rPr>
                <w:rFonts w:ascii="Arial" w:cs="Arial" w:eastAsia="Arial" w:hAnsi="Arial"/>
                <w:sz w:val="10"/>
                <w:szCs w:val="10"/>
                <w:color w:val="auto"/>
              </w:rPr>
              <w:t>(5)</w:t>
            </w:r>
          </w:p>
        </w:tc>
        <w:tc>
          <w:tcPr>
            <w:tcW w:w="84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(PIK 12.50%)</w:t>
            </w:r>
          </w:p>
        </w:tc>
        <w:tc>
          <w:tcPr>
            <w:tcW w:w="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line="135" w:lineRule="exact"/>
              <w:rPr>
                <w:sz w:val="20"/>
                <w:szCs w:val="20"/>
                <w:color w:val="auto"/>
              </w:rPr>
            </w:pPr>
            <w:r>
              <w:rPr>
                <w:rFonts w:ascii="Arial" w:cs="Arial" w:eastAsia="Arial" w:hAnsi="Arial"/>
                <w:sz w:val="13"/>
                <w:szCs w:val="13"/>
                <w:color w:val="auto"/>
              </w:rPr>
              <w:t>Service Champ, Inc.</w:t>
            </w:r>
          </w:p>
        </w:tc>
        <w:tc>
          <w:tcPr>
            <w:tcW w:w="84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9"/>
              </w:rPr>
              <w:t>10/02/2017</w:t>
            </w:r>
          </w:p>
        </w:tc>
        <w:tc>
          <w:tcPr>
            <w:tcW w:w="202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1"/>
              </w:rPr>
              <w:t>Auto Sector</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12.50%</w:t>
            </w:r>
          </w:p>
        </w:tc>
        <w:tc>
          <w:tcPr>
            <w:tcW w:w="12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28,000,000</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5"/>
              </w:rPr>
              <w:t>27,841,741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27,908,663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8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85,602,068</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75,120,536</w:t>
            </w: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Preferred Equity—0.7% </w:t>
            </w:r>
            <w:r>
              <w:rPr>
                <w:rFonts w:ascii="Arial" w:cs="Arial" w:eastAsia="Arial" w:hAnsi="Arial"/>
                <w:sz w:val="10"/>
                <w:szCs w:val="10"/>
                <w:b w:val="1"/>
                <w:bCs w:val="1"/>
                <w:color w:val="auto"/>
              </w:rPr>
              <w:t>(6)</w:t>
            </w:r>
          </w:p>
        </w:tc>
        <w:tc>
          <w:tcPr>
            <w:tcW w:w="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4"/>
              </w:rPr>
              <w:t>Aerospace and Defense</w:t>
            </w:r>
          </w:p>
        </w:tc>
        <w:tc>
          <w:tcPr>
            <w:tcW w:w="10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53,071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20,059,340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4,287,107</w:t>
            </w: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Arial" w:cs="Arial" w:eastAsia="Arial" w:hAnsi="Arial"/>
                <w:sz w:val="13"/>
                <w:szCs w:val="13"/>
                <w:b w:val="1"/>
                <w:bCs w:val="1"/>
                <w:color w:val="auto"/>
                <w:w w:val="94"/>
              </w:rPr>
              <w:t xml:space="preserve">Common Equity/Partnership Interests/Warrants—8.9% </w:t>
            </w:r>
            <w:r>
              <w:rPr>
                <w:rFonts w:ascii="Arial" w:cs="Arial" w:eastAsia="Arial" w:hAnsi="Arial"/>
                <w:sz w:val="10"/>
                <w:szCs w:val="10"/>
                <w:b w:val="1"/>
                <w:bCs w:val="1"/>
                <w:color w:val="auto"/>
                <w:w w:val="94"/>
              </w:rPr>
              <w:t>(6)</w:t>
            </w:r>
          </w:p>
        </w:tc>
        <w:tc>
          <w:tcPr>
            <w:tcW w:w="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5"/>
              </w:rPr>
              <w:t>Consumer Products</w:t>
            </w:r>
          </w:p>
        </w:tc>
        <w:tc>
          <w:tcPr>
            <w:tcW w:w="10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859,496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30,503,493</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32,115,042</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Affinion Group Holdings, Inc., Series C and Series D</w:t>
            </w:r>
          </w:p>
        </w:tc>
        <w:tc>
          <w:tcPr>
            <w:tcW w:w="84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5"/>
              </w:rPr>
              <w:t>Consumer Products</w:t>
            </w:r>
          </w:p>
        </w:tc>
        <w:tc>
          <w:tcPr>
            <w:tcW w:w="102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37,181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10,265,972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173,844</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Corfin InvestCo, L.P.</w:t>
            </w:r>
          </w:p>
        </w:tc>
        <w:tc>
          <w:tcPr>
            <w:tcW w:w="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4"/>
              </w:rPr>
              <w:t>Aerospace and Defense</w:t>
            </w:r>
          </w:p>
        </w:tc>
        <w:tc>
          <w:tcPr>
            <w:tcW w:w="10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11,250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1,125,000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2,330,813</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 xml:space="preserve">Corfin InvestCo, L.P. </w:t>
            </w:r>
            <w:r>
              <w:rPr>
                <w:rFonts w:ascii="Arial" w:cs="Arial" w:eastAsia="Arial" w:hAnsi="Arial"/>
                <w:sz w:val="10"/>
                <w:szCs w:val="10"/>
                <w:color w:val="auto"/>
              </w:rPr>
              <w:t>(8)</w:t>
            </w:r>
          </w:p>
        </w:tc>
        <w:tc>
          <w:tcPr>
            <w:tcW w:w="84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4"/>
              </w:rPr>
              <w:t>Aerospace and Defense</w:t>
            </w:r>
          </w:p>
        </w:tc>
        <w:tc>
          <w:tcPr>
            <w:tcW w:w="102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11,250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5"/>
              </w:rPr>
              <w:t>Consumer Products</w:t>
            </w:r>
          </w:p>
        </w:tc>
        <w:tc>
          <w:tcPr>
            <w:tcW w:w="10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104,719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21,492,822</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DirectBuy Holdings, Inc. (Warrants)</w:t>
            </w:r>
          </w:p>
        </w:tc>
        <w:tc>
          <w:tcPr>
            <w:tcW w:w="84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9"/>
              </w:rPr>
              <w:t>11/05/2022</w:t>
            </w:r>
          </w:p>
        </w:tc>
        <w:tc>
          <w:tcPr>
            <w:tcW w:w="202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5"/>
              </w:rPr>
              <w:t>Consumer Products</w:t>
            </w:r>
          </w:p>
        </w:tc>
        <w:tc>
          <w:tcPr>
            <w:tcW w:w="102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15,486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Holdings, Inc.</w:t>
            </w:r>
          </w:p>
        </w:tc>
        <w:tc>
          <w:tcPr>
            <w:tcW w:w="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9"/>
              </w:rPr>
              <w:t>Environmental Services</w:t>
            </w:r>
          </w:p>
        </w:tc>
        <w:tc>
          <w:tcPr>
            <w:tcW w:w="10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143,668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11,960,702</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13,112,260</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 xml:space="preserve">ETX Energy, LLC (f/k/a New Gulf Resources, LLC) </w:t>
            </w:r>
            <w:r>
              <w:rPr>
                <w:rFonts w:ascii="Arial" w:cs="Arial" w:eastAsia="Arial" w:hAnsi="Arial"/>
                <w:sz w:val="10"/>
                <w:szCs w:val="10"/>
                <w:color w:val="auto"/>
              </w:rPr>
              <w:t>(10)</w:t>
            </w:r>
          </w:p>
        </w:tc>
        <w:tc>
          <w:tcPr>
            <w:tcW w:w="84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7"/>
              </w:rPr>
              <w:t>Oil and Gas</w:t>
            </w:r>
          </w:p>
        </w:tc>
        <w:tc>
          <w:tcPr>
            <w:tcW w:w="102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113,610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ETX Energy Management Company, LLC (f/k/a NGR</w:t>
            </w:r>
          </w:p>
        </w:tc>
        <w:tc>
          <w:tcPr>
            <w:tcW w:w="84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ind w:right="37"/>
              <w:spacing w:after="0" w:line="121" w:lineRule="exact"/>
              <w:rPr>
                <w:sz w:val="20"/>
                <w:szCs w:val="20"/>
                <w:color w:val="auto"/>
              </w:rPr>
            </w:pPr>
            <w:r>
              <w:rPr>
                <w:rFonts w:ascii="Arial" w:cs="Arial" w:eastAsia="Arial" w:hAnsi="Arial"/>
                <w:sz w:val="13"/>
                <w:szCs w:val="13"/>
                <w:color w:val="auto"/>
                <w:w w:val="87"/>
              </w:rPr>
              <w:t>Oil and Gas</w:t>
            </w:r>
          </w:p>
        </w:tc>
        <w:tc>
          <w:tcPr>
            <w:tcW w:w="1020" w:type="dxa"/>
            <w:vAlign w:val="bottom"/>
            <w:shd w:val="clear" w:color="auto" w:fill="CCEEFF"/>
          </w:tcPr>
          <w:p>
            <w:pPr>
              <w:jc w:val="right"/>
              <w:ind w:right="237"/>
              <w:spacing w:after="0" w:line="121"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0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119,603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xml:space="preserve">Management Company LLC) </w:t>
            </w:r>
            <w:r>
              <w:rPr>
                <w:rFonts w:ascii="Arial" w:cs="Arial" w:eastAsia="Arial" w:hAnsi="Arial"/>
                <w:sz w:val="10"/>
                <w:szCs w:val="10"/>
                <w:color w:val="auto"/>
              </w:rPr>
              <w:t>(10)</w:t>
            </w:r>
          </w:p>
        </w:tc>
        <w:tc>
          <w:tcPr>
            <w:tcW w:w="84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New Service Champ Holdings, Inc.</w:t>
            </w:r>
          </w:p>
        </w:tc>
        <w:tc>
          <w:tcPr>
            <w:tcW w:w="84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1"/>
              </w:rPr>
              <w:t>Auto Sector</w:t>
            </w:r>
          </w:p>
        </w:tc>
        <w:tc>
          <w:tcPr>
            <w:tcW w:w="102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16,800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2,721,600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6,989,362</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8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4"/>
              </w:rPr>
              <w:t>Aerospace and Defense</w:t>
            </w:r>
          </w:p>
        </w:tc>
        <w:tc>
          <w:tcPr>
            <w:tcW w:w="10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53,071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202,620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3360" w:type="dxa"/>
            <w:vAlign w:val="bottom"/>
          </w:tcPr>
          <w:p>
            <w:pPr>
              <w:spacing w:after="0" w:line="135" w:lineRule="exact"/>
              <w:rPr>
                <w:sz w:val="20"/>
                <w:szCs w:val="20"/>
                <w:color w:val="auto"/>
              </w:rPr>
            </w:pPr>
            <w:r>
              <w:rPr>
                <w:rFonts w:ascii="Arial" w:cs="Arial" w:eastAsia="Arial" w:hAnsi="Arial"/>
                <w:sz w:val="13"/>
                <w:szCs w:val="13"/>
                <w:color w:val="auto"/>
              </w:rPr>
              <w:t>TRAK Acquisition Corp.</w:t>
            </w:r>
          </w:p>
        </w:tc>
        <w:tc>
          <w:tcPr>
            <w:tcW w:w="84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4"/>
              </w:rPr>
              <w:t>Business Services</w:t>
            </w:r>
          </w:p>
        </w:tc>
        <w:tc>
          <w:tcPr>
            <w:tcW w:w="102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491,755</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188,837</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2,595,099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8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78,461,046</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57,316,420</w:t>
            </w:r>
          </w:p>
        </w:tc>
        <w:tc>
          <w:tcPr>
            <w:tcW w:w="0" w:type="dxa"/>
            <w:vAlign w:val="bottom"/>
          </w:tcPr>
          <w:p>
            <w:pPr>
              <w:spacing w:after="0"/>
              <w:rPr>
                <w:sz w:val="1"/>
                <w:szCs w:val="1"/>
                <w:color w:val="auto"/>
              </w:rPr>
            </w:pPr>
          </w:p>
        </w:tc>
      </w:tr>
      <w:tr>
        <w:trPr>
          <w:trHeight w:val="142"/>
        </w:trPr>
        <w:tc>
          <w:tcPr>
            <w:tcW w:w="42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Investments in Non-Controlled, Affiliated Portfolio Companies</w:t>
            </w:r>
          </w:p>
        </w:tc>
        <w:tc>
          <w:tcPr>
            <w:tcW w:w="2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262,476,906</w:t>
            </w:r>
          </w:p>
        </w:tc>
        <w:tc>
          <w:tcPr>
            <w:tcW w:w="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215,192,547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40"/>
          </w:cols>
          <w:pgMar w:left="32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4"/>
              </w:rPr>
              <w:t>Basis Point</w:t>
            </w: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Spread</w:t>
            </w: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96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Maturity /</w:t>
            </w:r>
          </w:p>
        </w:tc>
        <w:tc>
          <w:tcPr>
            <w:tcW w:w="1480" w:type="dxa"/>
            <w:vAlign w:val="bottom"/>
          </w:tcPr>
          <w:p>
            <w:pPr>
              <w:ind w:left="480"/>
              <w:spacing w:after="0" w:line="135" w:lineRule="exact"/>
              <w:rPr>
                <w:sz w:val="20"/>
                <w:szCs w:val="20"/>
                <w:color w:val="auto"/>
              </w:rPr>
            </w:pPr>
            <w:r>
              <w:rPr>
                <w:rFonts w:ascii="Arial" w:cs="Arial" w:eastAsia="Arial" w:hAnsi="Arial"/>
                <w:sz w:val="13"/>
                <w:szCs w:val="13"/>
                <w:b w:val="1"/>
                <w:bCs w:val="1"/>
                <w:color w:val="auto"/>
              </w:rPr>
              <w:t>Industry</w:t>
            </w:r>
          </w:p>
        </w:tc>
        <w:tc>
          <w:tcPr>
            <w:tcW w:w="1240" w:type="dxa"/>
            <w:vAlign w:val="bottom"/>
          </w:tcPr>
          <w:p>
            <w:pPr>
              <w:ind w:left="320"/>
              <w:spacing w:after="0" w:line="135" w:lineRule="exact"/>
              <w:rPr>
                <w:sz w:val="20"/>
                <w:szCs w:val="20"/>
                <w:color w:val="auto"/>
              </w:rPr>
            </w:pPr>
            <w:r>
              <w:rPr>
                <w:rFonts w:ascii="Arial" w:cs="Arial" w:eastAsia="Arial" w:hAnsi="Arial"/>
                <w:sz w:val="13"/>
                <w:szCs w:val="13"/>
                <w:b w:val="1"/>
                <w:bCs w:val="1"/>
                <w:color w:val="auto"/>
              </w:rPr>
              <w:t>Current</w:t>
            </w:r>
          </w:p>
        </w:tc>
        <w:tc>
          <w:tcPr>
            <w:tcW w:w="1340" w:type="dxa"/>
            <w:vAlign w:val="bottom"/>
            <w:gridSpan w:val="2"/>
          </w:tcPr>
          <w:p>
            <w:pPr>
              <w:jc w:val="right"/>
              <w:ind w:right="660"/>
              <w:spacing w:after="0" w:line="135" w:lineRule="exact"/>
              <w:rPr>
                <w:sz w:val="20"/>
                <w:szCs w:val="20"/>
                <w:color w:val="auto"/>
              </w:rPr>
            </w:pPr>
            <w:r>
              <w:rPr>
                <w:rFonts w:ascii="Arial" w:cs="Arial" w:eastAsia="Arial" w:hAnsi="Arial"/>
                <w:sz w:val="13"/>
                <w:szCs w:val="13"/>
                <w:b w:val="1"/>
                <w:bCs w:val="1"/>
                <w:color w:val="auto"/>
              </w:rPr>
              <w:t>Above</w:t>
            </w:r>
          </w:p>
        </w:tc>
        <w:tc>
          <w:tcPr>
            <w:tcW w:w="96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Par /</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20" w:type="dxa"/>
            <w:vAlign w:val="bottom"/>
            <w:vMerge w:val="continue"/>
          </w:tcPr>
          <w:p>
            <w:pPr>
              <w:spacing w:after="0"/>
              <w:rPr>
                <w:sz w:val="13"/>
                <w:szCs w:val="13"/>
                <w:color w:val="auto"/>
              </w:rPr>
            </w:pPr>
          </w:p>
        </w:tc>
        <w:tc>
          <w:tcPr>
            <w:tcW w:w="960" w:type="dxa"/>
            <w:vAlign w:val="bottom"/>
          </w:tcPr>
          <w:p>
            <w:pPr>
              <w:ind w:left="40"/>
              <w:spacing w:after="0"/>
              <w:rPr>
                <w:sz w:val="20"/>
                <w:szCs w:val="20"/>
                <w:color w:val="auto"/>
              </w:rPr>
            </w:pPr>
            <w:r>
              <w:rPr>
                <w:rFonts w:ascii="Arial" w:cs="Arial" w:eastAsia="Arial" w:hAnsi="Arial"/>
                <w:sz w:val="13"/>
                <w:szCs w:val="13"/>
                <w:b w:val="1"/>
                <w:bCs w:val="1"/>
                <w:color w:val="auto"/>
              </w:rPr>
              <w:t>Expiration</w:t>
            </w:r>
          </w:p>
        </w:tc>
        <w:tc>
          <w:tcPr>
            <w:tcW w:w="1480" w:type="dxa"/>
            <w:vAlign w:val="bottom"/>
          </w:tcPr>
          <w:p>
            <w:pPr>
              <w:spacing w:after="0"/>
              <w:rPr>
                <w:sz w:val="13"/>
                <w:szCs w:val="13"/>
                <w:color w:val="auto"/>
              </w:rPr>
            </w:pPr>
          </w:p>
        </w:tc>
        <w:tc>
          <w:tcPr>
            <w:tcW w:w="1240" w:type="dxa"/>
            <w:vAlign w:val="bottom"/>
          </w:tcPr>
          <w:p>
            <w:pPr>
              <w:ind w:left="320"/>
              <w:spacing w:after="0"/>
              <w:rPr>
                <w:sz w:val="20"/>
                <w:szCs w:val="20"/>
                <w:color w:val="auto"/>
              </w:rPr>
            </w:pPr>
            <w:r>
              <w:rPr>
                <w:rFonts w:ascii="Arial" w:cs="Arial" w:eastAsia="Arial" w:hAnsi="Arial"/>
                <w:sz w:val="13"/>
                <w:szCs w:val="13"/>
                <w:b w:val="1"/>
                <w:bCs w:val="1"/>
                <w:color w:val="auto"/>
              </w:rPr>
              <w:t>Coupon</w:t>
            </w:r>
          </w:p>
        </w:tc>
        <w:tc>
          <w:tcPr>
            <w:tcW w:w="13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 xml:space="preserve">Index </w:t>
            </w:r>
            <w:r>
              <w:rPr>
                <w:rFonts w:ascii="Arial" w:cs="Arial" w:eastAsia="Arial" w:hAnsi="Arial"/>
                <w:sz w:val="10"/>
                <w:szCs w:val="10"/>
                <w:b w:val="1"/>
                <w:bCs w:val="1"/>
                <w:color w:val="auto"/>
                <w:w w:val="96"/>
              </w:rPr>
              <w:t>(4)</w:t>
            </w:r>
          </w:p>
        </w:tc>
        <w:tc>
          <w:tcPr>
            <w:tcW w:w="96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28"/>
        </w:trPr>
        <w:tc>
          <w:tcPr>
            <w:tcW w:w="408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2"/>
              </w:rPr>
              <w:t xml:space="preserve">Investments in Controlled, Affiliated Portfolio Companies—19.4% </w:t>
            </w:r>
            <w:r>
              <w:rPr>
                <w:rFonts w:ascii="Arial" w:cs="Arial" w:eastAsia="Arial" w:hAnsi="Arial"/>
                <w:sz w:val="10"/>
                <w:szCs w:val="10"/>
                <w:b w:val="1"/>
                <w:bCs w:val="1"/>
                <w:color w:val="auto"/>
                <w:w w:val="92"/>
              </w:rPr>
              <w:t>(1), (2)</w:t>
            </w:r>
          </w:p>
        </w:tc>
        <w:tc>
          <w:tcPr>
            <w:tcW w:w="148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Debt—14.7%</w:t>
            </w:r>
          </w:p>
        </w:tc>
        <w:tc>
          <w:tcPr>
            <w:tcW w:w="9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1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RAM Energy LLC</w:t>
            </w:r>
          </w:p>
        </w:tc>
        <w:tc>
          <w:tcPr>
            <w:tcW w:w="960" w:type="dxa"/>
            <w:vAlign w:val="bottom"/>
            <w:shd w:val="clear" w:color="auto" w:fill="CCEEFF"/>
          </w:tcPr>
          <w:p>
            <w:pPr>
              <w:jc w:val="center"/>
              <w:ind w:right="197"/>
              <w:spacing w:after="0" w:line="121" w:lineRule="exact"/>
              <w:rPr>
                <w:sz w:val="20"/>
                <w:szCs w:val="20"/>
                <w:color w:val="auto"/>
              </w:rPr>
            </w:pPr>
            <w:r>
              <w:rPr>
                <w:rFonts w:ascii="Arial" w:cs="Arial" w:eastAsia="Arial" w:hAnsi="Arial"/>
                <w:sz w:val="13"/>
                <w:szCs w:val="13"/>
                <w:color w:val="auto"/>
                <w:w w:val="89"/>
              </w:rPr>
              <w:t>07/18/2019</w:t>
            </w:r>
          </w:p>
        </w:tc>
        <w:tc>
          <w:tcPr>
            <w:tcW w:w="1480" w:type="dxa"/>
            <w:vAlign w:val="bottom"/>
            <w:shd w:val="clear" w:color="auto" w:fill="CCEEFF"/>
          </w:tcPr>
          <w:p>
            <w:pPr>
              <w:jc w:val="center"/>
              <w:ind w:right="77"/>
              <w:spacing w:after="0" w:line="121" w:lineRule="exact"/>
              <w:rPr>
                <w:sz w:val="20"/>
                <w:szCs w:val="20"/>
                <w:color w:val="auto"/>
              </w:rPr>
            </w:pPr>
            <w:r>
              <w:rPr>
                <w:rFonts w:ascii="Arial" w:cs="Arial" w:eastAsia="Arial" w:hAnsi="Arial"/>
                <w:sz w:val="13"/>
                <w:szCs w:val="13"/>
                <w:color w:val="auto"/>
                <w:w w:val="91"/>
              </w:rPr>
              <w:t>Energy and Utilities</w:t>
            </w:r>
          </w:p>
        </w:tc>
        <w:tc>
          <w:tcPr>
            <w:tcW w:w="124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10.00%</w:t>
            </w:r>
          </w:p>
        </w:tc>
        <w:tc>
          <w:tcPr>
            <w:tcW w:w="1340" w:type="dxa"/>
            <w:vAlign w:val="bottom"/>
            <w:gridSpan w:val="2"/>
            <w:shd w:val="clear" w:color="auto" w:fill="CCEEFF"/>
          </w:tcPr>
          <w:p>
            <w:pPr>
              <w:jc w:val="right"/>
              <w:ind w:right="400"/>
              <w:spacing w:after="0" w:line="121" w:lineRule="exact"/>
              <w:rPr>
                <w:sz w:val="20"/>
                <w:szCs w:val="20"/>
                <w:color w:val="auto"/>
              </w:rPr>
            </w:pPr>
            <w:r>
              <w:rPr>
                <w:rFonts w:ascii="Arial" w:cs="Arial" w:eastAsia="Arial" w:hAnsi="Arial"/>
                <w:sz w:val="13"/>
                <w:szCs w:val="13"/>
                <w:color w:val="auto"/>
              </w:rPr>
              <w:t>L+800</w:t>
            </w:r>
          </w:p>
        </w:tc>
        <w:tc>
          <w:tcPr>
            <w:tcW w:w="96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w w:val="92"/>
              </w:rPr>
              <w:t>84,606,067</w:t>
            </w: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rPr>
              <w:t>83,653,689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68,319,399</w:t>
            </w:r>
          </w:p>
        </w:tc>
        <w:tc>
          <w:tcPr>
            <w:tcW w:w="0" w:type="dxa"/>
            <w:vAlign w:val="bottom"/>
          </w:tcPr>
          <w:p>
            <w:pPr>
              <w:spacing w:after="0"/>
              <w:rPr>
                <w:sz w:val="1"/>
                <w:szCs w:val="1"/>
                <w:color w:val="auto"/>
              </w:rPr>
            </w:pPr>
          </w:p>
        </w:tc>
      </w:tr>
      <w:tr>
        <w:trPr>
          <w:trHeight w:val="163"/>
        </w:trPr>
        <w:tc>
          <w:tcPr>
            <w:tcW w:w="3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(PIK 10.00%)</w:t>
            </w: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120" w:type="dxa"/>
            <w:vAlign w:val="bottom"/>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960" w:type="dxa"/>
            <w:vAlign w:val="bottom"/>
          </w:tcPr>
          <w:p>
            <w:pPr>
              <w:jc w:val="center"/>
              <w:ind w:right="197"/>
              <w:spacing w:after="0" w:line="121" w:lineRule="exact"/>
              <w:rPr>
                <w:sz w:val="20"/>
                <w:szCs w:val="20"/>
                <w:color w:val="auto"/>
              </w:rPr>
            </w:pPr>
            <w:r>
              <w:rPr>
                <w:rFonts w:ascii="Arial" w:cs="Arial" w:eastAsia="Arial" w:hAnsi="Arial"/>
                <w:sz w:val="13"/>
                <w:szCs w:val="13"/>
                <w:color w:val="auto"/>
                <w:w w:val="89"/>
              </w:rPr>
              <w:t>12/31/2018</w:t>
            </w:r>
          </w:p>
        </w:tc>
        <w:tc>
          <w:tcPr>
            <w:tcW w:w="1480" w:type="dxa"/>
            <w:vAlign w:val="bottom"/>
          </w:tcPr>
          <w:p>
            <w:pPr>
              <w:jc w:val="center"/>
              <w:ind w:right="97"/>
              <w:spacing w:after="0" w:line="121" w:lineRule="exact"/>
              <w:rPr>
                <w:sz w:val="20"/>
                <w:szCs w:val="20"/>
                <w:color w:val="auto"/>
              </w:rPr>
            </w:pPr>
            <w:r>
              <w:rPr>
                <w:rFonts w:ascii="Arial" w:cs="Arial" w:eastAsia="Arial" w:hAnsi="Arial"/>
                <w:sz w:val="13"/>
                <w:szCs w:val="13"/>
                <w:color w:val="auto"/>
                <w:w w:val="90"/>
              </w:rPr>
              <w:t>Media</w:t>
            </w:r>
          </w:p>
        </w:tc>
        <w:tc>
          <w:tcPr>
            <w:tcW w:w="12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14.00%</w:t>
            </w:r>
          </w:p>
        </w:tc>
        <w:tc>
          <w:tcPr>
            <w:tcW w:w="1340" w:type="dxa"/>
            <w:vAlign w:val="bottom"/>
            <w:gridSpan w:val="2"/>
          </w:tcPr>
          <w:p>
            <w:pPr>
              <w:jc w:val="right"/>
              <w:ind w:right="400"/>
              <w:spacing w:after="0" w:line="121" w:lineRule="exact"/>
              <w:rPr>
                <w:sz w:val="20"/>
                <w:szCs w:val="20"/>
                <w:color w:val="auto"/>
              </w:rPr>
            </w:pPr>
            <w:r>
              <w:rPr>
                <w:rFonts w:ascii="Arial" w:cs="Arial" w:eastAsia="Arial" w:hAnsi="Arial"/>
                <w:sz w:val="13"/>
                <w:szCs w:val="13"/>
                <w:color w:val="auto"/>
              </w:rPr>
              <w:t>L+1,300</w:t>
            </w:r>
          </w:p>
        </w:tc>
        <w:tc>
          <w:tcPr>
            <w:tcW w:w="96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w w:val="92"/>
              </w:rPr>
              <w:t>26,516,321</w:t>
            </w:r>
          </w:p>
        </w:tc>
        <w:tc>
          <w:tcPr>
            <w:tcW w:w="80" w:type="dxa"/>
            <w:vAlign w:val="bottom"/>
          </w:tcPr>
          <w:p>
            <w:pPr>
              <w:spacing w:after="0"/>
              <w:rPr>
                <w:sz w:val="10"/>
                <w:szCs w:val="10"/>
                <w:color w:val="auto"/>
              </w:rPr>
            </w:pPr>
          </w:p>
        </w:tc>
        <w:tc>
          <w:tcPr>
            <w:tcW w:w="106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rPr>
              <w:t>24,845,647</w:t>
            </w:r>
          </w:p>
        </w:tc>
        <w:tc>
          <w:tcPr>
            <w:tcW w:w="80" w:type="dxa"/>
            <w:vAlign w:val="bottom"/>
          </w:tcPr>
          <w:p>
            <w:pPr>
              <w:spacing w:after="0"/>
              <w:rPr>
                <w:sz w:val="10"/>
                <w:szCs w:val="10"/>
                <w:color w:val="auto"/>
              </w:rPr>
            </w:pPr>
          </w:p>
        </w:tc>
        <w:tc>
          <w:tcPr>
            <w:tcW w:w="9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26,516,321</w:t>
            </w:r>
          </w:p>
        </w:tc>
        <w:tc>
          <w:tcPr>
            <w:tcW w:w="0" w:type="dxa"/>
            <w:vAlign w:val="bottom"/>
          </w:tcPr>
          <w:p>
            <w:pPr>
              <w:spacing w:after="0"/>
              <w:rPr>
                <w:sz w:val="1"/>
                <w:szCs w:val="1"/>
                <w:color w:val="auto"/>
              </w:rPr>
            </w:pPr>
          </w:p>
        </w:tc>
      </w:tr>
      <w:tr>
        <w:trPr>
          <w:trHeight w:val="170"/>
        </w:trPr>
        <w:tc>
          <w:tcPr>
            <w:tcW w:w="3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ind w:left="320"/>
              <w:spacing w:after="0"/>
              <w:rPr>
                <w:sz w:val="20"/>
                <w:szCs w:val="20"/>
                <w:color w:val="auto"/>
              </w:rPr>
            </w:pPr>
            <w:r>
              <w:rPr>
                <w:rFonts w:ascii="Arial" w:cs="Arial" w:eastAsia="Arial" w:hAnsi="Arial"/>
                <w:sz w:val="13"/>
                <w:szCs w:val="13"/>
                <w:color w:val="auto"/>
              </w:rPr>
              <w:t>(PIK 14.00%)</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9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w w:val="96"/>
              </w:rPr>
              <w:t>108,499,336</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94,835,720</w:t>
            </w:r>
          </w:p>
        </w:tc>
        <w:tc>
          <w:tcPr>
            <w:tcW w:w="0" w:type="dxa"/>
            <w:vAlign w:val="bottom"/>
          </w:tcPr>
          <w:p>
            <w:pPr>
              <w:spacing w:after="0"/>
              <w:rPr>
                <w:sz w:val="1"/>
                <w:szCs w:val="1"/>
                <w:color w:val="auto"/>
              </w:rPr>
            </w:pPr>
          </w:p>
        </w:tc>
      </w:tr>
      <w:tr>
        <w:trPr>
          <w:trHeight w:val="142"/>
        </w:trPr>
        <w:tc>
          <w:tcPr>
            <w:tcW w:w="3120" w:type="dxa"/>
            <w:vAlign w:val="bottom"/>
          </w:tcPr>
          <w:p>
            <w:pPr>
              <w:spacing w:after="0" w:line="142" w:lineRule="exact"/>
              <w:rPr>
                <w:sz w:val="20"/>
                <w:szCs w:val="20"/>
                <w:color w:val="auto"/>
              </w:rPr>
            </w:pPr>
            <w:r>
              <w:rPr>
                <w:rFonts w:ascii="Arial" w:cs="Arial" w:eastAsia="Arial" w:hAnsi="Arial"/>
                <w:sz w:val="13"/>
                <w:szCs w:val="13"/>
                <w:b w:val="1"/>
                <w:bCs w:val="1"/>
                <w:color w:val="auto"/>
              </w:rPr>
              <w:t>Second Lien Secured Debt—1.2%</w:t>
            </w:r>
          </w:p>
        </w:tc>
        <w:tc>
          <w:tcPr>
            <w:tcW w:w="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1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960" w:type="dxa"/>
            <w:vAlign w:val="bottom"/>
            <w:shd w:val="clear" w:color="auto" w:fill="CCEEFF"/>
          </w:tcPr>
          <w:p>
            <w:pPr>
              <w:jc w:val="center"/>
              <w:ind w:right="197"/>
              <w:spacing w:after="0" w:line="121" w:lineRule="exact"/>
              <w:rPr>
                <w:sz w:val="20"/>
                <w:szCs w:val="20"/>
                <w:color w:val="auto"/>
              </w:rPr>
            </w:pPr>
            <w:r>
              <w:rPr>
                <w:rFonts w:ascii="Arial" w:cs="Arial" w:eastAsia="Arial" w:hAnsi="Arial"/>
                <w:sz w:val="13"/>
                <w:szCs w:val="13"/>
                <w:color w:val="auto"/>
                <w:w w:val="89"/>
              </w:rPr>
              <w:t>07/01/2019</w:t>
            </w:r>
          </w:p>
        </w:tc>
        <w:tc>
          <w:tcPr>
            <w:tcW w:w="1480" w:type="dxa"/>
            <w:vAlign w:val="bottom"/>
            <w:shd w:val="clear" w:color="auto" w:fill="CCEEFF"/>
          </w:tcPr>
          <w:p>
            <w:pPr>
              <w:jc w:val="center"/>
              <w:ind w:right="97"/>
              <w:spacing w:after="0" w:line="121" w:lineRule="exact"/>
              <w:rPr>
                <w:sz w:val="20"/>
                <w:szCs w:val="20"/>
                <w:color w:val="auto"/>
              </w:rPr>
            </w:pPr>
            <w:r>
              <w:rPr>
                <w:rFonts w:ascii="Arial" w:cs="Arial" w:eastAsia="Arial" w:hAnsi="Arial"/>
                <w:sz w:val="13"/>
                <w:szCs w:val="13"/>
                <w:color w:val="auto"/>
                <w:w w:val="90"/>
              </w:rPr>
              <w:t>Media</w:t>
            </w:r>
          </w:p>
        </w:tc>
        <w:tc>
          <w:tcPr>
            <w:tcW w:w="124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16.00%</w:t>
            </w:r>
          </w:p>
        </w:tc>
        <w:tc>
          <w:tcPr>
            <w:tcW w:w="1340" w:type="dxa"/>
            <w:vAlign w:val="bottom"/>
            <w:gridSpan w:val="2"/>
            <w:shd w:val="clear" w:color="auto" w:fill="CCEEFF"/>
          </w:tcPr>
          <w:p>
            <w:pPr>
              <w:jc w:val="right"/>
              <w:ind w:right="400"/>
              <w:spacing w:after="0" w:line="121" w:lineRule="exact"/>
              <w:rPr>
                <w:sz w:val="20"/>
                <w:szCs w:val="20"/>
                <w:color w:val="auto"/>
              </w:rPr>
            </w:pPr>
            <w:r>
              <w:rPr>
                <w:rFonts w:ascii="Arial" w:cs="Arial" w:eastAsia="Arial" w:hAnsi="Arial"/>
                <w:sz w:val="13"/>
                <w:szCs w:val="13"/>
                <w:color w:val="auto"/>
              </w:rPr>
              <w:t>L+1,500</w:t>
            </w:r>
          </w:p>
        </w:tc>
        <w:tc>
          <w:tcPr>
            <w:tcW w:w="96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rPr>
              <w:t>8,675,815</w:t>
            </w:r>
          </w:p>
        </w:tc>
        <w:tc>
          <w:tcPr>
            <w:tcW w:w="8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rPr>
              <w:t>8,675,815</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7,346,315</w:t>
            </w:r>
          </w:p>
        </w:tc>
        <w:tc>
          <w:tcPr>
            <w:tcW w:w="0" w:type="dxa"/>
            <w:vAlign w:val="bottom"/>
          </w:tcPr>
          <w:p>
            <w:pPr>
              <w:spacing w:after="0"/>
              <w:rPr>
                <w:sz w:val="1"/>
                <w:szCs w:val="1"/>
                <w:color w:val="auto"/>
              </w:rPr>
            </w:pPr>
          </w:p>
        </w:tc>
      </w:tr>
      <w:tr>
        <w:trPr>
          <w:trHeight w:val="163"/>
        </w:trPr>
        <w:tc>
          <w:tcPr>
            <w:tcW w:w="3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(PIK 16.00%)</w:t>
            </w: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Preferred Equity—3.1% </w:t>
            </w:r>
            <w:r>
              <w:rPr>
                <w:rFonts w:ascii="Arial" w:cs="Arial" w:eastAsia="Arial" w:hAnsi="Arial"/>
                <w:sz w:val="10"/>
                <w:szCs w:val="10"/>
                <w:b w:val="1"/>
                <w:bCs w:val="1"/>
                <w:color w:val="auto"/>
              </w:rPr>
              <w:t>(6)</w:t>
            </w:r>
          </w:p>
        </w:tc>
        <w:tc>
          <w:tcPr>
            <w:tcW w:w="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MidOcean JF Holdings Corp.</w:t>
            </w:r>
          </w:p>
        </w:tc>
        <w:tc>
          <w:tcPr>
            <w:tcW w:w="960" w:type="dxa"/>
            <w:vAlign w:val="bottom"/>
            <w:shd w:val="clear" w:color="auto" w:fill="CCEEFF"/>
          </w:tcPr>
          <w:p>
            <w:pPr>
              <w:jc w:val="center"/>
              <w:ind w:right="197"/>
              <w:spacing w:after="0" w:line="135" w:lineRule="exact"/>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95"/>
              </w:rPr>
              <w:t>Distribution</w:t>
            </w:r>
          </w:p>
        </w:tc>
        <w:tc>
          <w:tcPr>
            <w:tcW w:w="124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143,183</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14,318,325</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20,151,529</w:t>
            </w:r>
          </w:p>
        </w:tc>
        <w:tc>
          <w:tcPr>
            <w:tcW w:w="0" w:type="dxa"/>
            <w:vAlign w:val="bottom"/>
          </w:tcPr>
          <w:p>
            <w:pPr>
              <w:spacing w:after="0"/>
              <w:rPr>
                <w:sz w:val="1"/>
                <w:szCs w:val="1"/>
                <w:color w:val="auto"/>
              </w:rPr>
            </w:pPr>
          </w:p>
        </w:tc>
      </w:tr>
      <w:tr>
        <w:trPr>
          <w:trHeight w:val="135"/>
        </w:trPr>
        <w:tc>
          <w:tcPr>
            <w:tcW w:w="3120" w:type="dxa"/>
            <w:vAlign w:val="bottom"/>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960" w:type="dxa"/>
            <w:vAlign w:val="bottom"/>
          </w:tcPr>
          <w:p>
            <w:pPr>
              <w:jc w:val="center"/>
              <w:ind w:right="197"/>
              <w:spacing w:after="0" w:line="135" w:lineRule="exact"/>
              <w:rPr>
                <w:sz w:val="20"/>
                <w:szCs w:val="20"/>
                <w:color w:val="auto"/>
              </w:rPr>
            </w:pPr>
            <w:r>
              <w:rPr>
                <w:rFonts w:ascii="Arial" w:cs="Arial" w:eastAsia="Arial" w:hAnsi="Arial"/>
                <w:sz w:val="13"/>
                <w:szCs w:val="13"/>
                <w:color w:val="auto"/>
              </w:rPr>
              <w:t>—</w:t>
            </w:r>
          </w:p>
        </w:tc>
        <w:tc>
          <w:tcPr>
            <w:tcW w:w="148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90"/>
              </w:rPr>
              <w:t>Media</w:t>
            </w:r>
          </w:p>
        </w:tc>
        <w:tc>
          <w:tcPr>
            <w:tcW w:w="12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15.00%</w:t>
            </w:r>
          </w:p>
        </w:tc>
        <w:tc>
          <w:tcPr>
            <w:tcW w:w="1340" w:type="dxa"/>
            <w:vAlign w:val="bottom"/>
            <w:gridSpan w:val="2"/>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103,916</w:t>
            </w:r>
          </w:p>
        </w:tc>
        <w:tc>
          <w:tcPr>
            <w:tcW w:w="80" w:type="dxa"/>
            <w:vAlign w:val="bottom"/>
          </w:tcPr>
          <w:p>
            <w:pPr>
              <w:spacing w:after="0"/>
              <w:rPr>
                <w:sz w:val="11"/>
                <w:szCs w:val="11"/>
                <w:color w:val="auto"/>
              </w:rPr>
            </w:pPr>
          </w:p>
        </w:tc>
        <w:tc>
          <w:tcPr>
            <w:tcW w:w="106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7,000,000</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w:t>
            </w:r>
          </w:p>
        </w:tc>
        <w:tc>
          <w:tcPr>
            <w:tcW w:w="9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21,318,325</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20,151,529</w:t>
            </w:r>
          </w:p>
        </w:tc>
        <w:tc>
          <w:tcPr>
            <w:tcW w:w="0" w:type="dxa"/>
            <w:vAlign w:val="bottom"/>
          </w:tcPr>
          <w:p>
            <w:pPr>
              <w:spacing w:after="0"/>
              <w:rPr>
                <w:sz w:val="1"/>
                <w:szCs w:val="1"/>
                <w:color w:val="auto"/>
              </w:rPr>
            </w:pPr>
          </w:p>
        </w:tc>
      </w:tr>
      <w:tr>
        <w:trPr>
          <w:trHeight w:val="142"/>
        </w:trPr>
        <w:tc>
          <w:tcPr>
            <w:tcW w:w="312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Common Equity—0.4% </w:t>
            </w:r>
            <w:r>
              <w:rPr>
                <w:rFonts w:ascii="Arial" w:cs="Arial" w:eastAsia="Arial" w:hAnsi="Arial"/>
                <w:sz w:val="10"/>
                <w:szCs w:val="10"/>
                <w:b w:val="1"/>
                <w:bCs w:val="1"/>
                <w:color w:val="auto"/>
              </w:rPr>
              <w:t>(6)</w:t>
            </w:r>
          </w:p>
        </w:tc>
        <w:tc>
          <w:tcPr>
            <w:tcW w:w="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MidOcean JF Holdings Corp.</w:t>
            </w:r>
          </w:p>
        </w:tc>
        <w:tc>
          <w:tcPr>
            <w:tcW w:w="960" w:type="dxa"/>
            <w:vAlign w:val="bottom"/>
            <w:shd w:val="clear" w:color="auto" w:fill="CCEEFF"/>
          </w:tcPr>
          <w:p>
            <w:pPr>
              <w:jc w:val="center"/>
              <w:ind w:right="197"/>
              <w:spacing w:after="0" w:line="135" w:lineRule="exact"/>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95"/>
              </w:rPr>
              <w:t>Distribution</w:t>
            </w:r>
          </w:p>
        </w:tc>
        <w:tc>
          <w:tcPr>
            <w:tcW w:w="124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65,933</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24,761,831</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2,686,073</w:t>
            </w:r>
          </w:p>
        </w:tc>
        <w:tc>
          <w:tcPr>
            <w:tcW w:w="0" w:type="dxa"/>
            <w:vAlign w:val="bottom"/>
          </w:tcPr>
          <w:p>
            <w:pPr>
              <w:spacing w:after="0"/>
              <w:rPr>
                <w:sz w:val="1"/>
                <w:szCs w:val="1"/>
                <w:color w:val="auto"/>
              </w:rPr>
            </w:pPr>
          </w:p>
        </w:tc>
      </w:tr>
      <w:tr>
        <w:trPr>
          <w:trHeight w:val="135"/>
        </w:trPr>
        <w:tc>
          <w:tcPr>
            <w:tcW w:w="3120" w:type="dxa"/>
            <w:vAlign w:val="bottom"/>
          </w:tcPr>
          <w:p>
            <w:pPr>
              <w:spacing w:after="0" w:line="135" w:lineRule="exact"/>
              <w:rPr>
                <w:sz w:val="20"/>
                <w:szCs w:val="20"/>
                <w:color w:val="auto"/>
              </w:rPr>
            </w:pPr>
            <w:r>
              <w:rPr>
                <w:rFonts w:ascii="Arial" w:cs="Arial" w:eastAsia="Arial" w:hAnsi="Arial"/>
                <w:sz w:val="13"/>
                <w:szCs w:val="13"/>
                <w:color w:val="auto"/>
              </w:rPr>
              <w:t>RAM Energy Holdings LLC</w:t>
            </w:r>
          </w:p>
        </w:tc>
        <w:tc>
          <w:tcPr>
            <w:tcW w:w="960" w:type="dxa"/>
            <w:vAlign w:val="bottom"/>
          </w:tcPr>
          <w:p>
            <w:pPr>
              <w:jc w:val="center"/>
              <w:ind w:right="197"/>
              <w:spacing w:after="0" w:line="135" w:lineRule="exact"/>
              <w:rPr>
                <w:sz w:val="20"/>
                <w:szCs w:val="20"/>
                <w:color w:val="auto"/>
              </w:rPr>
            </w:pPr>
            <w:r>
              <w:rPr>
                <w:rFonts w:ascii="Arial" w:cs="Arial" w:eastAsia="Arial" w:hAnsi="Arial"/>
                <w:sz w:val="13"/>
                <w:szCs w:val="13"/>
                <w:color w:val="auto"/>
              </w:rPr>
              <w:t>—</w:t>
            </w:r>
          </w:p>
        </w:tc>
        <w:tc>
          <w:tcPr>
            <w:tcW w:w="148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91"/>
              </w:rPr>
              <w:t>Energy and Utilities</w:t>
            </w:r>
          </w:p>
        </w:tc>
        <w:tc>
          <w:tcPr>
            <w:tcW w:w="124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23,141</w:t>
            </w:r>
          </w:p>
        </w:tc>
        <w:tc>
          <w:tcPr>
            <w:tcW w:w="80" w:type="dxa"/>
            <w:vAlign w:val="bottom"/>
          </w:tcPr>
          <w:p>
            <w:pPr>
              <w:spacing w:after="0"/>
              <w:rPr>
                <w:sz w:val="11"/>
                <w:szCs w:val="11"/>
                <w:color w:val="auto"/>
              </w:rPr>
            </w:pPr>
          </w:p>
        </w:tc>
        <w:tc>
          <w:tcPr>
            <w:tcW w:w="106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20,824,388</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960" w:type="dxa"/>
            <w:vAlign w:val="bottom"/>
            <w:shd w:val="clear" w:color="auto" w:fill="CCEEFF"/>
          </w:tcPr>
          <w:p>
            <w:pPr>
              <w:jc w:val="center"/>
              <w:ind w:right="197"/>
              <w:spacing w:after="0" w:line="135" w:lineRule="exact"/>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center"/>
              <w:ind w:right="97"/>
              <w:spacing w:after="0" w:line="135" w:lineRule="exact"/>
              <w:rPr>
                <w:sz w:val="20"/>
                <w:szCs w:val="20"/>
                <w:color w:val="auto"/>
              </w:rPr>
            </w:pPr>
            <w:r>
              <w:rPr>
                <w:rFonts w:ascii="Arial" w:cs="Arial" w:eastAsia="Arial" w:hAnsi="Arial"/>
                <w:sz w:val="13"/>
                <w:szCs w:val="13"/>
                <w:color w:val="auto"/>
                <w:w w:val="90"/>
              </w:rPr>
              <w:t>Media</w:t>
            </w:r>
          </w:p>
        </w:tc>
        <w:tc>
          <w:tcPr>
            <w:tcW w:w="124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11,100</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2,211,000</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120" w:type="dxa"/>
            <w:vAlign w:val="bottom"/>
          </w:tcPr>
          <w:p>
            <w:pPr>
              <w:spacing w:after="0" w:line="142" w:lineRule="exact"/>
              <w:rPr>
                <w:sz w:val="20"/>
                <w:szCs w:val="20"/>
                <w:color w:val="auto"/>
              </w:rPr>
            </w:pPr>
            <w:r>
              <w:rPr>
                <w:rFonts w:ascii="Arial" w:cs="Arial" w:eastAsia="Arial" w:hAnsi="Arial"/>
                <w:sz w:val="13"/>
                <w:szCs w:val="13"/>
                <w:b w:val="1"/>
                <w:bCs w:val="1"/>
                <w:color w:val="auto"/>
              </w:rPr>
              <w:t>Total Common Equity</w:t>
            </w:r>
          </w:p>
        </w:tc>
        <w:tc>
          <w:tcPr>
            <w:tcW w:w="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47,797,219</w:t>
            </w: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2,686,073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in Controlled, Affiliated Portfolio Companies</w:t>
            </w:r>
          </w:p>
        </w:tc>
        <w:tc>
          <w:tcPr>
            <w:tcW w:w="14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w w:val="96"/>
              </w:rPr>
              <w:t>186,290,695</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125,019,637</w:t>
            </w:r>
          </w:p>
        </w:tc>
        <w:tc>
          <w:tcPr>
            <w:tcW w:w="0" w:type="dxa"/>
            <w:vAlign w:val="bottom"/>
          </w:tcPr>
          <w:p>
            <w:pPr>
              <w:spacing w:after="0"/>
              <w:rPr>
                <w:sz w:val="1"/>
                <w:szCs w:val="1"/>
                <w:color w:val="auto"/>
              </w:rPr>
            </w:pPr>
          </w:p>
        </w:tc>
      </w:tr>
      <w:tr>
        <w:trPr>
          <w:trHeight w:val="149"/>
        </w:trPr>
        <w:tc>
          <w:tcPr>
            <w:tcW w:w="3120" w:type="dxa"/>
            <w:vAlign w:val="bottom"/>
          </w:tcPr>
          <w:p>
            <w:pPr>
              <w:spacing w:after="0" w:line="142" w:lineRule="exact"/>
              <w:rPr>
                <w:sz w:val="20"/>
                <w:szCs w:val="20"/>
                <w:color w:val="auto"/>
              </w:rPr>
            </w:pPr>
            <w:r>
              <w:rPr>
                <w:rFonts w:ascii="Arial" w:cs="Arial" w:eastAsia="Arial" w:hAnsi="Arial"/>
                <w:sz w:val="13"/>
                <w:szCs w:val="13"/>
                <w:b w:val="1"/>
                <w:bCs w:val="1"/>
                <w:color w:val="auto"/>
              </w:rPr>
              <w:t>Total Investments—179.3%</w:t>
            </w:r>
          </w:p>
        </w:tc>
        <w:tc>
          <w:tcPr>
            <w:tcW w:w="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4"/>
              </w:rPr>
              <w:t>1,253,957,146</w:t>
            </w: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1,153,679,675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and Cash Equivalents—11.8%</w:t>
            </w:r>
          </w:p>
        </w:tc>
        <w:tc>
          <w:tcPr>
            <w:tcW w:w="9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line="135" w:lineRule="exact"/>
              <w:rPr>
                <w:sz w:val="20"/>
                <w:szCs w:val="20"/>
                <w:color w:val="auto"/>
              </w:rPr>
            </w:pPr>
            <w:r>
              <w:rPr>
                <w:rFonts w:ascii="Arial" w:cs="Arial" w:eastAsia="Arial" w:hAnsi="Arial"/>
                <w:sz w:val="13"/>
                <w:szCs w:val="13"/>
                <w:color w:val="auto"/>
                <w:w w:val="89"/>
              </w:rPr>
              <w:t>BlackRock Liquidity Funds, Temp Cash, Institutional Shares</w:t>
            </w:r>
          </w:p>
        </w:tc>
        <w:tc>
          <w:tcPr>
            <w:tcW w:w="9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64,897,736</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64,897,736</w:t>
            </w:r>
          </w:p>
        </w:tc>
        <w:tc>
          <w:tcPr>
            <w:tcW w:w="0" w:type="dxa"/>
            <w:vAlign w:val="bottom"/>
          </w:tcPr>
          <w:p>
            <w:pPr>
              <w:spacing w:after="0"/>
              <w:rPr>
                <w:sz w:val="1"/>
                <w:szCs w:val="1"/>
                <w:color w:val="auto"/>
              </w:rPr>
            </w:pPr>
          </w:p>
        </w:tc>
      </w:tr>
      <w:tr>
        <w:trPr>
          <w:trHeight w:val="135"/>
        </w:trPr>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9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10,719,397</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10,710,377</w:t>
            </w:r>
          </w:p>
        </w:tc>
        <w:tc>
          <w:tcPr>
            <w:tcW w:w="0" w:type="dxa"/>
            <w:vAlign w:val="bottom"/>
          </w:tcPr>
          <w:p>
            <w:pPr>
              <w:spacing w:after="0"/>
              <w:rPr>
                <w:sz w:val="1"/>
                <w:szCs w:val="1"/>
                <w:color w:val="auto"/>
              </w:rPr>
            </w:pPr>
          </w:p>
        </w:tc>
      </w:tr>
      <w:tr>
        <w:trPr>
          <w:trHeight w:val="149"/>
        </w:trPr>
        <w:tc>
          <w:tcPr>
            <w:tcW w:w="3120" w:type="dxa"/>
            <w:vAlign w:val="bottom"/>
          </w:tcPr>
          <w:p>
            <w:pPr>
              <w:spacing w:after="0" w:line="142" w:lineRule="exact"/>
              <w:rPr>
                <w:sz w:val="20"/>
                <w:szCs w:val="20"/>
                <w:color w:val="auto"/>
              </w:rPr>
            </w:pPr>
            <w:r>
              <w:rPr>
                <w:rFonts w:ascii="Arial" w:cs="Arial" w:eastAsia="Arial" w:hAnsi="Arial"/>
                <w:sz w:val="13"/>
                <w:szCs w:val="13"/>
                <w:b w:val="1"/>
                <w:bCs w:val="1"/>
                <w:color w:val="auto"/>
              </w:rPr>
              <w:t>Total Cash and Cash Equivalents</w:t>
            </w:r>
          </w:p>
        </w:tc>
        <w:tc>
          <w:tcPr>
            <w:tcW w:w="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75,617,133</w:t>
            </w: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75,608,113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Equivalents—191.1%</w:t>
            </w:r>
          </w:p>
        </w:tc>
        <w:tc>
          <w:tcPr>
            <w:tcW w:w="9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w w:val="84"/>
              </w:rPr>
              <w:t>1,329,574,279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8"/>
              </w:rPr>
              <w:t>1,229,287,788</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3"/>
                <w:szCs w:val="13"/>
                <w:b w:val="1"/>
                <w:bCs w:val="1"/>
                <w:color w:val="auto"/>
              </w:rPr>
              <w:t>Liabilities in Excess of Other Assets—(91.1%)</w:t>
            </w:r>
          </w:p>
        </w:tc>
        <w:tc>
          <w:tcPr>
            <w:tcW w:w="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3"/>
                <w:szCs w:val="13"/>
                <w:color w:val="auto"/>
              </w:rPr>
              <w:t>(585,920,932)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9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643,366,856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16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76" w:lineRule="exact"/>
        <w:rPr>
          <w:sz w:val="20"/>
          <w:szCs w:val="20"/>
          <w:color w:val="auto"/>
        </w:rPr>
      </w:pPr>
    </w:p>
    <w:p>
      <w:pPr>
        <w:ind w:left="460" w:right="160" w:hanging="452"/>
        <w:spacing w:after="0" w:line="243" w:lineRule="auto"/>
        <w:tabs>
          <w:tab w:leader="none" w:pos="4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460" w:right="100" w:hanging="452"/>
        <w:spacing w:after="0" w:line="234" w:lineRule="auto"/>
        <w:tabs>
          <w:tab w:leader="none" w:pos="4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460" w:hanging="452"/>
        <w:spacing w:after="0" w:line="234" w:lineRule="auto"/>
        <w:tabs>
          <w:tab w:leader="none" w:pos="4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460" w:right="100" w:hanging="452"/>
        <w:spacing w:after="0" w:line="234" w:lineRule="auto"/>
        <w:tabs>
          <w:tab w:leader="none" w:pos="4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ind w:left="460" w:right="280" w:hanging="452"/>
        <w:spacing w:after="0" w:line="234" w:lineRule="auto"/>
        <w:tabs>
          <w:tab w:leader="none" w:pos="4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460" w:hanging="452"/>
        <w:spacing w:after="0" w:line="234" w:lineRule="auto"/>
        <w:tabs>
          <w:tab w:leader="none" w:pos="4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460" w:hanging="452"/>
        <w:spacing w:after="0" w:line="234" w:lineRule="auto"/>
        <w:tabs>
          <w:tab w:leader="none" w:pos="4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460" w:hanging="452"/>
        <w:spacing w:after="0"/>
        <w:tabs>
          <w:tab w:leader="none" w:pos="460" w:val="left"/>
        </w:tabs>
        <w:numPr>
          <w:ilvl w:val="0"/>
          <w:numId w:val="39"/>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460" w:hanging="452"/>
        <w:spacing w:after="0" w:line="234" w:lineRule="auto"/>
        <w:tabs>
          <w:tab w:leader="none" w:pos="4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460" w:hanging="452"/>
        <w:spacing w:after="0" w:line="234" w:lineRule="auto"/>
        <w:tabs>
          <w:tab w:leader="none" w:pos="4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Investment is held through a consolidated taxable subsidiary (See Note 1 to the financial statements).</w:t>
      </w:r>
    </w:p>
    <w:p>
      <w:pPr>
        <w:ind w:left="460" w:hanging="452"/>
        <w:spacing w:after="0" w:line="234" w:lineRule="auto"/>
        <w:tabs>
          <w:tab w:leader="none" w:pos="4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ind w:left="460" w:right="180" w:hanging="452"/>
        <w:spacing w:after="0" w:line="237" w:lineRule="auto"/>
        <w:tabs>
          <w:tab w:leader="none" w:pos="4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40"/>
          </w:cols>
          <w:pgMar w:left="32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1"/>
              </w:rPr>
              <w:t>Basis Point</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1000" w:type="dxa"/>
            <w:vAlign w:val="bottom"/>
            <w:vMerge w:val="restart"/>
          </w:tcPr>
          <w:p>
            <w:pPr>
              <w:ind w:left="340"/>
              <w:spacing w:after="0"/>
              <w:rPr>
                <w:sz w:val="20"/>
                <w:szCs w:val="20"/>
                <w:color w:val="auto"/>
              </w:rPr>
            </w:pPr>
            <w:r>
              <w:rPr>
                <w:rFonts w:ascii="Arial" w:cs="Arial" w:eastAsia="Arial" w:hAnsi="Arial"/>
                <w:sz w:val="13"/>
                <w:szCs w:val="13"/>
                <w:b w:val="1"/>
                <w:bCs w:val="1"/>
                <w:color w:val="auto"/>
              </w:rPr>
              <w:t>Maturity /</w:t>
            </w:r>
          </w:p>
        </w:tc>
        <w:tc>
          <w:tcPr>
            <w:tcW w:w="2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Spread</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920" w:type="dxa"/>
            <w:vAlign w:val="bottom"/>
          </w:tcPr>
          <w:p>
            <w:pPr>
              <w:ind w:left="140"/>
              <w:spacing w:after="0" w:line="126" w:lineRule="exact"/>
              <w:rPr>
                <w:sz w:val="20"/>
                <w:szCs w:val="20"/>
                <w:color w:val="auto"/>
              </w:rPr>
            </w:pPr>
            <w:r>
              <w:rPr>
                <w:rFonts w:ascii="Arial" w:cs="Arial" w:eastAsia="Arial" w:hAnsi="Arial"/>
                <w:sz w:val="13"/>
                <w:szCs w:val="13"/>
                <w:b w:val="1"/>
                <w:bCs w:val="1"/>
                <w:color w:val="auto"/>
              </w:rPr>
              <w:t>Current</w:t>
            </w:r>
          </w:p>
        </w:tc>
        <w:tc>
          <w:tcPr>
            <w:tcW w:w="92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85"/>
              </w:rPr>
              <w:t>Above</w:t>
            </w:r>
          </w:p>
        </w:tc>
        <w:tc>
          <w:tcPr>
            <w:tcW w:w="700" w:type="dxa"/>
            <w:vAlign w:val="bottom"/>
            <w:gridSpan w:val="2"/>
          </w:tcPr>
          <w:p>
            <w:pPr>
              <w:jc w:val="center"/>
              <w:ind w:right="80"/>
              <w:spacing w:after="0" w:line="126" w:lineRule="exact"/>
              <w:rPr>
                <w:sz w:val="20"/>
                <w:szCs w:val="20"/>
                <w:color w:val="auto"/>
              </w:rPr>
            </w:pPr>
            <w:r>
              <w:rPr>
                <w:rFonts w:ascii="Arial" w:cs="Arial" w:eastAsia="Arial" w:hAnsi="Arial"/>
                <w:sz w:val="13"/>
                <w:szCs w:val="13"/>
                <w:b w:val="1"/>
                <w:bCs w:val="1"/>
                <w:color w:val="auto"/>
                <w:w w:val="92"/>
              </w:rPr>
              <w:t>Par /</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1000" w:type="dxa"/>
            <w:vAlign w:val="bottom"/>
          </w:tcPr>
          <w:p>
            <w:pPr>
              <w:ind w:left="340"/>
              <w:spacing w:after="0"/>
              <w:rPr>
                <w:sz w:val="20"/>
                <w:szCs w:val="20"/>
                <w:color w:val="auto"/>
              </w:rPr>
            </w:pPr>
            <w:r>
              <w:rPr>
                <w:rFonts w:ascii="Arial" w:cs="Arial" w:eastAsia="Arial" w:hAnsi="Arial"/>
                <w:sz w:val="13"/>
                <w:szCs w:val="13"/>
                <w:b w:val="1"/>
                <w:bCs w:val="1"/>
                <w:color w:val="auto"/>
              </w:rPr>
              <w:t>Expiration</w:t>
            </w:r>
          </w:p>
        </w:tc>
        <w:tc>
          <w:tcPr>
            <w:tcW w:w="282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920" w:type="dxa"/>
            <w:vAlign w:val="bottom"/>
          </w:tcPr>
          <w:p>
            <w:pPr>
              <w:ind w:left="140"/>
              <w:spacing w:after="0"/>
              <w:rPr>
                <w:sz w:val="20"/>
                <w:szCs w:val="20"/>
                <w:color w:val="auto"/>
              </w:rPr>
            </w:pPr>
            <w:r>
              <w:rPr>
                <w:rFonts w:ascii="Arial" w:cs="Arial" w:eastAsia="Arial" w:hAnsi="Arial"/>
                <w:sz w:val="13"/>
                <w:szCs w:val="13"/>
                <w:b w:val="1"/>
                <w:bCs w:val="1"/>
                <w:color w:val="auto"/>
              </w:rPr>
              <w:t>Coupon</w:t>
            </w: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2"/>
              </w:rPr>
              <w:t>Shares</w:t>
            </w:r>
          </w:p>
        </w:tc>
        <w:tc>
          <w:tcPr>
            <w:tcW w:w="8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w w:val="99"/>
              </w:rPr>
              <w:t xml:space="preserve">Fair Value </w:t>
            </w:r>
            <w:r>
              <w:rPr>
                <w:rFonts w:ascii="Arial" w:cs="Arial" w:eastAsia="Arial" w:hAnsi="Arial"/>
                <w:sz w:val="10"/>
                <w:szCs w:val="10"/>
                <w:b w:val="1"/>
                <w:bCs w:val="1"/>
                <w:color w:val="auto"/>
                <w:w w:val="99"/>
              </w:rPr>
              <w:t>(3)</w:t>
            </w:r>
          </w:p>
        </w:tc>
        <w:tc>
          <w:tcPr>
            <w:tcW w:w="0" w:type="dxa"/>
            <w:vAlign w:val="bottom"/>
          </w:tcPr>
          <w:p>
            <w:pPr>
              <w:spacing w:after="0"/>
              <w:rPr>
                <w:sz w:val="1"/>
                <w:szCs w:val="1"/>
                <w:color w:val="auto"/>
              </w:rPr>
            </w:pPr>
          </w:p>
        </w:tc>
      </w:tr>
      <w:tr>
        <w:trPr>
          <w:trHeight w:val="128"/>
        </w:trPr>
        <w:tc>
          <w:tcPr>
            <w:tcW w:w="696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Investments in Non-Controlled, Non-Affiliated Portfolio Companies—153.0% </w:t>
            </w:r>
            <w:r>
              <w:rPr>
                <w:rFonts w:ascii="Arial" w:cs="Arial" w:eastAsia="Arial" w:hAnsi="Arial"/>
                <w:sz w:val="10"/>
                <w:szCs w:val="10"/>
                <w:b w:val="1"/>
                <w:bCs w:val="1"/>
                <w:color w:val="auto"/>
              </w:rPr>
              <w:t>(1), (2)</w:t>
            </w:r>
          </w:p>
        </w:tc>
        <w:tc>
          <w:tcPr>
            <w:tcW w:w="9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Debt—39.1%</w:t>
            </w:r>
          </w:p>
        </w:tc>
        <w:tc>
          <w:tcPr>
            <w:tcW w:w="10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Aircell Business Aviation Services LLC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03/21/2018</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Communications</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11.25%</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L+975</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22,689,469</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$ 22,109,951</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  23,483,601</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04/02/2018</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11.97%</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L+1,175</w:t>
            </w:r>
            <w:r>
              <w:rPr>
                <w:rFonts w:ascii="Arial" w:cs="Arial" w:eastAsia="Arial" w:hAnsi="Arial"/>
                <w:sz w:val="10"/>
                <w:szCs w:val="10"/>
                <w:color w:val="auto"/>
              </w:rPr>
              <w:t>(8)</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44,459,443</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43,751,988</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45,126,826</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AKA Diversified Holdings, Inc. (Revolver) </w:t>
            </w:r>
            <w:r>
              <w:rPr>
                <w:rFonts w:ascii="Arial" w:cs="Arial" w:eastAsia="Arial" w:hAnsi="Arial"/>
                <w:sz w:val="10"/>
                <w:szCs w:val="10"/>
                <w:color w:val="auto"/>
              </w:rPr>
              <w:t>(9)</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04/02/2018</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4,371,469</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65,620</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AP Gaming I, LLC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12/21/2020</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9.25%</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L+825</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23,573,292</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23,268,725</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23,180,325</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10/21/2020</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L+800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4,477,500</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4,418,746</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4,477,500</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Interior Specialists, Inc.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06/30/2020</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91"/>
              </w:rPr>
              <w:t>Building Materials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L+800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25,500,000</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25,254,194</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25,500,000</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K2 Pure Solutions NoCal, L.P.</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08/19/2019</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Chemicals, Plastics and Rubber</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11.00%</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L+1,000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21,644,154</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21,333,439</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20,091,220</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10/31/2017</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90"/>
              </w:rPr>
              <w:t>Oil and Gas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9.63%</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5,626,850</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5,626,850</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5,007,897</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10"/>
                <w:szCs w:val="10"/>
                <w:color w:val="auto"/>
              </w:rPr>
              <w:t>(5)</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12/16/2019</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Mining, Steel, Iron and Non-Precious Metals</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11.50%</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14,250,000</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14,137,010</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11,970,000</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Robertshaw US Holding Corp.</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06/18/2019</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L+750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13,435,343</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13,339,249</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13,407,176</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04/21/2017</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L+750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19,704,329</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19,043,541</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17,733,896</w:t>
            </w:r>
          </w:p>
        </w:tc>
        <w:tc>
          <w:tcPr>
            <w:tcW w:w="0" w:type="dxa"/>
            <w:vAlign w:val="bottom"/>
          </w:tcPr>
          <w:p>
            <w:pPr>
              <w:spacing w:after="0"/>
              <w:rPr>
                <w:sz w:val="1"/>
                <w:szCs w:val="1"/>
                <w:color w:val="auto"/>
              </w:rPr>
            </w:pPr>
          </w:p>
        </w:tc>
      </w:tr>
      <w:tr>
        <w:trPr>
          <w:trHeight w:val="121"/>
        </w:trPr>
        <w:tc>
          <w:tcPr>
            <w:tcW w:w="3140" w:type="dxa"/>
            <w:vAlign w:val="bottom"/>
          </w:tcPr>
          <w:p>
            <w:pPr>
              <w:spacing w:after="0" w:line="121" w:lineRule="exact"/>
              <w:rPr>
                <w:sz w:val="20"/>
                <w:szCs w:val="20"/>
                <w:color w:val="auto"/>
              </w:rPr>
            </w:pPr>
            <w:r>
              <w:rPr>
                <w:rFonts w:ascii="Arial" w:cs="Arial" w:eastAsia="Arial" w:hAnsi="Arial"/>
                <w:sz w:val="13"/>
                <w:szCs w:val="13"/>
                <w:color w:val="auto"/>
              </w:rPr>
              <w:t xml:space="preserve">Sunborn International (UK) Limited </w:t>
            </w:r>
            <w:r>
              <w:rPr>
                <w:rFonts w:ascii="Arial" w:cs="Arial" w:eastAsia="Arial" w:hAnsi="Arial"/>
                <w:sz w:val="10"/>
                <w:szCs w:val="10"/>
                <w:color w:val="auto"/>
              </w:rPr>
              <w:t>(10), (12), (13)</w:t>
            </w:r>
          </w:p>
        </w:tc>
        <w:tc>
          <w:tcPr>
            <w:tcW w:w="1000" w:type="dxa"/>
            <w:vAlign w:val="bottom"/>
          </w:tcPr>
          <w:p>
            <w:pPr>
              <w:ind w:left="340"/>
              <w:spacing w:after="0" w:line="121" w:lineRule="exact"/>
              <w:rPr>
                <w:sz w:val="20"/>
                <w:szCs w:val="20"/>
                <w:color w:val="auto"/>
              </w:rPr>
            </w:pPr>
            <w:r>
              <w:rPr>
                <w:rFonts w:ascii="Arial" w:cs="Arial" w:eastAsia="Arial" w:hAnsi="Arial"/>
                <w:sz w:val="13"/>
                <w:szCs w:val="13"/>
                <w:color w:val="auto"/>
                <w:w w:val="98"/>
              </w:rPr>
              <w:t>09/28/2018</w:t>
            </w:r>
          </w:p>
        </w:tc>
        <w:tc>
          <w:tcPr>
            <w:tcW w:w="2820" w:type="dxa"/>
            <w:vAlign w:val="bottom"/>
          </w:tcPr>
          <w:p>
            <w:pPr>
              <w:jc w:val="center"/>
              <w:spacing w:after="0" w:line="121" w:lineRule="exact"/>
              <w:rPr>
                <w:sz w:val="20"/>
                <w:szCs w:val="20"/>
                <w:color w:val="auto"/>
              </w:rPr>
            </w:pPr>
            <w:r>
              <w:rPr>
                <w:rFonts w:ascii="Arial" w:cs="Arial" w:eastAsia="Arial" w:hAnsi="Arial"/>
                <w:sz w:val="13"/>
                <w:szCs w:val="13"/>
                <w:color w:val="auto"/>
                <w:w w:val="88"/>
              </w:rPr>
              <w:t>Hotels, Motels, Inns and Gaming</w:t>
            </w:r>
          </w:p>
        </w:tc>
        <w:tc>
          <w:tcPr>
            <w:tcW w:w="9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13.00%</w:t>
            </w:r>
          </w:p>
        </w:tc>
        <w:tc>
          <w:tcPr>
            <w:tcW w:w="92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L+1,250</w:t>
            </w:r>
            <w:r>
              <w:rPr>
                <w:rFonts w:ascii="Arial" w:cs="Arial" w:eastAsia="Arial" w:hAnsi="Arial"/>
                <w:sz w:val="10"/>
                <w:szCs w:val="10"/>
                <w:color w:val="auto"/>
              </w:rPr>
              <w:t>(8)</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w w:val="92"/>
              </w:rPr>
              <w:t>19,947,600</w:t>
            </w:r>
          </w:p>
        </w:tc>
        <w:tc>
          <w:tcPr>
            <w:tcW w:w="860" w:type="dxa"/>
            <w:vAlign w:val="bottom"/>
            <w:gridSpan w:val="3"/>
          </w:tcPr>
          <w:p>
            <w:pPr>
              <w:jc w:val="right"/>
              <w:ind w:right="80"/>
              <w:spacing w:after="0" w:line="121" w:lineRule="exact"/>
              <w:rPr>
                <w:sz w:val="20"/>
                <w:szCs w:val="20"/>
                <w:color w:val="auto"/>
              </w:rPr>
            </w:pPr>
            <w:r>
              <w:rPr>
                <w:rFonts w:ascii="Arial" w:cs="Arial" w:eastAsia="Arial" w:hAnsi="Arial"/>
                <w:sz w:val="13"/>
                <w:szCs w:val="13"/>
                <w:color w:val="auto"/>
              </w:rPr>
              <w:t>30,053,647</w:t>
            </w:r>
          </w:p>
        </w:tc>
        <w:tc>
          <w:tcPr>
            <w:tcW w:w="880" w:type="dxa"/>
            <w:vAlign w:val="bottom"/>
            <w:gridSpan w:val="3"/>
          </w:tcPr>
          <w:p>
            <w:pPr>
              <w:jc w:val="right"/>
              <w:ind w:right="60"/>
              <w:spacing w:after="0" w:line="121" w:lineRule="exact"/>
              <w:rPr>
                <w:sz w:val="20"/>
                <w:szCs w:val="20"/>
                <w:color w:val="auto"/>
              </w:rPr>
            </w:pPr>
            <w:r>
              <w:rPr>
                <w:rFonts w:ascii="Arial" w:cs="Arial" w:eastAsia="Arial" w:hAnsi="Arial"/>
                <w:sz w:val="13"/>
                <w:szCs w:val="13"/>
                <w:color w:val="auto"/>
              </w:rPr>
              <w:t>29,873,876</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3"/>
                <w:szCs w:val="13"/>
                <w:color w:val="auto"/>
              </w:rPr>
              <w:t>(PIK 0.50%)</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1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 xml:space="preserve">Trust Inns Limited </w:t>
            </w:r>
            <w:r>
              <w:rPr>
                <w:rFonts w:ascii="Arial" w:cs="Arial" w:eastAsia="Arial" w:hAnsi="Arial"/>
                <w:sz w:val="10"/>
                <w:szCs w:val="10"/>
                <w:color w:val="auto"/>
              </w:rPr>
              <w:t>(10), (12), (13)</w:t>
            </w:r>
          </w:p>
        </w:tc>
        <w:tc>
          <w:tcPr>
            <w:tcW w:w="1000" w:type="dxa"/>
            <w:vAlign w:val="bottom"/>
            <w:shd w:val="clear" w:color="auto" w:fill="CCEEFF"/>
          </w:tcPr>
          <w:p>
            <w:pPr>
              <w:ind w:left="340"/>
              <w:spacing w:after="0" w:line="136" w:lineRule="exact"/>
              <w:rPr>
                <w:sz w:val="20"/>
                <w:szCs w:val="20"/>
                <w:color w:val="auto"/>
              </w:rPr>
            </w:pPr>
            <w:r>
              <w:rPr>
                <w:rFonts w:ascii="Arial" w:cs="Arial" w:eastAsia="Arial" w:hAnsi="Arial"/>
                <w:sz w:val="13"/>
                <w:szCs w:val="13"/>
                <w:color w:val="auto"/>
                <w:w w:val="98"/>
              </w:rPr>
              <w:t>02/12/2020</w:t>
            </w:r>
          </w:p>
        </w:tc>
        <w:tc>
          <w:tcPr>
            <w:tcW w:w="282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7"/>
              </w:rPr>
              <w:t>Buildings and Real Estate</w:t>
            </w:r>
          </w:p>
        </w:tc>
        <w:tc>
          <w:tcPr>
            <w:tcW w:w="920" w:type="dxa"/>
            <w:vAlign w:val="bottom"/>
            <w:shd w:val="clear" w:color="auto" w:fill="CCEEFF"/>
          </w:tcPr>
          <w:p>
            <w:pPr>
              <w:jc w:val="right"/>
              <w:ind w:right="137"/>
              <w:spacing w:after="0" w:line="136" w:lineRule="exact"/>
              <w:rPr>
                <w:sz w:val="20"/>
                <w:szCs w:val="20"/>
                <w:color w:val="auto"/>
              </w:rPr>
            </w:pPr>
            <w:r>
              <w:rPr>
                <w:rFonts w:ascii="Arial" w:cs="Arial" w:eastAsia="Arial" w:hAnsi="Arial"/>
                <w:sz w:val="13"/>
                <w:szCs w:val="13"/>
                <w:color w:val="auto"/>
              </w:rPr>
              <w:t>11.08%</w:t>
            </w:r>
          </w:p>
        </w:tc>
        <w:tc>
          <w:tcPr>
            <w:tcW w:w="9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(8)</w:t>
            </w:r>
          </w:p>
        </w:tc>
        <w:tc>
          <w:tcPr>
            <w:tcW w:w="7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w w:val="92"/>
              </w:rPr>
              <w:t>24,386,987</w:t>
            </w:r>
          </w:p>
        </w:tc>
        <w:tc>
          <w:tcPr>
            <w:tcW w:w="86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38,764,474</w:t>
            </w:r>
          </w:p>
        </w:tc>
        <w:tc>
          <w:tcPr>
            <w:tcW w:w="880" w:type="dxa"/>
            <w:vAlign w:val="bottom"/>
            <w:gridSpan w:val="3"/>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36,411,706</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US Med Acquisition, Inc.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08/13/2021</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10.00%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L+900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8,739,063</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8,739,063</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8,739,062</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U.S. Well Services, LLC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05/02/2019</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Oil and Gas</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12.00%</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L+1,150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15,297,762</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15,036,838</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15,308,835</w:t>
            </w:r>
          </w:p>
        </w:tc>
        <w:tc>
          <w:tcPr>
            <w:tcW w:w="0" w:type="dxa"/>
            <w:vAlign w:val="bottom"/>
          </w:tcPr>
          <w:p>
            <w:pPr>
              <w:spacing w:after="0"/>
              <w:rPr>
                <w:sz w:val="1"/>
                <w:szCs w:val="1"/>
                <w:color w:val="auto"/>
              </w:rPr>
            </w:pPr>
          </w:p>
        </w:tc>
      </w:tr>
      <w:tr>
        <w:trPr>
          <w:trHeight w:val="149"/>
        </w:trPr>
        <w:tc>
          <w:tcPr>
            <w:tcW w:w="3140" w:type="dxa"/>
            <w:vAlign w:val="bottom"/>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10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4"/>
              </w:rPr>
              <w:t>284,877,715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9"/>
              </w:rPr>
              <w:t>280,377,540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Debt—83.7%</w:t>
            </w:r>
          </w:p>
        </w:tc>
        <w:tc>
          <w:tcPr>
            <w:tcW w:w="1000" w:type="dxa"/>
            <w:vAlign w:val="bottom"/>
            <w:shd w:val="clear" w:color="auto" w:fill="CCEEFF"/>
          </w:tcPr>
          <w:p>
            <w:pPr>
              <w:spacing w:after="0"/>
              <w:rPr>
                <w:sz w:val="11"/>
                <w:szCs w:val="11"/>
                <w:color w:val="auto"/>
              </w:rPr>
            </w:pPr>
          </w:p>
        </w:tc>
        <w:tc>
          <w:tcPr>
            <w:tcW w:w="28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Affinion Group, Inc.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10/31/2018</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8.50%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L+700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18,000,000</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16,544,788</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16,076,340</w:t>
            </w:r>
          </w:p>
        </w:tc>
        <w:tc>
          <w:tcPr>
            <w:tcW w:w="0" w:type="dxa"/>
            <w:vAlign w:val="bottom"/>
          </w:tcPr>
          <w:p>
            <w:pPr>
              <w:spacing w:after="0"/>
              <w:rPr>
                <w:sz w:val="1"/>
                <w:szCs w:val="1"/>
                <w:color w:val="auto"/>
              </w:rPr>
            </w:pPr>
          </w:p>
        </w:tc>
      </w:tr>
      <w:tr>
        <w:trPr>
          <w:trHeight w:val="121"/>
        </w:trPr>
        <w:tc>
          <w:tcPr>
            <w:tcW w:w="31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1000" w:type="dxa"/>
            <w:vAlign w:val="bottom"/>
            <w:shd w:val="clear" w:color="auto" w:fill="CCEEFF"/>
          </w:tcPr>
          <w:p>
            <w:pPr>
              <w:ind w:left="340"/>
              <w:spacing w:after="0" w:line="121" w:lineRule="exact"/>
              <w:rPr>
                <w:sz w:val="20"/>
                <w:szCs w:val="20"/>
                <w:color w:val="auto"/>
              </w:rPr>
            </w:pPr>
            <w:r>
              <w:rPr>
                <w:rFonts w:ascii="Arial" w:cs="Arial" w:eastAsia="Arial" w:hAnsi="Arial"/>
                <w:sz w:val="13"/>
                <w:szCs w:val="13"/>
                <w:color w:val="auto"/>
                <w:w w:val="98"/>
              </w:rPr>
              <w:t>09/01/2017</w:t>
            </w:r>
          </w:p>
        </w:tc>
        <w:tc>
          <w:tcPr>
            <w:tcW w:w="28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Diversified Natural Resources, Precious Metals and</w:t>
            </w:r>
          </w:p>
        </w:tc>
        <w:tc>
          <w:tcPr>
            <w:tcW w:w="9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11.50%</w:t>
            </w:r>
          </w:p>
        </w:tc>
        <w:tc>
          <w:tcPr>
            <w:tcW w:w="92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w w:val="92"/>
              </w:rPr>
              <w:t>25,400,000</w:t>
            </w:r>
          </w:p>
        </w:tc>
        <w:tc>
          <w:tcPr>
            <w:tcW w:w="860" w:type="dxa"/>
            <w:vAlign w:val="bottom"/>
            <w:gridSpan w:val="3"/>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25,400,000</w:t>
            </w:r>
          </w:p>
        </w:tc>
        <w:tc>
          <w:tcPr>
            <w:tcW w:w="880" w:type="dxa"/>
            <w:vAlign w:val="bottom"/>
            <w:gridSpan w:val="3"/>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24,130,000</w:t>
            </w: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Minerals</w:t>
            </w:r>
          </w:p>
        </w:tc>
        <w:tc>
          <w:tcPr>
            <w:tcW w:w="9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Ascensus, Inc.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12/02/2020</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L+800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15,500,000</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15,322,421</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15,441,875</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Balboa Capital Corporation </w:t>
            </w:r>
            <w:r>
              <w:rPr>
                <w:rFonts w:ascii="Arial" w:cs="Arial" w:eastAsia="Arial" w:hAnsi="Arial"/>
                <w:sz w:val="10"/>
                <w:szCs w:val="10"/>
                <w:color w:val="auto"/>
              </w:rPr>
              <w:t>(13)</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03/04/2022</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13.00%</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19,000,000</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18,721,641</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18,810,000</w:t>
            </w:r>
          </w:p>
        </w:tc>
        <w:tc>
          <w:tcPr>
            <w:tcW w:w="0" w:type="dxa"/>
            <w:vAlign w:val="bottom"/>
          </w:tcPr>
          <w:p>
            <w:pPr>
              <w:spacing w:after="0"/>
              <w:rPr>
                <w:sz w:val="1"/>
                <w:szCs w:val="1"/>
                <w:color w:val="auto"/>
              </w:rPr>
            </w:pPr>
          </w:p>
        </w:tc>
      </w:tr>
      <w:tr>
        <w:trPr>
          <w:trHeight w:val="121"/>
        </w:trPr>
        <w:tc>
          <w:tcPr>
            <w:tcW w:w="3140" w:type="dxa"/>
            <w:vAlign w:val="bottom"/>
          </w:tcPr>
          <w:p>
            <w:pPr>
              <w:spacing w:after="0" w:line="121" w:lineRule="exact"/>
              <w:rPr>
                <w:sz w:val="20"/>
                <w:szCs w:val="20"/>
                <w:color w:val="auto"/>
              </w:rPr>
            </w:pPr>
            <w:r>
              <w:rPr>
                <w:rFonts w:ascii="Arial" w:cs="Arial" w:eastAsia="Arial" w:hAnsi="Arial"/>
                <w:sz w:val="13"/>
                <w:szCs w:val="13"/>
                <w:color w:val="auto"/>
              </w:rPr>
              <w:t>Bennu Oil &amp; Gas, LLC</w:t>
            </w:r>
          </w:p>
        </w:tc>
        <w:tc>
          <w:tcPr>
            <w:tcW w:w="1000" w:type="dxa"/>
            <w:vAlign w:val="bottom"/>
          </w:tcPr>
          <w:p>
            <w:pPr>
              <w:ind w:left="340"/>
              <w:spacing w:after="0" w:line="121" w:lineRule="exact"/>
              <w:rPr>
                <w:sz w:val="20"/>
                <w:szCs w:val="20"/>
                <w:color w:val="auto"/>
              </w:rPr>
            </w:pPr>
            <w:r>
              <w:rPr>
                <w:rFonts w:ascii="Arial" w:cs="Arial" w:eastAsia="Arial" w:hAnsi="Arial"/>
                <w:sz w:val="13"/>
                <w:szCs w:val="13"/>
                <w:color w:val="auto"/>
                <w:w w:val="98"/>
              </w:rPr>
              <w:t>11/01/2018</w:t>
            </w:r>
          </w:p>
        </w:tc>
        <w:tc>
          <w:tcPr>
            <w:tcW w:w="2820" w:type="dxa"/>
            <w:vAlign w:val="bottom"/>
          </w:tcPr>
          <w:p>
            <w:pPr>
              <w:jc w:val="center"/>
              <w:spacing w:after="0" w:line="121" w:lineRule="exact"/>
              <w:rPr>
                <w:sz w:val="20"/>
                <w:szCs w:val="20"/>
                <w:color w:val="auto"/>
              </w:rPr>
            </w:pPr>
            <w:r>
              <w:rPr>
                <w:rFonts w:ascii="Arial" w:cs="Arial" w:eastAsia="Arial" w:hAnsi="Arial"/>
                <w:sz w:val="13"/>
                <w:szCs w:val="13"/>
                <w:color w:val="auto"/>
                <w:w w:val="90"/>
              </w:rPr>
              <w:t>Oil and Gas</w:t>
            </w:r>
          </w:p>
        </w:tc>
        <w:tc>
          <w:tcPr>
            <w:tcW w:w="9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12.25%</w:t>
            </w:r>
          </w:p>
        </w:tc>
        <w:tc>
          <w:tcPr>
            <w:tcW w:w="92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L+1,100</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w w:val="92"/>
              </w:rPr>
              <w:t>26,484,773</w:t>
            </w:r>
          </w:p>
        </w:tc>
        <w:tc>
          <w:tcPr>
            <w:tcW w:w="860" w:type="dxa"/>
            <w:vAlign w:val="bottom"/>
            <w:gridSpan w:val="3"/>
          </w:tcPr>
          <w:p>
            <w:pPr>
              <w:jc w:val="right"/>
              <w:ind w:right="80"/>
              <w:spacing w:after="0" w:line="121" w:lineRule="exact"/>
              <w:rPr>
                <w:sz w:val="20"/>
                <w:szCs w:val="20"/>
                <w:color w:val="auto"/>
              </w:rPr>
            </w:pPr>
            <w:r>
              <w:rPr>
                <w:rFonts w:ascii="Arial" w:cs="Arial" w:eastAsia="Arial" w:hAnsi="Arial"/>
                <w:sz w:val="13"/>
                <w:szCs w:val="13"/>
                <w:color w:val="auto"/>
              </w:rPr>
              <w:t>25,150,663</w:t>
            </w:r>
          </w:p>
        </w:tc>
        <w:tc>
          <w:tcPr>
            <w:tcW w:w="880" w:type="dxa"/>
            <w:vAlign w:val="bottom"/>
            <w:gridSpan w:val="3"/>
          </w:tcPr>
          <w:p>
            <w:pPr>
              <w:jc w:val="right"/>
              <w:ind w:right="60"/>
              <w:spacing w:after="0" w:line="121" w:lineRule="exact"/>
              <w:rPr>
                <w:sz w:val="20"/>
                <w:szCs w:val="20"/>
                <w:color w:val="auto"/>
              </w:rPr>
            </w:pPr>
            <w:r>
              <w:rPr>
                <w:rFonts w:ascii="Arial" w:cs="Arial" w:eastAsia="Arial" w:hAnsi="Arial"/>
                <w:sz w:val="13"/>
                <w:szCs w:val="13"/>
                <w:color w:val="auto"/>
              </w:rPr>
              <w:t>20,393,275</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3"/>
                <w:szCs w:val="13"/>
                <w:color w:val="auto"/>
              </w:rPr>
              <w:t>(PIK 2.50%)</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1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Foundation Building Materials, LLC</w:t>
            </w:r>
          </w:p>
        </w:tc>
        <w:tc>
          <w:tcPr>
            <w:tcW w:w="1000" w:type="dxa"/>
            <w:vAlign w:val="bottom"/>
            <w:shd w:val="clear" w:color="auto" w:fill="CCEEFF"/>
          </w:tcPr>
          <w:p>
            <w:pPr>
              <w:ind w:left="340"/>
              <w:spacing w:after="0" w:line="136" w:lineRule="exact"/>
              <w:rPr>
                <w:sz w:val="20"/>
                <w:szCs w:val="20"/>
                <w:color w:val="auto"/>
              </w:rPr>
            </w:pPr>
            <w:r>
              <w:rPr>
                <w:rFonts w:ascii="Arial" w:cs="Arial" w:eastAsia="Arial" w:hAnsi="Arial"/>
                <w:sz w:val="13"/>
                <w:szCs w:val="13"/>
                <w:color w:val="auto"/>
                <w:w w:val="98"/>
              </w:rPr>
              <w:t>04/30/2019</w:t>
            </w:r>
          </w:p>
        </w:tc>
        <w:tc>
          <w:tcPr>
            <w:tcW w:w="282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91"/>
              </w:rPr>
              <w:t>Building Materials</w:t>
            </w:r>
          </w:p>
        </w:tc>
        <w:tc>
          <w:tcPr>
            <w:tcW w:w="920" w:type="dxa"/>
            <w:vAlign w:val="bottom"/>
            <w:shd w:val="clear" w:color="auto" w:fill="CCEEFF"/>
          </w:tcPr>
          <w:p>
            <w:pPr>
              <w:jc w:val="right"/>
              <w:ind w:right="137"/>
              <w:spacing w:after="0" w:line="136" w:lineRule="exact"/>
              <w:rPr>
                <w:sz w:val="20"/>
                <w:szCs w:val="20"/>
                <w:color w:val="auto"/>
              </w:rPr>
            </w:pPr>
            <w:r>
              <w:rPr>
                <w:rFonts w:ascii="Arial" w:cs="Arial" w:eastAsia="Arial" w:hAnsi="Arial"/>
                <w:sz w:val="13"/>
                <w:szCs w:val="13"/>
                <w:color w:val="auto"/>
              </w:rPr>
              <w:t>13.25%</w:t>
            </w:r>
          </w:p>
        </w:tc>
        <w:tc>
          <w:tcPr>
            <w:tcW w:w="92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P+1,000</w:t>
            </w:r>
          </w:p>
        </w:tc>
        <w:tc>
          <w:tcPr>
            <w:tcW w:w="7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w w:val="92"/>
              </w:rPr>
              <w:t>45,000,000</w:t>
            </w:r>
          </w:p>
        </w:tc>
        <w:tc>
          <w:tcPr>
            <w:tcW w:w="86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44,625,152</w:t>
            </w:r>
          </w:p>
        </w:tc>
        <w:tc>
          <w:tcPr>
            <w:tcW w:w="880" w:type="dxa"/>
            <w:vAlign w:val="bottom"/>
            <w:gridSpan w:val="3"/>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45,900,000</w:t>
            </w:r>
          </w:p>
        </w:tc>
        <w:tc>
          <w:tcPr>
            <w:tcW w:w="0" w:type="dxa"/>
            <w:vAlign w:val="bottom"/>
          </w:tcPr>
          <w:p>
            <w:pPr>
              <w:spacing w:after="0"/>
              <w:rPr>
                <w:sz w:val="1"/>
                <w:szCs w:val="1"/>
                <w:color w:val="auto"/>
              </w:rPr>
            </w:pPr>
          </w:p>
        </w:tc>
      </w:tr>
      <w:tr>
        <w:trPr>
          <w:trHeight w:val="121"/>
        </w:trPr>
        <w:tc>
          <w:tcPr>
            <w:tcW w:w="3140" w:type="dxa"/>
            <w:vAlign w:val="bottom"/>
          </w:tcPr>
          <w:p>
            <w:pPr>
              <w:spacing w:after="0" w:line="121" w:lineRule="exact"/>
              <w:rPr>
                <w:sz w:val="20"/>
                <w:szCs w:val="20"/>
                <w:color w:val="auto"/>
              </w:rPr>
            </w:pPr>
            <w:r>
              <w:rPr>
                <w:rFonts w:ascii="Arial" w:cs="Arial" w:eastAsia="Arial" w:hAnsi="Arial"/>
                <w:sz w:val="13"/>
                <w:szCs w:val="13"/>
                <w:color w:val="auto"/>
              </w:rPr>
              <w:t>Foundation Building Materials, LLC</w:t>
            </w:r>
          </w:p>
        </w:tc>
        <w:tc>
          <w:tcPr>
            <w:tcW w:w="1000" w:type="dxa"/>
            <w:vAlign w:val="bottom"/>
          </w:tcPr>
          <w:p>
            <w:pPr>
              <w:ind w:left="340"/>
              <w:spacing w:after="0" w:line="121" w:lineRule="exact"/>
              <w:rPr>
                <w:sz w:val="20"/>
                <w:szCs w:val="20"/>
                <w:color w:val="auto"/>
              </w:rPr>
            </w:pPr>
            <w:r>
              <w:rPr>
                <w:rFonts w:ascii="Arial" w:cs="Arial" w:eastAsia="Arial" w:hAnsi="Arial"/>
                <w:sz w:val="13"/>
                <w:szCs w:val="13"/>
                <w:color w:val="auto"/>
                <w:w w:val="98"/>
              </w:rPr>
              <w:t>04/30/2019</w:t>
            </w:r>
          </w:p>
        </w:tc>
        <w:tc>
          <w:tcPr>
            <w:tcW w:w="2820" w:type="dxa"/>
            <w:vAlign w:val="bottom"/>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9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14.25%</w:t>
            </w:r>
          </w:p>
        </w:tc>
        <w:tc>
          <w:tcPr>
            <w:tcW w:w="92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P+1,100</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w w:val="92"/>
              </w:rPr>
              <w:t>33,109,864</w:t>
            </w:r>
          </w:p>
        </w:tc>
        <w:tc>
          <w:tcPr>
            <w:tcW w:w="860" w:type="dxa"/>
            <w:vAlign w:val="bottom"/>
            <w:gridSpan w:val="3"/>
          </w:tcPr>
          <w:p>
            <w:pPr>
              <w:jc w:val="right"/>
              <w:ind w:right="80"/>
              <w:spacing w:after="0" w:line="121" w:lineRule="exact"/>
              <w:rPr>
                <w:sz w:val="20"/>
                <w:szCs w:val="20"/>
                <w:color w:val="auto"/>
              </w:rPr>
            </w:pPr>
            <w:r>
              <w:rPr>
                <w:rFonts w:ascii="Arial" w:cs="Arial" w:eastAsia="Arial" w:hAnsi="Arial"/>
                <w:sz w:val="13"/>
                <w:szCs w:val="13"/>
                <w:color w:val="auto"/>
              </w:rPr>
              <w:t>32,588,028</w:t>
            </w:r>
          </w:p>
        </w:tc>
        <w:tc>
          <w:tcPr>
            <w:tcW w:w="880" w:type="dxa"/>
            <w:vAlign w:val="bottom"/>
            <w:gridSpan w:val="3"/>
          </w:tcPr>
          <w:p>
            <w:pPr>
              <w:jc w:val="right"/>
              <w:ind w:right="60"/>
              <w:spacing w:after="0" w:line="121" w:lineRule="exact"/>
              <w:rPr>
                <w:sz w:val="20"/>
                <w:szCs w:val="20"/>
                <w:color w:val="auto"/>
              </w:rPr>
            </w:pPr>
            <w:r>
              <w:rPr>
                <w:rFonts w:ascii="Arial" w:cs="Arial" w:eastAsia="Arial" w:hAnsi="Arial"/>
                <w:sz w:val="13"/>
                <w:szCs w:val="13"/>
                <w:color w:val="auto"/>
              </w:rPr>
              <w:t>33,772,061</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3"/>
                <w:szCs w:val="13"/>
                <w:color w:val="auto"/>
              </w:rPr>
              <w:t>(PIK 1.00%)</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1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Howard Berger Co. LLC</w:t>
            </w:r>
          </w:p>
        </w:tc>
        <w:tc>
          <w:tcPr>
            <w:tcW w:w="1000" w:type="dxa"/>
            <w:vAlign w:val="bottom"/>
            <w:shd w:val="clear" w:color="auto" w:fill="CCEEFF"/>
          </w:tcPr>
          <w:p>
            <w:pPr>
              <w:ind w:left="340"/>
              <w:spacing w:after="0" w:line="136" w:lineRule="exact"/>
              <w:rPr>
                <w:sz w:val="20"/>
                <w:szCs w:val="20"/>
                <w:color w:val="auto"/>
              </w:rPr>
            </w:pPr>
            <w:r>
              <w:rPr>
                <w:rFonts w:ascii="Arial" w:cs="Arial" w:eastAsia="Arial" w:hAnsi="Arial"/>
                <w:sz w:val="13"/>
                <w:szCs w:val="13"/>
                <w:color w:val="auto"/>
                <w:w w:val="98"/>
              </w:rPr>
              <w:t>09/30/2020</w:t>
            </w:r>
          </w:p>
        </w:tc>
        <w:tc>
          <w:tcPr>
            <w:tcW w:w="282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95"/>
              </w:rPr>
              <w:t>Distribution</w:t>
            </w:r>
          </w:p>
        </w:tc>
        <w:tc>
          <w:tcPr>
            <w:tcW w:w="920" w:type="dxa"/>
            <w:vAlign w:val="bottom"/>
            <w:shd w:val="clear" w:color="auto" w:fill="CCEEFF"/>
          </w:tcPr>
          <w:p>
            <w:pPr>
              <w:jc w:val="right"/>
              <w:ind w:right="137"/>
              <w:spacing w:after="0" w:line="136" w:lineRule="exact"/>
              <w:rPr>
                <w:sz w:val="20"/>
                <w:szCs w:val="20"/>
                <w:color w:val="auto"/>
              </w:rPr>
            </w:pPr>
            <w:r>
              <w:rPr>
                <w:rFonts w:ascii="Arial" w:cs="Arial" w:eastAsia="Arial" w:hAnsi="Arial"/>
                <w:sz w:val="13"/>
                <w:szCs w:val="13"/>
                <w:color w:val="auto"/>
              </w:rPr>
              <w:t>11.00%</w:t>
            </w:r>
          </w:p>
        </w:tc>
        <w:tc>
          <w:tcPr>
            <w:tcW w:w="92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L+1,000</w:t>
            </w:r>
          </w:p>
        </w:tc>
        <w:tc>
          <w:tcPr>
            <w:tcW w:w="7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w w:val="92"/>
              </w:rPr>
              <w:t>41,250,000</w:t>
            </w:r>
          </w:p>
        </w:tc>
        <w:tc>
          <w:tcPr>
            <w:tcW w:w="86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39,088,044</w:t>
            </w:r>
          </w:p>
        </w:tc>
        <w:tc>
          <w:tcPr>
            <w:tcW w:w="880" w:type="dxa"/>
            <w:vAlign w:val="bottom"/>
            <w:gridSpan w:val="3"/>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40,012,500</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 xml:space="preserve">Intermediate Transportation 100, LLC </w:t>
            </w:r>
            <w:r>
              <w:rPr>
                <w:rFonts w:ascii="Arial" w:cs="Arial" w:eastAsia="Arial" w:hAnsi="Arial"/>
                <w:sz w:val="10"/>
                <w:szCs w:val="10"/>
                <w:color w:val="auto"/>
              </w:rPr>
              <w:t>(5)</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03/01/2017</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6"/>
              </w:rPr>
              <w:t>Cargo Transport</w:t>
            </w:r>
          </w:p>
        </w:tc>
        <w:tc>
          <w:tcPr>
            <w:tcW w:w="9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4,391,420</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4,391,422</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1,229,598</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 Cosmetics Holdings, Inc.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07/31/2019</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11.00%</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L+1,000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34,000,000</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33,476,169</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34,340,000</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Jacobs Entertainment, Inc.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10/29/2019</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13.00%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L+1,175</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48,765,129</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48,307,757</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48,765,129</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Language Line, LLC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07/07/2022</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Food and Miscellaneous Services</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10.75%</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L+975</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40,312,500</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39,711,804</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40,211,719</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10/31/2017</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90"/>
              </w:rPr>
              <w:t>Oil and Gas</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12.50%</w:t>
            </w:r>
            <w:r>
              <w:rPr>
                <w:rFonts w:ascii="Arial" w:cs="Arial" w:eastAsia="Arial" w:hAnsi="Arial"/>
                <w:sz w:val="10"/>
                <w:szCs w:val="10"/>
                <w:color w:val="auto"/>
              </w:rPr>
              <w:t>(7)</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11,875,000</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11,667,848</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9,143,751</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05/15/2019</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Oil and Gas</w:t>
            </w:r>
          </w:p>
        </w:tc>
        <w:tc>
          <w:tcPr>
            <w:tcW w:w="9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45,000,000</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44,698,345</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31,500,000</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Novitex Acquisition, LLC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07/07/2021</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11.75%</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L+1,050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41,250,000</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40,883,259</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40,425,000</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Parq Holdings Limited Partnership </w:t>
            </w:r>
            <w:r>
              <w:rPr>
                <w:rFonts w:ascii="Arial" w:cs="Arial" w:eastAsia="Arial" w:hAnsi="Arial"/>
                <w:sz w:val="10"/>
                <w:szCs w:val="10"/>
                <w:color w:val="auto"/>
              </w:rPr>
              <w:t>(10), (13)</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12/17/2021</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13.00%</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L+1,200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75,000,000</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75,000,000</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75,586,475</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Penton Media, Inc.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10/02/2020</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95"/>
              </w:rPr>
              <w:t>Media</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L+775</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19,698,091</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19,478,649</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19,615,950</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Pre-Paid Legal Services, Inc.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07/01/2020</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Food and Miscellaneous Services</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10.25%</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L+900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56,750,000</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56,098,358</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56,608,125</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Prime Security Services Borrower, LLC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07/01/2022</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6"/>
              </w:rPr>
              <w:t>Personal, Food and Miscellaneous Services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9.75%</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L+875</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28,500,000</w:t>
            </w:r>
          </w:p>
        </w:tc>
        <w:tc>
          <w:tcPr>
            <w:tcW w:w="8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28,082,664</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28,001,250</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1000" w:type="dxa"/>
            <w:vAlign w:val="bottom"/>
            <w:shd w:val="clear" w:color="auto" w:fill="CCEEFF"/>
          </w:tcPr>
          <w:p>
            <w:pPr>
              <w:spacing w:after="0"/>
              <w:rPr>
                <w:sz w:val="11"/>
                <w:szCs w:val="11"/>
                <w:color w:val="auto"/>
              </w:rPr>
            </w:pPr>
          </w:p>
        </w:tc>
        <w:tc>
          <w:tcPr>
            <w:tcW w:w="28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4"/>
              </w:rPr>
              <w:t>619,237,012</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599,963,048</w:t>
            </w:r>
          </w:p>
        </w:tc>
        <w:tc>
          <w:tcPr>
            <w:tcW w:w="0" w:type="dxa"/>
            <w:vAlign w:val="bottom"/>
          </w:tcPr>
          <w:p>
            <w:pPr>
              <w:spacing w:after="0"/>
              <w:rPr>
                <w:sz w:val="1"/>
                <w:szCs w:val="1"/>
                <w:color w:val="auto"/>
              </w:rPr>
            </w:pPr>
          </w:p>
        </w:tc>
      </w:tr>
      <w:tr>
        <w:trPr>
          <w:trHeight w:val="142"/>
        </w:trPr>
        <w:tc>
          <w:tcPr>
            <w:tcW w:w="3140" w:type="dxa"/>
            <w:vAlign w:val="bottom"/>
          </w:tcPr>
          <w:p>
            <w:pPr>
              <w:spacing w:after="0" w:line="142" w:lineRule="exact"/>
              <w:rPr>
                <w:sz w:val="20"/>
                <w:szCs w:val="20"/>
                <w:color w:val="auto"/>
              </w:rPr>
            </w:pPr>
            <w:r>
              <w:rPr>
                <w:rFonts w:ascii="Arial" w:cs="Arial" w:eastAsia="Arial" w:hAnsi="Arial"/>
                <w:sz w:val="13"/>
                <w:szCs w:val="13"/>
                <w:b w:val="1"/>
                <w:bCs w:val="1"/>
                <w:color w:val="auto"/>
              </w:rPr>
              <w:t>Subordinated Debt/Corporate Notes—20.7%</w:t>
            </w:r>
          </w:p>
        </w:tc>
        <w:tc>
          <w:tcPr>
            <w:tcW w:w="10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09/14/2018</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41,389,881</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37,715,391</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15,728,155</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Affinion Investments LLC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08/15/2018</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21,625,412</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18,687,177</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14,489,026</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LLC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02/15/2019</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12.00%</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8,930,000</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8,819,557</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8,872,566</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Cascade LP Holdings, LLC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08/20/2021</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9"/>
              </w:rPr>
              <w:t>Environmental Services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12.00%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27,475,553</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26,893,410</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26,926,042</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Cascade LP Holdings, LLC </w:t>
            </w:r>
            <w:r>
              <w:rPr>
                <w:rFonts w:ascii="Arial" w:cs="Arial" w:eastAsia="Arial" w:hAnsi="Arial"/>
                <w:sz w:val="10"/>
                <w:szCs w:val="10"/>
                <w:color w:val="auto"/>
              </w:rPr>
              <w:t>(9)</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02/20/2017</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Environmental Services</w:t>
            </w:r>
          </w:p>
        </w:tc>
        <w:tc>
          <w:tcPr>
            <w:tcW w:w="9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11,124,447</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27,811</w:t>
            </w:r>
          </w:p>
        </w:tc>
        <w:tc>
          <w:tcPr>
            <w:tcW w:w="0" w:type="dxa"/>
            <w:vAlign w:val="bottom"/>
          </w:tcPr>
          <w:p>
            <w:pPr>
              <w:spacing w:after="0"/>
              <w:rPr>
                <w:sz w:val="1"/>
                <w:szCs w:val="1"/>
                <w:color w:val="auto"/>
              </w:rPr>
            </w:pPr>
          </w:p>
        </w:tc>
      </w:tr>
      <w:tr>
        <w:trPr>
          <w:trHeight w:val="121"/>
        </w:trPr>
        <w:tc>
          <w:tcPr>
            <w:tcW w:w="3140" w:type="dxa"/>
            <w:vAlign w:val="bottom"/>
          </w:tcPr>
          <w:p>
            <w:pPr>
              <w:spacing w:after="0" w:line="121" w:lineRule="exact"/>
              <w:rPr>
                <w:sz w:val="20"/>
                <w:szCs w:val="20"/>
                <w:color w:val="auto"/>
              </w:rPr>
            </w:pPr>
            <w:r>
              <w:rPr>
                <w:rFonts w:ascii="Arial" w:cs="Arial" w:eastAsia="Arial" w:hAnsi="Arial"/>
                <w:sz w:val="13"/>
                <w:szCs w:val="13"/>
                <w:color w:val="auto"/>
              </w:rPr>
              <w:t>Credit Infonet, Inc.</w:t>
            </w:r>
          </w:p>
        </w:tc>
        <w:tc>
          <w:tcPr>
            <w:tcW w:w="1000" w:type="dxa"/>
            <w:vAlign w:val="bottom"/>
          </w:tcPr>
          <w:p>
            <w:pPr>
              <w:ind w:left="340"/>
              <w:spacing w:after="0" w:line="121" w:lineRule="exact"/>
              <w:rPr>
                <w:sz w:val="20"/>
                <w:szCs w:val="20"/>
                <w:color w:val="auto"/>
              </w:rPr>
            </w:pPr>
            <w:r>
              <w:rPr>
                <w:rFonts w:ascii="Arial" w:cs="Arial" w:eastAsia="Arial" w:hAnsi="Arial"/>
                <w:sz w:val="13"/>
                <w:szCs w:val="13"/>
                <w:color w:val="auto"/>
                <w:w w:val="98"/>
              </w:rPr>
              <w:t>10/26/2018</w:t>
            </w:r>
          </w:p>
        </w:tc>
        <w:tc>
          <w:tcPr>
            <w:tcW w:w="282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 Miscellaneous Services</w:t>
            </w:r>
          </w:p>
        </w:tc>
        <w:tc>
          <w:tcPr>
            <w:tcW w:w="9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13.00%</w:t>
            </w:r>
          </w:p>
        </w:tc>
        <w:tc>
          <w:tcPr>
            <w:tcW w:w="92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w w:val="92"/>
              </w:rPr>
              <w:t>10,800,349</w:t>
            </w:r>
          </w:p>
        </w:tc>
        <w:tc>
          <w:tcPr>
            <w:tcW w:w="860" w:type="dxa"/>
            <w:vAlign w:val="bottom"/>
            <w:gridSpan w:val="3"/>
          </w:tcPr>
          <w:p>
            <w:pPr>
              <w:jc w:val="right"/>
              <w:ind w:right="80"/>
              <w:spacing w:after="0" w:line="121" w:lineRule="exact"/>
              <w:rPr>
                <w:sz w:val="20"/>
                <w:szCs w:val="20"/>
                <w:color w:val="auto"/>
              </w:rPr>
            </w:pPr>
            <w:r>
              <w:rPr>
                <w:rFonts w:ascii="Arial" w:cs="Arial" w:eastAsia="Arial" w:hAnsi="Arial"/>
                <w:sz w:val="13"/>
                <w:szCs w:val="13"/>
                <w:color w:val="auto"/>
              </w:rPr>
              <w:t>10,664,093</w:t>
            </w:r>
          </w:p>
        </w:tc>
        <w:tc>
          <w:tcPr>
            <w:tcW w:w="880" w:type="dxa"/>
            <w:vAlign w:val="bottom"/>
            <w:gridSpan w:val="3"/>
          </w:tcPr>
          <w:p>
            <w:pPr>
              <w:jc w:val="right"/>
              <w:ind w:right="60"/>
              <w:spacing w:after="0" w:line="121" w:lineRule="exact"/>
              <w:rPr>
                <w:sz w:val="20"/>
                <w:szCs w:val="20"/>
                <w:color w:val="auto"/>
              </w:rPr>
            </w:pPr>
            <w:r>
              <w:rPr>
                <w:rFonts w:ascii="Arial" w:cs="Arial" w:eastAsia="Arial" w:hAnsi="Arial"/>
                <w:sz w:val="13"/>
                <w:szCs w:val="13"/>
                <w:color w:val="auto"/>
              </w:rPr>
              <w:t>10,628,485</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3"/>
                <w:szCs w:val="13"/>
                <w:color w:val="auto"/>
              </w:rPr>
              <w:t>(PIK 1.75%)</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1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MSPark, Inc.</w:t>
            </w:r>
          </w:p>
        </w:tc>
        <w:tc>
          <w:tcPr>
            <w:tcW w:w="1000" w:type="dxa"/>
            <w:vAlign w:val="bottom"/>
            <w:shd w:val="clear" w:color="auto" w:fill="CCEEFF"/>
          </w:tcPr>
          <w:p>
            <w:pPr>
              <w:ind w:left="340"/>
              <w:spacing w:after="0" w:line="136" w:lineRule="exact"/>
              <w:rPr>
                <w:sz w:val="20"/>
                <w:szCs w:val="20"/>
                <w:color w:val="auto"/>
              </w:rPr>
            </w:pPr>
            <w:r>
              <w:rPr>
                <w:rFonts w:ascii="Arial" w:cs="Arial" w:eastAsia="Arial" w:hAnsi="Arial"/>
                <w:sz w:val="13"/>
                <w:szCs w:val="13"/>
                <w:color w:val="auto"/>
                <w:w w:val="98"/>
              </w:rPr>
              <w:t>06/15/2017</w:t>
            </w:r>
          </w:p>
        </w:tc>
        <w:tc>
          <w:tcPr>
            <w:tcW w:w="282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8"/>
              </w:rPr>
              <w:t>Printing and Publishing</w:t>
            </w:r>
          </w:p>
        </w:tc>
        <w:tc>
          <w:tcPr>
            <w:tcW w:w="9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14.50%</w:t>
            </w:r>
            <w:r>
              <w:rPr>
                <w:rFonts w:ascii="Arial" w:cs="Arial" w:eastAsia="Arial" w:hAnsi="Arial"/>
                <w:sz w:val="10"/>
                <w:szCs w:val="10"/>
                <w:color w:val="auto"/>
              </w:rPr>
              <w:t>(7)</w:t>
            </w:r>
          </w:p>
        </w:tc>
        <w:tc>
          <w:tcPr>
            <w:tcW w:w="92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w w:val="92"/>
              </w:rPr>
              <w:t>15,000,000</w:t>
            </w:r>
          </w:p>
        </w:tc>
        <w:tc>
          <w:tcPr>
            <w:tcW w:w="86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14,836,009</w:t>
            </w:r>
          </w:p>
        </w:tc>
        <w:tc>
          <w:tcPr>
            <w:tcW w:w="880" w:type="dxa"/>
            <w:vAlign w:val="bottom"/>
            <w:gridSpan w:val="3"/>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15,000,000</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11/15/2019</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90"/>
              </w:rPr>
              <w:t>Oil and Gas</w:t>
            </w:r>
          </w:p>
        </w:tc>
        <w:tc>
          <w:tcPr>
            <w:tcW w:w="9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15,204,289</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14,829,719</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1,520,429</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Randall-Reilly, LLC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04/15/2019</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12.50%</w:t>
            </w:r>
            <w:r>
              <w:rPr>
                <w:rFonts w:ascii="Arial" w:cs="Arial" w:eastAsia="Arial" w:hAnsi="Arial"/>
                <w:sz w:val="10"/>
                <w:szCs w:val="10"/>
                <w:color w:val="auto"/>
              </w:rPr>
              <w:t>(7)</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42,275,000</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41,618,180</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41,892,583</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05/13/2021</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11.00%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13,300,000</w:t>
            </w:r>
          </w:p>
        </w:tc>
        <w:tc>
          <w:tcPr>
            <w:tcW w:w="8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13,057,260</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13,167,000</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1000" w:type="dxa"/>
            <w:vAlign w:val="bottom"/>
            <w:shd w:val="clear" w:color="auto" w:fill="CCEEFF"/>
          </w:tcPr>
          <w:p>
            <w:pPr>
              <w:spacing w:after="0"/>
              <w:rPr>
                <w:sz w:val="11"/>
                <w:szCs w:val="11"/>
                <w:color w:val="auto"/>
              </w:rPr>
            </w:pPr>
          </w:p>
        </w:tc>
        <w:tc>
          <w:tcPr>
            <w:tcW w:w="28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4"/>
              </w:rPr>
              <w:t>187,120,796</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148,252,097</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40"/>
          </w:cols>
          <w:pgMar w:left="32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b w:val="1"/>
                <w:bCs w:val="1"/>
                <w:color w:val="auto"/>
                <w:w w:val="90"/>
              </w:rPr>
              <w:t>Basis Point</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98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Maturity /</w:t>
            </w:r>
          </w:p>
        </w:tc>
        <w:tc>
          <w:tcPr>
            <w:tcW w:w="2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6"/>
              </w:rPr>
              <w:t>Spread</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4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520" w:type="dxa"/>
            <w:vAlign w:val="bottom"/>
          </w:tcPr>
          <w:p>
            <w:pPr>
              <w:spacing w:after="0"/>
              <w:rPr>
                <w:sz w:val="10"/>
                <w:szCs w:val="10"/>
                <w:color w:val="auto"/>
              </w:rPr>
            </w:pPr>
          </w:p>
        </w:tc>
        <w:tc>
          <w:tcPr>
            <w:tcW w:w="780" w:type="dxa"/>
            <w:vAlign w:val="bottom"/>
          </w:tcPr>
          <w:p>
            <w:pPr>
              <w:jc w:val="right"/>
              <w:ind w:right="117"/>
              <w:spacing w:after="0" w:line="126" w:lineRule="exact"/>
              <w:rPr>
                <w:sz w:val="20"/>
                <w:szCs w:val="20"/>
                <w:color w:val="auto"/>
              </w:rPr>
            </w:pPr>
            <w:r>
              <w:rPr>
                <w:rFonts w:ascii="Arial" w:cs="Arial" w:eastAsia="Arial" w:hAnsi="Arial"/>
                <w:sz w:val="13"/>
                <w:szCs w:val="13"/>
                <w:b w:val="1"/>
                <w:bCs w:val="1"/>
                <w:color w:val="auto"/>
              </w:rPr>
              <w:t>Current</w:t>
            </w:r>
          </w:p>
        </w:tc>
        <w:tc>
          <w:tcPr>
            <w:tcW w:w="800" w:type="dxa"/>
            <w:vAlign w:val="bottom"/>
          </w:tcPr>
          <w:p>
            <w:pPr>
              <w:jc w:val="center"/>
              <w:ind w:right="37"/>
              <w:spacing w:after="0" w:line="126" w:lineRule="exact"/>
              <w:rPr>
                <w:sz w:val="20"/>
                <w:szCs w:val="20"/>
                <w:color w:val="auto"/>
              </w:rPr>
            </w:pPr>
            <w:r>
              <w:rPr>
                <w:rFonts w:ascii="Arial" w:cs="Arial" w:eastAsia="Arial" w:hAnsi="Arial"/>
                <w:sz w:val="13"/>
                <w:szCs w:val="13"/>
                <w:b w:val="1"/>
                <w:bCs w:val="1"/>
                <w:color w:val="auto"/>
                <w:w w:val="85"/>
              </w:rPr>
              <w:t>Above</w:t>
            </w:r>
          </w:p>
        </w:tc>
        <w:tc>
          <w:tcPr>
            <w:tcW w:w="740" w:type="dxa"/>
            <w:vAlign w:val="bottom"/>
          </w:tcPr>
          <w:p>
            <w:pPr>
              <w:jc w:val="right"/>
              <w:ind w:right="197"/>
              <w:spacing w:after="0" w:line="126" w:lineRule="exact"/>
              <w:rPr>
                <w:sz w:val="20"/>
                <w:szCs w:val="20"/>
                <w:color w:val="auto"/>
              </w:rPr>
            </w:pPr>
            <w:r>
              <w:rPr>
                <w:rFonts w:ascii="Arial" w:cs="Arial" w:eastAsia="Arial" w:hAnsi="Arial"/>
                <w:sz w:val="13"/>
                <w:szCs w:val="13"/>
                <w:b w:val="1"/>
                <w:bCs w:val="1"/>
                <w:color w:val="auto"/>
              </w:rPr>
              <w:t>Par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980" w:type="dxa"/>
            <w:vAlign w:val="bottom"/>
          </w:tcPr>
          <w:p>
            <w:pPr>
              <w:ind w:left="240"/>
              <w:spacing w:after="0"/>
              <w:rPr>
                <w:sz w:val="20"/>
                <w:szCs w:val="20"/>
                <w:color w:val="auto"/>
              </w:rPr>
            </w:pPr>
            <w:r>
              <w:rPr>
                <w:rFonts w:ascii="Arial" w:cs="Arial" w:eastAsia="Arial" w:hAnsi="Arial"/>
                <w:sz w:val="13"/>
                <w:szCs w:val="13"/>
                <w:b w:val="1"/>
                <w:bCs w:val="1"/>
                <w:color w:val="auto"/>
              </w:rPr>
              <w:t>Expiration</w:t>
            </w:r>
          </w:p>
        </w:tc>
        <w:tc>
          <w:tcPr>
            <w:tcW w:w="252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780" w:type="dxa"/>
            <w:vAlign w:val="bottom"/>
          </w:tcPr>
          <w:p>
            <w:pPr>
              <w:jc w:val="right"/>
              <w:ind w:right="117"/>
              <w:spacing w:after="0"/>
              <w:rPr>
                <w:sz w:val="20"/>
                <w:szCs w:val="20"/>
                <w:color w:val="auto"/>
              </w:rPr>
            </w:pPr>
            <w:r>
              <w:rPr>
                <w:rFonts w:ascii="Arial" w:cs="Arial" w:eastAsia="Arial" w:hAnsi="Arial"/>
                <w:sz w:val="13"/>
                <w:szCs w:val="13"/>
                <w:b w:val="1"/>
                <w:bCs w:val="1"/>
                <w:color w:val="auto"/>
              </w:rPr>
              <w:t>Coupon</w:t>
            </w: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Cost</w:t>
            </w:r>
          </w:p>
        </w:tc>
        <w:tc>
          <w:tcPr>
            <w:tcW w:w="860" w:type="dxa"/>
            <w:vAlign w:val="bottom"/>
            <w:gridSpan w:val="3"/>
          </w:tcPr>
          <w:p>
            <w:pPr>
              <w:ind w:left="4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28"/>
        </w:trPr>
        <w:tc>
          <w:tcPr>
            <w:tcW w:w="34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Preferred Equity/Partnership Interests—1.8% </w:t>
            </w:r>
            <w:r>
              <w:rPr>
                <w:rFonts w:ascii="Arial" w:cs="Arial" w:eastAsia="Arial" w:hAnsi="Arial"/>
                <w:sz w:val="10"/>
                <w:szCs w:val="10"/>
                <w:b w:val="1"/>
                <w:bCs w:val="1"/>
                <w:color w:val="auto"/>
              </w:rPr>
              <w:t>(6)</w:t>
            </w:r>
          </w:p>
        </w:tc>
        <w:tc>
          <w:tcPr>
            <w:tcW w:w="980" w:type="dxa"/>
            <w:vAlign w:val="bottom"/>
            <w:tcBorders>
              <w:top w:val="single" w:sz="8" w:color="auto"/>
            </w:tcBorders>
            <w:shd w:val="clear" w:color="auto" w:fill="CCEEFF"/>
          </w:tcPr>
          <w:p>
            <w:pPr>
              <w:spacing w:after="0"/>
              <w:rPr>
                <w:sz w:val="11"/>
                <w:szCs w:val="11"/>
                <w:color w:val="auto"/>
              </w:rPr>
            </w:pPr>
          </w:p>
        </w:tc>
        <w:tc>
          <w:tcPr>
            <w:tcW w:w="25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AH Holdings, Inc.</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7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6.00%</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211</w:t>
            </w:r>
          </w:p>
        </w:tc>
        <w:tc>
          <w:tcPr>
            <w:tcW w:w="1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500,000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355,508</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949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949,050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995,487</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7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8.00%</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2,375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2,088,121</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2,222,223</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7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8.00%</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3,591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24,177</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J.A. Cosmetics US, Inc.</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7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8.00%</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3,397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3,397,484</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3,871,624</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Roto Holdings, Inc.</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1,197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1,197,000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1,295,710</w:t>
            </w:r>
          </w:p>
        </w:tc>
        <w:tc>
          <w:tcPr>
            <w:tcW w:w="0" w:type="dxa"/>
            <w:vAlign w:val="bottom"/>
          </w:tcPr>
          <w:p>
            <w:pPr>
              <w:spacing w:after="0"/>
              <w:rPr>
                <w:sz w:val="1"/>
                <w:szCs w:val="1"/>
                <w:color w:val="auto"/>
              </w:rPr>
            </w:pPr>
          </w:p>
        </w:tc>
      </w:tr>
      <w:tr>
        <w:trPr>
          <w:trHeight w:val="142"/>
        </w:trPr>
        <w:tc>
          <w:tcPr>
            <w:tcW w:w="3440" w:type="dxa"/>
            <w:vAlign w:val="bottom"/>
          </w:tcPr>
          <w:p>
            <w:pPr>
              <w:spacing w:after="0" w:line="135" w:lineRule="exact"/>
              <w:rPr>
                <w:sz w:val="20"/>
                <w:szCs w:val="20"/>
                <w:color w:val="auto"/>
              </w:rPr>
            </w:pPr>
            <w:r>
              <w:rPr>
                <w:rFonts w:ascii="Arial" w:cs="Arial" w:eastAsia="Arial" w:hAnsi="Arial"/>
                <w:sz w:val="13"/>
                <w:szCs w:val="13"/>
                <w:color w:val="auto"/>
              </w:rPr>
              <w:t>vRide Holdings, Inc. (f/k/a Ride Holdings, Inc.)</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7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8.00%</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1,966,667</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2,102,669</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4,275,107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Equity/Partnership Interests</w:t>
            </w:r>
          </w:p>
        </w:tc>
        <w:tc>
          <w:tcPr>
            <w:tcW w:w="98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10,234,324</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13,039,836</w:t>
            </w:r>
          </w:p>
        </w:tc>
        <w:tc>
          <w:tcPr>
            <w:tcW w:w="0" w:type="dxa"/>
            <w:vAlign w:val="bottom"/>
          </w:tcPr>
          <w:p>
            <w:pPr>
              <w:spacing w:after="0"/>
              <w:rPr>
                <w:sz w:val="1"/>
                <w:szCs w:val="1"/>
                <w:color w:val="auto"/>
              </w:rPr>
            </w:pPr>
          </w:p>
        </w:tc>
      </w:tr>
      <w:tr>
        <w:trPr>
          <w:trHeight w:val="142"/>
        </w:trPr>
        <w:tc>
          <w:tcPr>
            <w:tcW w:w="3440" w:type="dxa"/>
            <w:vAlign w:val="bottom"/>
          </w:tcPr>
          <w:p>
            <w:pPr>
              <w:spacing w:after="0" w:line="142" w:lineRule="exact"/>
              <w:rPr>
                <w:sz w:val="20"/>
                <w:szCs w:val="20"/>
                <w:color w:val="auto"/>
              </w:rPr>
            </w:pPr>
            <w:r>
              <w:rPr>
                <w:rFonts w:ascii="Arial" w:cs="Arial" w:eastAsia="Arial" w:hAnsi="Arial"/>
                <w:sz w:val="13"/>
                <w:szCs w:val="13"/>
                <w:b w:val="1"/>
                <w:bCs w:val="1"/>
                <w:color w:val="auto"/>
                <w:w w:val="97"/>
              </w:rPr>
              <w:t xml:space="preserve">Common Equity/Partnership Interests/Warrants—7.7% </w:t>
            </w:r>
            <w:r>
              <w:rPr>
                <w:rFonts w:ascii="Arial" w:cs="Arial" w:eastAsia="Arial" w:hAnsi="Arial"/>
                <w:sz w:val="10"/>
                <w:szCs w:val="10"/>
                <w:b w:val="1"/>
                <w:bCs w:val="1"/>
                <w:color w:val="auto"/>
                <w:w w:val="97"/>
              </w:rPr>
              <w:t>(6)</w:t>
            </w:r>
          </w:p>
        </w:tc>
        <w:tc>
          <w:tcPr>
            <w:tcW w:w="9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A2Z Wireless Holdings, Inc.</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1,736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445,500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2,528,247</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Affinion Group Holdings, Inc., Series A (Warrants)</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6"/>
              </w:rPr>
              <w:t>12/12/2023</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4,798,624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10,265,972</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2,519,278</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 Series B (Warrants)</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86"/>
              </w:rPr>
              <w:t>12/12/2023</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9,822,196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196,444</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AH Holdings, Inc. (Warrants)</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6"/>
              </w:rPr>
              <w:t>03/23/2021</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753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950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996</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ASP LCG Holdings, Inc. (Warrants)</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6"/>
              </w:rPr>
              <w:t>05/05/2026</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9"/>
              </w:rPr>
              <w:t>Education</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586,975</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820,067</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Autumn Games, LLC</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Broadcasting and Entertainment</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1,333,330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3,000,000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440" w:type="dxa"/>
            <w:vAlign w:val="bottom"/>
          </w:tcPr>
          <w:p>
            <w:pPr>
              <w:spacing w:after="0" w:line="121" w:lineRule="exact"/>
              <w:rPr>
                <w:sz w:val="20"/>
                <w:szCs w:val="20"/>
                <w:color w:val="auto"/>
              </w:rPr>
            </w:pPr>
            <w:r>
              <w:rPr>
                <w:rFonts w:ascii="Arial" w:cs="Arial" w:eastAsia="Arial" w:hAnsi="Arial"/>
                <w:sz w:val="13"/>
                <w:szCs w:val="13"/>
                <w:color w:val="auto"/>
              </w:rPr>
              <w:t xml:space="preserve">Cardinal Logistics Holdings LLC </w:t>
            </w:r>
            <w:r>
              <w:rPr>
                <w:rFonts w:ascii="Arial" w:cs="Arial" w:eastAsia="Arial" w:hAnsi="Arial"/>
                <w:sz w:val="10"/>
                <w:szCs w:val="10"/>
                <w:color w:val="auto"/>
              </w:rPr>
              <w:t>(11)</w:t>
            </w:r>
          </w:p>
        </w:tc>
        <w:tc>
          <w:tcPr>
            <w:tcW w:w="980" w:type="dxa"/>
            <w:vAlign w:val="bottom"/>
          </w:tcPr>
          <w:p>
            <w:pPr>
              <w:jc w:val="center"/>
              <w:ind w:left="37"/>
              <w:spacing w:after="0" w:line="121"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21" w:lineRule="exact"/>
              <w:rPr>
                <w:sz w:val="20"/>
                <w:szCs w:val="20"/>
                <w:color w:val="auto"/>
              </w:rPr>
            </w:pPr>
            <w:r>
              <w:rPr>
                <w:rFonts w:ascii="Arial" w:cs="Arial" w:eastAsia="Arial" w:hAnsi="Arial"/>
                <w:sz w:val="13"/>
                <w:szCs w:val="13"/>
                <w:color w:val="auto"/>
                <w:w w:val="86"/>
              </w:rPr>
              <w:t>Cargo Transport</w:t>
            </w:r>
          </w:p>
        </w:tc>
        <w:tc>
          <w:tcPr>
            <w:tcW w:w="78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21" w:lineRule="exact"/>
              <w:rPr>
                <w:sz w:val="20"/>
                <w:szCs w:val="20"/>
                <w:color w:val="auto"/>
              </w:rPr>
            </w:pPr>
            <w:r>
              <w:rPr>
                <w:rFonts w:ascii="Arial" w:cs="Arial" w:eastAsia="Arial" w:hAnsi="Arial"/>
                <w:sz w:val="13"/>
                <w:szCs w:val="13"/>
                <w:color w:val="auto"/>
              </w:rPr>
              <w:t>137,923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2,111,588</w:t>
            </w:r>
          </w:p>
        </w:tc>
        <w:tc>
          <w:tcPr>
            <w:tcW w:w="60" w:type="dxa"/>
            <w:vAlign w:val="bottom"/>
          </w:tcPr>
          <w:p>
            <w:pPr>
              <w:spacing w:after="0"/>
              <w:rPr>
                <w:sz w:val="10"/>
                <w:szCs w:val="10"/>
                <w:color w:val="auto"/>
              </w:rPr>
            </w:pPr>
          </w:p>
        </w:tc>
        <w:tc>
          <w:tcPr>
            <w:tcW w:w="8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440" w:type="dxa"/>
            <w:vAlign w:val="bottom"/>
          </w:tcPr>
          <w:p>
            <w:pPr>
              <w:ind w:left="140"/>
              <w:spacing w:after="0"/>
              <w:rPr>
                <w:sz w:val="20"/>
                <w:szCs w:val="20"/>
                <w:color w:val="auto"/>
              </w:rPr>
            </w:pPr>
            <w:r>
              <w:rPr>
                <w:rFonts w:ascii="Arial" w:cs="Arial" w:eastAsia="Arial" w:hAnsi="Arial"/>
                <w:sz w:val="13"/>
                <w:szCs w:val="13"/>
                <w:color w:val="auto"/>
              </w:rPr>
              <w:t>(Intermediate Transportation 100, LLC)</w:t>
            </w:r>
          </w:p>
        </w:tc>
        <w:tc>
          <w:tcPr>
            <w:tcW w:w="9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Cascade LP Holdings, LLC </w:t>
            </w:r>
            <w:r>
              <w:rPr>
                <w:rFonts w:ascii="Arial" w:cs="Arial" w:eastAsia="Arial" w:hAnsi="Arial"/>
                <w:sz w:val="10"/>
                <w:szCs w:val="10"/>
                <w:color w:val="auto"/>
              </w:rPr>
              <w:t>(11)</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23,600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2,360,000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3,473,308</w:t>
            </w:r>
          </w:p>
        </w:tc>
        <w:tc>
          <w:tcPr>
            <w:tcW w:w="0" w:type="dxa"/>
            <w:vAlign w:val="bottom"/>
          </w:tcPr>
          <w:p>
            <w:pPr>
              <w:spacing w:after="0"/>
              <w:rPr>
                <w:sz w:val="1"/>
                <w:szCs w:val="1"/>
                <w:color w:val="auto"/>
              </w:rPr>
            </w:pPr>
          </w:p>
        </w:tc>
      </w:tr>
      <w:tr>
        <w:trPr>
          <w:trHeight w:val="121"/>
        </w:trPr>
        <w:tc>
          <w:tcPr>
            <w:tcW w:w="3440" w:type="dxa"/>
            <w:vAlign w:val="bottom"/>
          </w:tcPr>
          <w:p>
            <w:pPr>
              <w:spacing w:after="0" w:line="121" w:lineRule="exact"/>
              <w:rPr>
                <w:sz w:val="20"/>
                <w:szCs w:val="20"/>
                <w:color w:val="auto"/>
              </w:rPr>
            </w:pPr>
            <w:r>
              <w:rPr>
                <w:rFonts w:ascii="Arial" w:cs="Arial" w:eastAsia="Arial" w:hAnsi="Arial"/>
                <w:sz w:val="13"/>
                <w:szCs w:val="13"/>
                <w:color w:val="auto"/>
              </w:rPr>
              <w:t xml:space="preserve">CI (FBM) Holdings, LLC </w:t>
            </w:r>
            <w:r>
              <w:rPr>
                <w:rFonts w:ascii="Arial" w:cs="Arial" w:eastAsia="Arial" w:hAnsi="Arial"/>
                <w:sz w:val="10"/>
                <w:szCs w:val="10"/>
                <w:color w:val="auto"/>
              </w:rPr>
              <w:t>(11)</w:t>
            </w:r>
          </w:p>
        </w:tc>
        <w:tc>
          <w:tcPr>
            <w:tcW w:w="980" w:type="dxa"/>
            <w:vAlign w:val="bottom"/>
          </w:tcPr>
          <w:p>
            <w:pPr>
              <w:jc w:val="center"/>
              <w:ind w:left="37"/>
              <w:spacing w:after="0" w:line="121"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78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21" w:lineRule="exact"/>
              <w:rPr>
                <w:sz w:val="20"/>
                <w:szCs w:val="20"/>
                <w:color w:val="auto"/>
              </w:rPr>
            </w:pPr>
            <w:r>
              <w:rPr>
                <w:rFonts w:ascii="Arial" w:cs="Arial" w:eastAsia="Arial" w:hAnsi="Arial"/>
                <w:sz w:val="13"/>
                <w:szCs w:val="13"/>
                <w:color w:val="auto"/>
              </w:rPr>
              <w:t>207,242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2,250,000</w:t>
            </w:r>
          </w:p>
        </w:tc>
        <w:tc>
          <w:tcPr>
            <w:tcW w:w="60" w:type="dxa"/>
            <w:vAlign w:val="bottom"/>
          </w:tcPr>
          <w:p>
            <w:pPr>
              <w:spacing w:after="0"/>
              <w:rPr>
                <w:sz w:val="10"/>
                <w:szCs w:val="10"/>
                <w:color w:val="auto"/>
              </w:rPr>
            </w:pPr>
          </w:p>
        </w:tc>
        <w:tc>
          <w:tcPr>
            <w:tcW w:w="8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8,223,485</w:t>
            </w:r>
          </w:p>
        </w:tc>
        <w:tc>
          <w:tcPr>
            <w:tcW w:w="0" w:type="dxa"/>
            <w:vAlign w:val="bottom"/>
          </w:tcPr>
          <w:p>
            <w:pPr>
              <w:spacing w:after="0"/>
              <w:rPr>
                <w:sz w:val="1"/>
                <w:szCs w:val="1"/>
                <w:color w:val="auto"/>
              </w:rPr>
            </w:pPr>
          </w:p>
        </w:tc>
      </w:tr>
      <w:tr>
        <w:trPr>
          <w:trHeight w:val="149"/>
        </w:trPr>
        <w:tc>
          <w:tcPr>
            <w:tcW w:w="3440" w:type="dxa"/>
            <w:vAlign w:val="bottom"/>
          </w:tcPr>
          <w:p>
            <w:pPr>
              <w:ind w:left="140"/>
              <w:spacing w:after="0"/>
              <w:rPr>
                <w:sz w:val="20"/>
                <w:szCs w:val="20"/>
                <w:color w:val="auto"/>
              </w:rPr>
            </w:pPr>
            <w:r>
              <w:rPr>
                <w:rFonts w:ascii="Arial" w:cs="Arial" w:eastAsia="Arial" w:hAnsi="Arial"/>
                <w:sz w:val="13"/>
                <w:szCs w:val="13"/>
                <w:color w:val="auto"/>
              </w:rPr>
              <w:t>(Foundation Building Materials, LLC)</w:t>
            </w:r>
          </w:p>
        </w:tc>
        <w:tc>
          <w:tcPr>
            <w:tcW w:w="9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4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CI (FBM) Holdings, LLC </w:t>
            </w:r>
            <w:r>
              <w:rPr>
                <w:rFonts w:ascii="Arial" w:cs="Arial" w:eastAsia="Arial" w:hAnsi="Arial"/>
                <w:sz w:val="10"/>
                <w:szCs w:val="10"/>
                <w:color w:val="auto"/>
              </w:rPr>
              <w:t>(9), (11)</w:t>
            </w:r>
          </w:p>
        </w:tc>
        <w:tc>
          <w:tcPr>
            <w:tcW w:w="980" w:type="dxa"/>
            <w:vAlign w:val="bottom"/>
            <w:shd w:val="clear" w:color="auto" w:fill="CCEEFF"/>
          </w:tcPr>
          <w:p>
            <w:pPr>
              <w:jc w:val="center"/>
              <w:ind w:left="37"/>
              <w:spacing w:after="0" w:line="121"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78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103,621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(Foundation Building Materials, LLC)</w:t>
            </w:r>
          </w:p>
        </w:tc>
        <w:tc>
          <w:tcPr>
            <w:tcW w:w="98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 xml:space="preserve">CI (Galls) Prime Investment Holdings, LLC </w:t>
            </w:r>
            <w:r>
              <w:rPr>
                <w:rFonts w:ascii="Arial" w:cs="Arial" w:eastAsia="Arial" w:hAnsi="Arial"/>
                <w:sz w:val="10"/>
                <w:szCs w:val="10"/>
                <w:color w:val="auto"/>
              </w:rPr>
              <w:t>(11)</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1,745,639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1,745,639</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2,040,629</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2,375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999,889</w:t>
            </w:r>
          </w:p>
        </w:tc>
        <w:tc>
          <w:tcPr>
            <w:tcW w:w="0" w:type="dxa"/>
            <w:vAlign w:val="bottom"/>
          </w:tcPr>
          <w:p>
            <w:pPr>
              <w:spacing w:after="0"/>
              <w:rPr>
                <w:sz w:val="1"/>
                <w:szCs w:val="1"/>
                <w:color w:val="auto"/>
              </w:rPr>
            </w:pPr>
          </w:p>
        </w:tc>
      </w:tr>
      <w:tr>
        <w:trPr>
          <w:trHeight w:val="121"/>
        </w:trPr>
        <w:tc>
          <w:tcPr>
            <w:tcW w:w="3440" w:type="dxa"/>
            <w:vAlign w:val="bottom"/>
          </w:tcPr>
          <w:p>
            <w:pPr>
              <w:spacing w:after="0" w:line="121" w:lineRule="exact"/>
              <w:rPr>
                <w:sz w:val="20"/>
                <w:szCs w:val="20"/>
                <w:color w:val="auto"/>
              </w:rPr>
            </w:pPr>
            <w:r>
              <w:rPr>
                <w:rFonts w:ascii="Arial" w:cs="Arial" w:eastAsia="Arial" w:hAnsi="Arial"/>
                <w:sz w:val="13"/>
                <w:szCs w:val="13"/>
                <w:color w:val="auto"/>
              </w:rPr>
              <w:t>Faraday Holdings, LLC</w:t>
            </w:r>
          </w:p>
        </w:tc>
        <w:tc>
          <w:tcPr>
            <w:tcW w:w="980" w:type="dxa"/>
            <w:vAlign w:val="bottom"/>
          </w:tcPr>
          <w:p>
            <w:pPr>
              <w:jc w:val="center"/>
              <w:ind w:left="37"/>
              <w:spacing w:after="0" w:line="121"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78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21" w:lineRule="exact"/>
              <w:rPr>
                <w:sz w:val="20"/>
                <w:szCs w:val="20"/>
                <w:color w:val="auto"/>
              </w:rPr>
            </w:pPr>
            <w:r>
              <w:rPr>
                <w:rFonts w:ascii="Arial" w:cs="Arial" w:eastAsia="Arial" w:hAnsi="Arial"/>
                <w:sz w:val="13"/>
                <w:szCs w:val="13"/>
                <w:color w:val="auto"/>
              </w:rPr>
              <w:t>3,520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171,601</w:t>
            </w:r>
          </w:p>
        </w:tc>
        <w:tc>
          <w:tcPr>
            <w:tcW w:w="60" w:type="dxa"/>
            <w:vAlign w:val="bottom"/>
          </w:tcPr>
          <w:p>
            <w:pPr>
              <w:spacing w:after="0"/>
              <w:rPr>
                <w:sz w:val="10"/>
                <w:szCs w:val="10"/>
                <w:color w:val="auto"/>
              </w:rPr>
            </w:pPr>
          </w:p>
        </w:tc>
        <w:tc>
          <w:tcPr>
            <w:tcW w:w="8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196,748</w:t>
            </w:r>
          </w:p>
        </w:tc>
        <w:tc>
          <w:tcPr>
            <w:tcW w:w="0" w:type="dxa"/>
            <w:vAlign w:val="bottom"/>
          </w:tcPr>
          <w:p>
            <w:pPr>
              <w:spacing w:after="0"/>
              <w:rPr>
                <w:sz w:val="1"/>
                <w:szCs w:val="1"/>
                <w:color w:val="auto"/>
              </w:rPr>
            </w:pPr>
          </w:p>
        </w:tc>
      </w:tr>
      <w:tr>
        <w:trPr>
          <w:trHeight w:val="149"/>
        </w:trPr>
        <w:tc>
          <w:tcPr>
            <w:tcW w:w="3440" w:type="dxa"/>
            <w:vAlign w:val="bottom"/>
          </w:tcPr>
          <w:p>
            <w:pPr>
              <w:ind w:left="140"/>
              <w:spacing w:after="0"/>
              <w:rPr>
                <w:sz w:val="20"/>
                <w:szCs w:val="20"/>
                <w:color w:val="auto"/>
              </w:rPr>
            </w:pPr>
            <w:r>
              <w:rPr>
                <w:rFonts w:ascii="Arial" w:cs="Arial" w:eastAsia="Arial" w:hAnsi="Arial"/>
                <w:sz w:val="13"/>
                <w:szCs w:val="13"/>
                <w:color w:val="auto"/>
              </w:rPr>
              <w:t>(Interior Specialists, Inc.)</w:t>
            </w:r>
          </w:p>
        </w:tc>
        <w:tc>
          <w:tcPr>
            <w:tcW w:w="9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388,378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2,500,113</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J.A. Cosmetics US, Inc.</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252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2,516</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1,833,357</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Kadmon Holdings, LLC, Class A</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1,079,920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1,236,832</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6,701,684</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Kadmon Holdings, LLC, Class D</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1,079,920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1,028,807</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1,028,807</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LaMi Acquisition, LLC </w:t>
            </w:r>
            <w:r>
              <w:rPr>
                <w:rFonts w:ascii="Arial" w:cs="Arial" w:eastAsia="Arial" w:hAnsi="Arial"/>
                <w:sz w:val="10"/>
                <w:szCs w:val="10"/>
                <w:color w:val="auto"/>
              </w:rPr>
              <w:t>(11)</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383,447</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383,447</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 xml:space="preserve">Lariat ecoserv Co-Invest Holdings, LLC </w:t>
            </w:r>
            <w:r>
              <w:rPr>
                <w:rFonts w:ascii="Arial" w:cs="Arial" w:eastAsia="Arial" w:hAnsi="Arial"/>
                <w:sz w:val="10"/>
                <w:szCs w:val="10"/>
                <w:color w:val="auto"/>
              </w:rPr>
              <w:t>(11)</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1,000,000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1,000,000</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761,955</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Magnum Hunter Resources Corporation (Warrants) </w:t>
            </w:r>
            <w:r>
              <w:rPr>
                <w:rFonts w:ascii="Arial" w:cs="Arial" w:eastAsia="Arial" w:hAnsi="Arial"/>
                <w:sz w:val="10"/>
                <w:szCs w:val="10"/>
                <w:color w:val="auto"/>
              </w:rPr>
              <w:t>(13)</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86"/>
              </w:rPr>
              <w:t>04/16/2016</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122,192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182,498</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440" w:type="dxa"/>
            <w:vAlign w:val="bottom"/>
          </w:tcPr>
          <w:p>
            <w:pPr>
              <w:spacing w:after="0" w:line="121" w:lineRule="exact"/>
              <w:rPr>
                <w:sz w:val="20"/>
                <w:szCs w:val="20"/>
                <w:color w:val="auto"/>
              </w:rPr>
            </w:pPr>
            <w:r>
              <w:rPr>
                <w:rFonts w:ascii="Arial" w:cs="Arial" w:eastAsia="Arial" w:hAnsi="Arial"/>
                <w:sz w:val="13"/>
                <w:szCs w:val="13"/>
                <w:color w:val="auto"/>
              </w:rPr>
              <w:t>MidOcean PPL Holdings, Corp.</w:t>
            </w:r>
          </w:p>
        </w:tc>
        <w:tc>
          <w:tcPr>
            <w:tcW w:w="980" w:type="dxa"/>
            <w:vAlign w:val="bottom"/>
          </w:tcPr>
          <w:p>
            <w:pPr>
              <w:jc w:val="center"/>
              <w:ind w:left="37"/>
              <w:spacing w:after="0" w:line="121"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 Miscellaneous Services</w:t>
            </w:r>
          </w:p>
        </w:tc>
        <w:tc>
          <w:tcPr>
            <w:tcW w:w="78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21" w:lineRule="exact"/>
              <w:rPr>
                <w:sz w:val="20"/>
                <w:szCs w:val="20"/>
                <w:color w:val="auto"/>
              </w:rPr>
            </w:pPr>
            <w:r>
              <w:rPr>
                <w:rFonts w:ascii="Arial" w:cs="Arial" w:eastAsia="Arial" w:hAnsi="Arial"/>
                <w:sz w:val="13"/>
                <w:szCs w:val="13"/>
                <w:color w:val="auto"/>
              </w:rPr>
              <w:t>3,000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3,000,000</w:t>
            </w:r>
          </w:p>
        </w:tc>
        <w:tc>
          <w:tcPr>
            <w:tcW w:w="60" w:type="dxa"/>
            <w:vAlign w:val="bottom"/>
          </w:tcPr>
          <w:p>
            <w:pPr>
              <w:spacing w:after="0"/>
              <w:rPr>
                <w:sz w:val="10"/>
                <w:szCs w:val="10"/>
                <w:color w:val="auto"/>
              </w:rPr>
            </w:pPr>
          </w:p>
        </w:tc>
        <w:tc>
          <w:tcPr>
            <w:tcW w:w="8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4,813,759</w:t>
            </w:r>
          </w:p>
        </w:tc>
        <w:tc>
          <w:tcPr>
            <w:tcW w:w="0" w:type="dxa"/>
            <w:vAlign w:val="bottom"/>
          </w:tcPr>
          <w:p>
            <w:pPr>
              <w:spacing w:after="0"/>
              <w:rPr>
                <w:sz w:val="1"/>
                <w:szCs w:val="1"/>
                <w:color w:val="auto"/>
              </w:rPr>
            </w:pPr>
          </w:p>
        </w:tc>
      </w:tr>
      <w:tr>
        <w:trPr>
          <w:trHeight w:val="149"/>
        </w:trPr>
        <w:tc>
          <w:tcPr>
            <w:tcW w:w="3440" w:type="dxa"/>
            <w:vAlign w:val="bottom"/>
          </w:tcPr>
          <w:p>
            <w:pPr>
              <w:ind w:left="140"/>
              <w:spacing w:after="0"/>
              <w:rPr>
                <w:sz w:val="20"/>
                <w:szCs w:val="20"/>
                <w:color w:val="auto"/>
              </w:rPr>
            </w:pPr>
            <w:r>
              <w:rPr>
                <w:rFonts w:ascii="Arial" w:cs="Arial" w:eastAsia="Arial" w:hAnsi="Arial"/>
                <w:sz w:val="13"/>
                <w:szCs w:val="13"/>
                <w:color w:val="auto"/>
              </w:rPr>
              <w:t>(Pre-Paid Legal Services, Inc.)</w:t>
            </w:r>
          </w:p>
        </w:tc>
        <w:tc>
          <w:tcPr>
            <w:tcW w:w="9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New Gulf Resources, LLC (Warrants) </w:t>
            </w:r>
            <w:r>
              <w:rPr>
                <w:rFonts w:ascii="Arial" w:cs="Arial" w:eastAsia="Arial" w:hAnsi="Arial"/>
                <w:sz w:val="10"/>
                <w:szCs w:val="10"/>
                <w:color w:val="auto"/>
              </w:rPr>
              <w:t>(11)</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86"/>
              </w:rPr>
              <w:t>05/09/2024</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13,500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495,000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Patriot National, Inc. (Warrants)</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6"/>
              </w:rPr>
              <w:t>11/27/2023</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4"/>
              </w:rPr>
              <w:t>Insurance</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123,129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238,049</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1,620,378</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Power Products Holdings, LLC, Class A Units </w:t>
            </w:r>
            <w:r>
              <w:rPr>
                <w:rFonts w:ascii="Arial" w:cs="Arial" w:eastAsia="Arial" w:hAnsi="Arial"/>
                <w:sz w:val="10"/>
                <w:szCs w:val="10"/>
                <w:color w:val="auto"/>
              </w:rPr>
              <w:t>(11)</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901,263</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1,141,900</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 xml:space="preserve">Power Products Holdings, LLC, Class B Units </w:t>
            </w:r>
            <w:r>
              <w:rPr>
                <w:rFonts w:ascii="Arial" w:cs="Arial" w:eastAsia="Arial" w:hAnsi="Arial"/>
                <w:sz w:val="10"/>
                <w:szCs w:val="10"/>
                <w:color w:val="auto"/>
              </w:rPr>
              <w:t>(11)</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150,000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142,300</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1,351,202</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Ride Group Parent, Inc.</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1,870,331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148,998</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148,998</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1,330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133,000</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612,550</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vRide Holdings, Inc. (f/k/a Ride Holdings, Inc.)</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9,882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11,314</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21,481</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Vestcom Parent Holdings, Inc.</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8"/>
              </w:rPr>
              <w:t>Printing and Publishing</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211,797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793,873</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3,570,645</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VText Holdings, Inc.</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35,526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4,050,000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7,597,191</w:t>
            </w:r>
          </w:p>
        </w:tc>
        <w:tc>
          <w:tcPr>
            <w:tcW w:w="0" w:type="dxa"/>
            <w:vAlign w:val="bottom"/>
          </w:tcPr>
          <w:p>
            <w:pPr>
              <w:spacing w:after="0"/>
              <w:rPr>
                <w:sz w:val="1"/>
                <w:szCs w:val="1"/>
                <w:color w:val="auto"/>
              </w:rPr>
            </w:pPr>
          </w:p>
        </w:tc>
      </w:tr>
      <w:tr>
        <w:trPr>
          <w:trHeight w:val="149"/>
        </w:trPr>
        <w:tc>
          <w:tcPr>
            <w:tcW w:w="3440" w:type="dxa"/>
            <w:vAlign w:val="bottom"/>
          </w:tcPr>
          <w:p>
            <w:pPr>
              <w:spacing w:after="0" w:line="142"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9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36,686,122</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55,086,558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8"/>
              </w:rPr>
              <w:t>Total Investments in Non-Controlled, Non-Affiliated Portfolio Companies</w:t>
            </w:r>
          </w:p>
        </w:tc>
        <w:tc>
          <w:tcPr>
            <w:tcW w:w="25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4"/>
              </w:rPr>
              <w:t>1,138,155,969</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6"/>
              </w:rPr>
              <w:t>1,096,719,079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240"/>
          </w:cols>
          <w:pgMar w:left="32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Basis Point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Maturity /</w:t>
            </w: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Spread</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4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360"/>
              <w:spacing w:after="0" w:line="126" w:lineRule="exact"/>
              <w:rPr>
                <w:sz w:val="20"/>
                <w:szCs w:val="20"/>
                <w:color w:val="auto"/>
              </w:rPr>
            </w:pPr>
            <w:r>
              <w:rPr>
                <w:rFonts w:ascii="Arial" w:cs="Arial" w:eastAsia="Arial" w:hAnsi="Arial"/>
                <w:sz w:val="13"/>
                <w:szCs w:val="13"/>
                <w:b w:val="1"/>
                <w:bCs w:val="1"/>
                <w:color w:val="auto"/>
              </w:rPr>
              <w:t>Current</w:t>
            </w:r>
          </w:p>
        </w:tc>
        <w:tc>
          <w:tcPr>
            <w:tcW w:w="84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85"/>
              </w:rPr>
              <w:t>Above</w:t>
            </w:r>
          </w:p>
        </w:tc>
        <w:tc>
          <w:tcPr>
            <w:tcW w:w="84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92"/>
              </w:rPr>
              <w:t>Par /</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920" w:type="dxa"/>
            <w:vAlign w:val="bottom"/>
          </w:tcPr>
          <w:p>
            <w:pPr>
              <w:ind w:left="60"/>
              <w:spacing w:after="0"/>
              <w:rPr>
                <w:sz w:val="20"/>
                <w:szCs w:val="20"/>
                <w:color w:val="auto"/>
              </w:rPr>
            </w:pPr>
            <w:r>
              <w:rPr>
                <w:rFonts w:ascii="Arial" w:cs="Arial" w:eastAsia="Arial" w:hAnsi="Arial"/>
                <w:sz w:val="13"/>
                <w:szCs w:val="13"/>
                <w:b w:val="1"/>
                <w:bCs w:val="1"/>
                <w:color w:val="auto"/>
              </w:rPr>
              <w:t>Expiration</w:t>
            </w:r>
          </w:p>
        </w:tc>
        <w:tc>
          <w:tcPr>
            <w:tcW w:w="24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Industry</w:t>
            </w: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Coupon</w:t>
            </w: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Shares</w:t>
            </w:r>
          </w:p>
        </w:tc>
        <w:tc>
          <w:tcPr>
            <w:tcW w:w="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4"/>
                <w:szCs w:val="14"/>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(3)</w:t>
            </w:r>
          </w:p>
        </w:tc>
        <w:tc>
          <w:tcPr>
            <w:tcW w:w="0" w:type="dxa"/>
            <w:vAlign w:val="bottom"/>
          </w:tcPr>
          <w:p>
            <w:pPr>
              <w:spacing w:after="0"/>
              <w:rPr>
                <w:sz w:val="1"/>
                <w:szCs w:val="1"/>
                <w:color w:val="auto"/>
              </w:rPr>
            </w:pPr>
          </w:p>
        </w:tc>
      </w:tr>
      <w:tr>
        <w:trPr>
          <w:trHeight w:val="128"/>
        </w:trPr>
        <w:tc>
          <w:tcPr>
            <w:tcW w:w="438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3"/>
              </w:rPr>
              <w:t xml:space="preserve">Investments in Non-Controlled, Affiliated Portfolio Companies—13.3% </w:t>
            </w:r>
            <w:r>
              <w:rPr>
                <w:rFonts w:ascii="Arial" w:cs="Arial" w:eastAsia="Arial" w:hAnsi="Arial"/>
                <w:sz w:val="10"/>
                <w:szCs w:val="10"/>
                <w:b w:val="1"/>
                <w:bCs w:val="1"/>
                <w:color w:val="auto"/>
                <w:w w:val="93"/>
              </w:rPr>
              <w:t>(1), (2)</w:t>
            </w:r>
          </w:p>
        </w:tc>
        <w:tc>
          <w:tcPr>
            <w:tcW w:w="2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Debt—3.2%</w:t>
            </w:r>
          </w:p>
        </w:tc>
        <w:tc>
          <w:tcPr>
            <w:tcW w:w="9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w:t>
            </w:r>
          </w:p>
        </w:tc>
        <w:tc>
          <w:tcPr>
            <w:tcW w:w="920" w:type="dxa"/>
            <w:vAlign w:val="bottom"/>
            <w:shd w:val="clear" w:color="auto" w:fill="CCEEFF"/>
          </w:tcPr>
          <w:p>
            <w:pPr>
              <w:jc w:val="center"/>
              <w:ind w:right="177"/>
              <w:spacing w:after="0" w:line="135" w:lineRule="exact"/>
              <w:rPr>
                <w:sz w:val="20"/>
                <w:szCs w:val="20"/>
                <w:color w:val="auto"/>
              </w:rPr>
            </w:pPr>
            <w:r>
              <w:rPr>
                <w:rFonts w:ascii="Arial" w:cs="Arial" w:eastAsia="Arial" w:hAnsi="Arial"/>
                <w:sz w:val="13"/>
                <w:szCs w:val="13"/>
                <w:color w:val="auto"/>
                <w:w w:val="86"/>
              </w:rPr>
              <w:t>04/30/2018</w:t>
            </w:r>
          </w:p>
        </w:tc>
        <w:tc>
          <w:tcPr>
            <w:tcW w:w="246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w w:val="84"/>
              </w:rPr>
              <w:t>Business Services</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12.00%</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L+1,050</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2"/>
              </w:rPr>
              <w:t>23,514,911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23,285,423</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23,044,613</w:t>
            </w:r>
          </w:p>
        </w:tc>
        <w:tc>
          <w:tcPr>
            <w:tcW w:w="0" w:type="dxa"/>
            <w:vAlign w:val="bottom"/>
          </w:tcPr>
          <w:p>
            <w:pPr>
              <w:spacing w:after="0"/>
              <w:rPr>
                <w:sz w:val="1"/>
                <w:szCs w:val="1"/>
                <w:color w:val="auto"/>
              </w:rPr>
            </w:pPr>
          </w:p>
        </w:tc>
      </w:tr>
      <w:tr>
        <w:trPr>
          <w:trHeight w:val="142"/>
        </w:trPr>
        <w:tc>
          <w:tcPr>
            <w:tcW w:w="3460" w:type="dxa"/>
            <w:vAlign w:val="bottom"/>
          </w:tcPr>
          <w:p>
            <w:pPr>
              <w:spacing w:after="0" w:line="142" w:lineRule="exact"/>
              <w:rPr>
                <w:sz w:val="20"/>
                <w:szCs w:val="20"/>
                <w:color w:val="auto"/>
              </w:rPr>
            </w:pPr>
            <w:r>
              <w:rPr>
                <w:rFonts w:ascii="Arial" w:cs="Arial" w:eastAsia="Arial" w:hAnsi="Arial"/>
                <w:sz w:val="13"/>
                <w:szCs w:val="13"/>
                <w:b w:val="1"/>
                <w:bCs w:val="1"/>
                <w:color w:val="auto"/>
              </w:rPr>
              <w:t>Second Lien Secured Debt—1.3%</w:t>
            </w: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Real Property Holdings, Inc.</w:t>
            </w:r>
          </w:p>
        </w:tc>
        <w:tc>
          <w:tcPr>
            <w:tcW w:w="920" w:type="dxa"/>
            <w:vAlign w:val="bottom"/>
            <w:shd w:val="clear" w:color="auto" w:fill="CCEEFF"/>
          </w:tcPr>
          <w:p>
            <w:pPr>
              <w:jc w:val="center"/>
              <w:ind w:right="177"/>
              <w:spacing w:after="0" w:line="135" w:lineRule="exact"/>
              <w:rPr>
                <w:sz w:val="20"/>
                <w:szCs w:val="20"/>
                <w:color w:val="auto"/>
              </w:rPr>
            </w:pPr>
            <w:r>
              <w:rPr>
                <w:rFonts w:ascii="Arial" w:cs="Arial" w:eastAsia="Arial" w:hAnsi="Arial"/>
                <w:sz w:val="13"/>
                <w:szCs w:val="13"/>
                <w:color w:val="auto"/>
                <w:w w:val="86"/>
              </w:rPr>
              <w:t>12/26/2017</w:t>
            </w:r>
          </w:p>
        </w:tc>
        <w:tc>
          <w:tcPr>
            <w:tcW w:w="246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w w:val="89"/>
              </w:rPr>
              <w:t>Environmental Services</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9.00%</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L+800</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9,409,740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9,237,014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9,127,448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 xml:space="preserve">EnviroSolutions Real Property Holdings, Inc. </w:t>
            </w:r>
            <w:r>
              <w:rPr>
                <w:rFonts w:ascii="Arial" w:cs="Arial" w:eastAsia="Arial" w:hAnsi="Arial"/>
                <w:sz w:val="10"/>
                <w:szCs w:val="10"/>
                <w:color w:val="auto"/>
              </w:rPr>
              <w:t>(9)</w:t>
            </w:r>
          </w:p>
        </w:tc>
        <w:tc>
          <w:tcPr>
            <w:tcW w:w="920" w:type="dxa"/>
            <w:vAlign w:val="bottom"/>
          </w:tcPr>
          <w:p>
            <w:pPr>
              <w:jc w:val="center"/>
              <w:ind w:right="177"/>
              <w:spacing w:after="0" w:line="135" w:lineRule="exact"/>
              <w:rPr>
                <w:sz w:val="20"/>
                <w:szCs w:val="20"/>
                <w:color w:val="auto"/>
              </w:rPr>
            </w:pPr>
            <w:r>
              <w:rPr>
                <w:rFonts w:ascii="Arial" w:cs="Arial" w:eastAsia="Arial" w:hAnsi="Arial"/>
                <w:sz w:val="13"/>
                <w:szCs w:val="13"/>
                <w:color w:val="auto"/>
                <w:w w:val="86"/>
              </w:rPr>
              <w:t>12/31/2015</w:t>
            </w:r>
          </w:p>
        </w:tc>
        <w:tc>
          <w:tcPr>
            <w:tcW w:w="246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89"/>
              </w:rPr>
              <w:t>Environmental Services</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758,850</w:t>
            </w:r>
          </w:p>
        </w:tc>
        <w:tc>
          <w:tcPr>
            <w:tcW w:w="8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9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9,237,014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9,127,448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line="142" w:lineRule="exact"/>
              <w:rPr>
                <w:sz w:val="20"/>
                <w:szCs w:val="20"/>
                <w:color w:val="auto"/>
              </w:rPr>
            </w:pPr>
            <w:r>
              <w:rPr>
                <w:rFonts w:ascii="Arial" w:cs="Arial" w:eastAsia="Arial" w:hAnsi="Arial"/>
                <w:sz w:val="13"/>
                <w:szCs w:val="13"/>
                <w:b w:val="1"/>
                <w:bCs w:val="1"/>
                <w:color w:val="auto"/>
              </w:rPr>
              <w:t>Subordinated Debt/Corporate Notes—4.8%</w:t>
            </w: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920" w:type="dxa"/>
            <w:vAlign w:val="bottom"/>
            <w:shd w:val="clear" w:color="auto" w:fill="CCEEFF"/>
          </w:tcPr>
          <w:p>
            <w:pPr>
              <w:jc w:val="center"/>
              <w:ind w:right="177"/>
              <w:spacing w:after="0" w:line="135" w:lineRule="exact"/>
              <w:rPr>
                <w:sz w:val="20"/>
                <w:szCs w:val="20"/>
                <w:color w:val="auto"/>
              </w:rPr>
            </w:pPr>
            <w:r>
              <w:rPr>
                <w:rFonts w:ascii="Arial" w:cs="Arial" w:eastAsia="Arial" w:hAnsi="Arial"/>
                <w:sz w:val="13"/>
                <w:szCs w:val="13"/>
                <w:color w:val="auto"/>
                <w:w w:val="86"/>
              </w:rPr>
              <w:t>11/05/2019</w:t>
            </w:r>
          </w:p>
        </w:tc>
        <w:tc>
          <w:tcPr>
            <w:tcW w:w="246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w w:val="85"/>
              </w:rPr>
              <w:t>Consumer Products</w:t>
            </w: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2"/>
              </w:rPr>
              <w:t>13,092,070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13,092,071</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6,284,194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Service Champ, Inc.</w:t>
            </w:r>
          </w:p>
        </w:tc>
        <w:tc>
          <w:tcPr>
            <w:tcW w:w="920" w:type="dxa"/>
            <w:vAlign w:val="bottom"/>
          </w:tcPr>
          <w:p>
            <w:pPr>
              <w:jc w:val="center"/>
              <w:ind w:right="177"/>
              <w:spacing w:after="0" w:line="135" w:lineRule="exact"/>
              <w:rPr>
                <w:sz w:val="20"/>
                <w:szCs w:val="20"/>
                <w:color w:val="auto"/>
              </w:rPr>
            </w:pPr>
            <w:r>
              <w:rPr>
                <w:rFonts w:ascii="Arial" w:cs="Arial" w:eastAsia="Arial" w:hAnsi="Arial"/>
                <w:sz w:val="13"/>
                <w:szCs w:val="13"/>
                <w:color w:val="auto"/>
                <w:w w:val="86"/>
              </w:rPr>
              <w:t>10/02/2017</w:t>
            </w:r>
          </w:p>
        </w:tc>
        <w:tc>
          <w:tcPr>
            <w:tcW w:w="246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91"/>
              </w:rPr>
              <w:t>Auto Sector</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12.50%</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2"/>
              </w:rPr>
              <w:t>28,000,000</w:t>
            </w:r>
          </w:p>
        </w:tc>
        <w:tc>
          <w:tcPr>
            <w:tcW w:w="8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27,702,867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27,931,507</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9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40,794,938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34,215,701</w:t>
            </w:r>
          </w:p>
        </w:tc>
        <w:tc>
          <w:tcPr>
            <w:tcW w:w="0" w:type="dxa"/>
            <w:vAlign w:val="bottom"/>
          </w:tcPr>
          <w:p>
            <w:pPr>
              <w:spacing w:after="0"/>
              <w:rPr>
                <w:sz w:val="1"/>
                <w:szCs w:val="1"/>
                <w:color w:val="auto"/>
              </w:rPr>
            </w:pPr>
          </w:p>
        </w:tc>
      </w:tr>
      <w:tr>
        <w:trPr>
          <w:trHeight w:val="142"/>
        </w:trPr>
        <w:tc>
          <w:tcPr>
            <w:tcW w:w="346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Preferred Equity—0.7% </w:t>
            </w:r>
            <w:r>
              <w:rPr>
                <w:rFonts w:ascii="Arial" w:cs="Arial" w:eastAsia="Arial" w:hAnsi="Arial"/>
                <w:sz w:val="10"/>
                <w:szCs w:val="10"/>
                <w:b w:val="1"/>
                <w:bCs w:val="1"/>
                <w:color w:val="auto"/>
              </w:rPr>
              <w:t>(6)</w:t>
            </w: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920" w:type="dxa"/>
            <w:vAlign w:val="bottom"/>
            <w:shd w:val="clear" w:color="auto" w:fill="CCEEFF"/>
          </w:tcPr>
          <w:p>
            <w:pPr>
              <w:jc w:val="center"/>
              <w:ind w:right="17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w w:val="84"/>
              </w:rPr>
              <w:t>Aerospace and Defense</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53,071</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20,059,340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5,254,029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line="142" w:lineRule="exact"/>
              <w:rPr>
                <w:sz w:val="20"/>
                <w:szCs w:val="20"/>
                <w:color w:val="auto"/>
              </w:rPr>
            </w:pPr>
            <w:r>
              <w:rPr>
                <w:rFonts w:ascii="Arial" w:cs="Arial" w:eastAsia="Arial" w:hAnsi="Arial"/>
                <w:sz w:val="13"/>
                <w:szCs w:val="13"/>
                <w:b w:val="1"/>
                <w:bCs w:val="1"/>
                <w:color w:val="auto"/>
                <w:w w:val="97"/>
              </w:rPr>
              <w:t xml:space="preserve">Common Equity/Partnership Interests/Warrants—3.3% </w:t>
            </w:r>
            <w:r>
              <w:rPr>
                <w:rFonts w:ascii="Arial" w:cs="Arial" w:eastAsia="Arial" w:hAnsi="Arial"/>
                <w:sz w:val="10"/>
                <w:szCs w:val="10"/>
                <w:b w:val="1"/>
                <w:bCs w:val="1"/>
                <w:color w:val="auto"/>
                <w:w w:val="97"/>
              </w:rPr>
              <w:t>(6)</w:t>
            </w: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920" w:type="dxa"/>
            <w:vAlign w:val="bottom"/>
            <w:shd w:val="clear" w:color="auto" w:fill="CCEEFF"/>
          </w:tcPr>
          <w:p>
            <w:pPr>
              <w:jc w:val="center"/>
              <w:ind w:right="17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w w:val="85"/>
              </w:rPr>
              <w:t>Consumer Products</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104,719</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21,492,822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DirectBuy Holdings, Inc. (Warrants)</w:t>
            </w:r>
          </w:p>
        </w:tc>
        <w:tc>
          <w:tcPr>
            <w:tcW w:w="920" w:type="dxa"/>
            <w:vAlign w:val="bottom"/>
          </w:tcPr>
          <w:p>
            <w:pPr>
              <w:jc w:val="center"/>
              <w:ind w:right="177"/>
              <w:spacing w:after="0" w:line="135" w:lineRule="exact"/>
              <w:rPr>
                <w:sz w:val="20"/>
                <w:szCs w:val="20"/>
                <w:color w:val="auto"/>
              </w:rPr>
            </w:pPr>
            <w:r>
              <w:rPr>
                <w:rFonts w:ascii="Arial" w:cs="Arial" w:eastAsia="Arial" w:hAnsi="Arial"/>
                <w:sz w:val="13"/>
                <w:szCs w:val="13"/>
                <w:color w:val="auto"/>
                <w:w w:val="86"/>
              </w:rPr>
              <w:t>11/05/2022</w:t>
            </w:r>
          </w:p>
        </w:tc>
        <w:tc>
          <w:tcPr>
            <w:tcW w:w="246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85"/>
              </w:rPr>
              <w:t>Consumer Products</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15,486</w:t>
            </w:r>
          </w:p>
        </w:tc>
        <w:tc>
          <w:tcPr>
            <w:tcW w:w="8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Holdings, Inc.</w:t>
            </w:r>
          </w:p>
        </w:tc>
        <w:tc>
          <w:tcPr>
            <w:tcW w:w="920" w:type="dxa"/>
            <w:vAlign w:val="bottom"/>
            <w:shd w:val="clear" w:color="auto" w:fill="CCEEFF"/>
          </w:tcPr>
          <w:p>
            <w:pPr>
              <w:jc w:val="center"/>
              <w:ind w:right="17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w w:val="89"/>
              </w:rPr>
              <w:t>Environmental Services</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143,668</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11,960,702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11,337,381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460" w:type="dxa"/>
            <w:vAlign w:val="bottom"/>
          </w:tcPr>
          <w:p>
            <w:pPr>
              <w:spacing w:after="0" w:line="121" w:lineRule="exact"/>
              <w:rPr>
                <w:sz w:val="20"/>
                <w:szCs w:val="20"/>
                <w:color w:val="auto"/>
              </w:rPr>
            </w:pPr>
            <w:r>
              <w:rPr>
                <w:rFonts w:ascii="Arial" w:cs="Arial" w:eastAsia="Arial" w:hAnsi="Arial"/>
                <w:sz w:val="13"/>
                <w:szCs w:val="13"/>
                <w:color w:val="auto"/>
              </w:rPr>
              <w:t>NCP-Performance, L.P.</w:t>
            </w:r>
          </w:p>
        </w:tc>
        <w:tc>
          <w:tcPr>
            <w:tcW w:w="920" w:type="dxa"/>
            <w:vAlign w:val="bottom"/>
          </w:tcPr>
          <w:p>
            <w:pPr>
              <w:jc w:val="center"/>
              <w:ind w:right="177"/>
              <w:spacing w:after="0" w:line="121" w:lineRule="exact"/>
              <w:rPr>
                <w:sz w:val="20"/>
                <w:szCs w:val="20"/>
                <w:color w:val="auto"/>
              </w:rPr>
            </w:pPr>
            <w:r>
              <w:rPr>
                <w:rFonts w:ascii="Arial" w:cs="Arial" w:eastAsia="Arial" w:hAnsi="Arial"/>
                <w:sz w:val="13"/>
                <w:szCs w:val="13"/>
                <w:color w:val="auto"/>
                <w:w w:val="91"/>
              </w:rPr>
              <w:t>—</w:t>
            </w:r>
          </w:p>
        </w:tc>
        <w:tc>
          <w:tcPr>
            <w:tcW w:w="2460" w:type="dxa"/>
            <w:vAlign w:val="bottom"/>
            <w:gridSpan w:val="2"/>
          </w:tcPr>
          <w:p>
            <w:pPr>
              <w:jc w:val="center"/>
              <w:ind w:right="300"/>
              <w:spacing w:after="0" w:line="121" w:lineRule="exact"/>
              <w:rPr>
                <w:sz w:val="20"/>
                <w:szCs w:val="20"/>
                <w:color w:val="auto"/>
              </w:rPr>
            </w:pPr>
            <w:r>
              <w:rPr>
                <w:rFonts w:ascii="Arial" w:cs="Arial" w:eastAsia="Arial" w:hAnsi="Arial"/>
                <w:sz w:val="13"/>
                <w:szCs w:val="13"/>
                <w:color w:val="auto"/>
                <w:w w:val="87"/>
              </w:rPr>
              <w:t>Leisure, Amusement,</w:t>
            </w:r>
          </w:p>
        </w:tc>
        <w:tc>
          <w:tcPr>
            <w:tcW w:w="88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375,000</w:t>
            </w:r>
          </w:p>
        </w:tc>
        <w:tc>
          <w:tcPr>
            <w:tcW w:w="80" w:type="dxa"/>
            <w:vAlign w:val="bottom"/>
          </w:tcPr>
          <w:p>
            <w:pPr>
              <w:spacing w:after="0"/>
              <w:rPr>
                <w:sz w:val="10"/>
                <w:szCs w:val="10"/>
                <w:color w:val="auto"/>
              </w:rPr>
            </w:pPr>
          </w:p>
        </w:tc>
        <w:tc>
          <w:tcPr>
            <w:tcW w:w="8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3,750,000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60" w:type="dxa"/>
            <w:vAlign w:val="bottom"/>
            <w:gridSpan w:val="2"/>
          </w:tcPr>
          <w:p>
            <w:pPr>
              <w:jc w:val="center"/>
              <w:ind w:right="280"/>
              <w:spacing w:after="0"/>
              <w:rPr>
                <w:sz w:val="20"/>
                <w:szCs w:val="20"/>
                <w:color w:val="auto"/>
              </w:rPr>
            </w:pPr>
            <w:r>
              <w:rPr>
                <w:rFonts w:ascii="Arial" w:cs="Arial" w:eastAsia="Arial" w:hAnsi="Arial"/>
                <w:sz w:val="13"/>
                <w:szCs w:val="13"/>
                <w:color w:val="auto"/>
                <w:w w:val="89"/>
              </w:rPr>
              <w:t>Motion Pictures and Entertainment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4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New Service Champ Holdings, Inc.</w:t>
            </w:r>
          </w:p>
        </w:tc>
        <w:tc>
          <w:tcPr>
            <w:tcW w:w="920" w:type="dxa"/>
            <w:vAlign w:val="bottom"/>
            <w:shd w:val="clear" w:color="auto" w:fill="CCEEFF"/>
          </w:tcPr>
          <w:p>
            <w:pPr>
              <w:jc w:val="center"/>
              <w:ind w:right="177"/>
              <w:spacing w:after="0" w:line="136" w:lineRule="exact"/>
              <w:rPr>
                <w:sz w:val="20"/>
                <w:szCs w:val="20"/>
                <w:color w:val="auto"/>
              </w:rPr>
            </w:pPr>
            <w:r>
              <w:rPr>
                <w:rFonts w:ascii="Arial" w:cs="Arial" w:eastAsia="Arial" w:hAnsi="Arial"/>
                <w:sz w:val="13"/>
                <w:szCs w:val="13"/>
                <w:color w:val="auto"/>
                <w:w w:val="91"/>
              </w:rPr>
              <w:t>—</w:t>
            </w:r>
          </w:p>
        </w:tc>
        <w:tc>
          <w:tcPr>
            <w:tcW w:w="2460" w:type="dxa"/>
            <w:vAlign w:val="bottom"/>
            <w:gridSpan w:val="2"/>
            <w:shd w:val="clear" w:color="auto" w:fill="CCEEFF"/>
          </w:tcPr>
          <w:p>
            <w:pPr>
              <w:jc w:val="center"/>
              <w:ind w:right="280"/>
              <w:spacing w:after="0" w:line="136" w:lineRule="exact"/>
              <w:rPr>
                <w:sz w:val="20"/>
                <w:szCs w:val="20"/>
                <w:color w:val="auto"/>
              </w:rPr>
            </w:pPr>
            <w:r>
              <w:rPr>
                <w:rFonts w:ascii="Arial" w:cs="Arial" w:eastAsia="Arial" w:hAnsi="Arial"/>
                <w:sz w:val="13"/>
                <w:szCs w:val="13"/>
                <w:color w:val="auto"/>
                <w:w w:val="91"/>
              </w:rPr>
              <w:t>Auto Sector</w:t>
            </w:r>
          </w:p>
        </w:tc>
        <w:tc>
          <w:tcPr>
            <w:tcW w:w="88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16,800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2,721,600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4,457,055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920" w:type="dxa"/>
            <w:vAlign w:val="bottom"/>
          </w:tcPr>
          <w:p>
            <w:pPr>
              <w:jc w:val="center"/>
              <w:ind w:right="17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84"/>
              </w:rPr>
              <w:t>Aerospace and Defense</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53,071</w:t>
            </w:r>
          </w:p>
        </w:tc>
        <w:tc>
          <w:tcPr>
            <w:tcW w:w="8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202,619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6,178,645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w:t>
            </w:r>
          </w:p>
        </w:tc>
        <w:tc>
          <w:tcPr>
            <w:tcW w:w="920" w:type="dxa"/>
            <w:vAlign w:val="bottom"/>
            <w:shd w:val="clear" w:color="auto" w:fill="CCEEFF"/>
          </w:tcPr>
          <w:p>
            <w:pPr>
              <w:jc w:val="center"/>
              <w:ind w:right="17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w w:val="84"/>
              </w:rPr>
              <w:t>Business Services</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491,755</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188,837</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1,888,232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line="142"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40,316,580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23,861,313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in Non-Controlled, Affiliated Portfolio Companies</w:t>
            </w:r>
          </w:p>
        </w:tc>
        <w:tc>
          <w:tcPr>
            <w:tcW w:w="2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6"/>
              </w:rPr>
              <w:t>133,693,295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95,503,104</w:t>
            </w:r>
          </w:p>
        </w:tc>
        <w:tc>
          <w:tcPr>
            <w:tcW w:w="0" w:type="dxa"/>
            <w:vAlign w:val="bottom"/>
          </w:tcPr>
          <w:p>
            <w:pPr>
              <w:spacing w:after="0"/>
              <w:rPr>
                <w:sz w:val="1"/>
                <w:szCs w:val="1"/>
                <w:color w:val="auto"/>
              </w:rPr>
            </w:pPr>
          </w:p>
        </w:tc>
      </w:tr>
      <w:tr>
        <w:trPr>
          <w:trHeight w:val="142"/>
        </w:trPr>
        <w:tc>
          <w:tcPr>
            <w:tcW w:w="43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w w:val="99"/>
              </w:rPr>
              <w:t xml:space="preserve">Investments in Controlled, Affiliated Portfolio Companies—15.0% </w:t>
            </w:r>
            <w:r>
              <w:rPr>
                <w:rFonts w:ascii="Arial" w:cs="Arial" w:eastAsia="Arial" w:hAnsi="Arial"/>
                <w:sz w:val="10"/>
                <w:szCs w:val="10"/>
                <w:b w:val="1"/>
                <w:bCs w:val="1"/>
                <w:color w:val="auto"/>
                <w:w w:val="99"/>
              </w:rPr>
              <w:t>(1), (2)</w:t>
            </w: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First Lien Secured Debt—13.4%</w:t>
            </w:r>
          </w:p>
        </w:tc>
        <w:tc>
          <w:tcPr>
            <w:tcW w:w="9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460" w:type="dxa"/>
            <w:vAlign w:val="bottom"/>
          </w:tcPr>
          <w:p>
            <w:pPr>
              <w:spacing w:after="0" w:line="121" w:lineRule="exact"/>
              <w:rPr>
                <w:sz w:val="20"/>
                <w:szCs w:val="20"/>
                <w:color w:val="auto"/>
              </w:rPr>
            </w:pPr>
            <w:r>
              <w:rPr>
                <w:rFonts w:ascii="Arial" w:cs="Arial" w:eastAsia="Arial" w:hAnsi="Arial"/>
                <w:sz w:val="13"/>
                <w:szCs w:val="13"/>
                <w:color w:val="auto"/>
              </w:rPr>
              <w:t>RAM Energy LLC, Tranche A</w:t>
            </w:r>
          </w:p>
        </w:tc>
        <w:tc>
          <w:tcPr>
            <w:tcW w:w="920" w:type="dxa"/>
            <w:vAlign w:val="bottom"/>
          </w:tcPr>
          <w:p>
            <w:pPr>
              <w:jc w:val="center"/>
              <w:ind w:right="177"/>
              <w:spacing w:after="0" w:line="121" w:lineRule="exact"/>
              <w:rPr>
                <w:sz w:val="20"/>
                <w:szCs w:val="20"/>
                <w:color w:val="auto"/>
              </w:rPr>
            </w:pPr>
            <w:r>
              <w:rPr>
                <w:rFonts w:ascii="Arial" w:cs="Arial" w:eastAsia="Arial" w:hAnsi="Arial"/>
                <w:sz w:val="13"/>
                <w:szCs w:val="13"/>
                <w:color w:val="auto"/>
                <w:w w:val="86"/>
              </w:rPr>
              <w:t>07/18/2019</w:t>
            </w:r>
          </w:p>
        </w:tc>
        <w:tc>
          <w:tcPr>
            <w:tcW w:w="2460" w:type="dxa"/>
            <w:vAlign w:val="bottom"/>
            <w:gridSpan w:val="2"/>
          </w:tcPr>
          <w:p>
            <w:pPr>
              <w:jc w:val="center"/>
              <w:ind w:right="280"/>
              <w:spacing w:after="0" w:line="121" w:lineRule="exact"/>
              <w:rPr>
                <w:sz w:val="20"/>
                <w:szCs w:val="20"/>
                <w:color w:val="auto"/>
              </w:rPr>
            </w:pPr>
            <w:r>
              <w:rPr>
                <w:rFonts w:ascii="Arial" w:cs="Arial" w:eastAsia="Arial" w:hAnsi="Arial"/>
                <w:sz w:val="13"/>
                <w:szCs w:val="13"/>
                <w:color w:val="auto"/>
                <w:w w:val="91"/>
              </w:rPr>
              <w:t>Energy and Utilities</w:t>
            </w:r>
          </w:p>
        </w:tc>
        <w:tc>
          <w:tcPr>
            <w:tcW w:w="8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10.00%</w:t>
            </w:r>
          </w:p>
        </w:tc>
        <w:tc>
          <w:tcPr>
            <w:tcW w:w="8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L+800</w:t>
            </w:r>
          </w:p>
        </w:tc>
        <w:tc>
          <w:tcPr>
            <w:tcW w:w="8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w w:val="92"/>
              </w:rPr>
              <w:t>76,425,000</w:t>
            </w:r>
          </w:p>
        </w:tc>
        <w:tc>
          <w:tcPr>
            <w:tcW w:w="80" w:type="dxa"/>
            <w:vAlign w:val="bottom"/>
          </w:tcPr>
          <w:p>
            <w:pPr>
              <w:spacing w:after="0"/>
              <w:rPr>
                <w:sz w:val="10"/>
                <w:szCs w:val="10"/>
                <w:color w:val="auto"/>
              </w:rPr>
            </w:pPr>
          </w:p>
        </w:tc>
        <w:tc>
          <w:tcPr>
            <w:tcW w:w="8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75,177,005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jc w:val="right"/>
              <w:ind w:right="80"/>
              <w:spacing w:after="0" w:line="121" w:lineRule="exact"/>
              <w:rPr>
                <w:sz w:val="20"/>
                <w:szCs w:val="20"/>
                <w:color w:val="auto"/>
              </w:rPr>
            </w:pPr>
            <w:r>
              <w:rPr>
                <w:rFonts w:ascii="Arial" w:cs="Arial" w:eastAsia="Arial" w:hAnsi="Arial"/>
                <w:sz w:val="13"/>
                <w:szCs w:val="13"/>
                <w:color w:val="auto"/>
              </w:rPr>
              <w:t>72,759,582</w:t>
            </w: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w w:val="95"/>
              </w:rPr>
              <w:t>(PIK 10.00%)</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6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Superior Digital Displays, LLC</w:t>
            </w:r>
          </w:p>
        </w:tc>
        <w:tc>
          <w:tcPr>
            <w:tcW w:w="920" w:type="dxa"/>
            <w:vAlign w:val="bottom"/>
            <w:shd w:val="clear" w:color="auto" w:fill="CCEEFF"/>
          </w:tcPr>
          <w:p>
            <w:pPr>
              <w:jc w:val="center"/>
              <w:ind w:right="177"/>
              <w:spacing w:after="0" w:line="122" w:lineRule="exact"/>
              <w:rPr>
                <w:sz w:val="20"/>
                <w:szCs w:val="20"/>
                <w:color w:val="auto"/>
              </w:rPr>
            </w:pPr>
            <w:r>
              <w:rPr>
                <w:rFonts w:ascii="Arial" w:cs="Arial" w:eastAsia="Arial" w:hAnsi="Arial"/>
                <w:sz w:val="13"/>
                <w:szCs w:val="13"/>
                <w:color w:val="auto"/>
                <w:w w:val="86"/>
              </w:rPr>
              <w:t>12/31/2018</w:t>
            </w:r>
          </w:p>
        </w:tc>
        <w:tc>
          <w:tcPr>
            <w:tcW w:w="2460" w:type="dxa"/>
            <w:vAlign w:val="bottom"/>
            <w:gridSpan w:val="2"/>
            <w:shd w:val="clear" w:color="auto" w:fill="CCEEFF"/>
          </w:tcPr>
          <w:p>
            <w:pPr>
              <w:jc w:val="center"/>
              <w:ind w:right="300"/>
              <w:spacing w:after="0" w:line="122" w:lineRule="exact"/>
              <w:rPr>
                <w:sz w:val="20"/>
                <w:szCs w:val="20"/>
                <w:color w:val="auto"/>
              </w:rPr>
            </w:pPr>
            <w:r>
              <w:rPr>
                <w:rFonts w:ascii="Arial" w:cs="Arial" w:eastAsia="Arial" w:hAnsi="Arial"/>
                <w:sz w:val="13"/>
                <w:szCs w:val="13"/>
                <w:color w:val="auto"/>
                <w:w w:val="90"/>
              </w:rPr>
              <w:t>Media</w:t>
            </w:r>
          </w:p>
        </w:tc>
        <w:tc>
          <w:tcPr>
            <w:tcW w:w="8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3"/>
                <w:szCs w:val="13"/>
                <w:color w:val="auto"/>
              </w:rPr>
              <w:t>14.00%</w:t>
            </w:r>
          </w:p>
        </w:tc>
        <w:tc>
          <w:tcPr>
            <w:tcW w:w="84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3"/>
                <w:szCs w:val="13"/>
                <w:color w:val="auto"/>
              </w:rPr>
              <w:t>L+1,300</w:t>
            </w:r>
          </w:p>
        </w:tc>
        <w:tc>
          <w:tcPr>
            <w:tcW w:w="84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3"/>
                <w:szCs w:val="13"/>
                <w:color w:val="auto"/>
                <w:w w:val="92"/>
              </w:rPr>
              <w:t>23,055,423</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3"/>
                <w:szCs w:val="13"/>
                <w:color w:val="auto"/>
              </w:rPr>
              <w:t>20,951,257</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3"/>
                <w:szCs w:val="13"/>
                <w:color w:val="auto"/>
              </w:rPr>
              <w:t>23,055,423</w:t>
            </w:r>
          </w:p>
        </w:tc>
        <w:tc>
          <w:tcPr>
            <w:tcW w:w="0" w:type="dxa"/>
            <w:vAlign w:val="bottom"/>
          </w:tcPr>
          <w:p>
            <w:pPr>
              <w:spacing w:after="0"/>
              <w:rPr>
                <w:sz w:val="1"/>
                <w:szCs w:val="1"/>
                <w:color w:val="auto"/>
              </w:rPr>
            </w:pPr>
          </w:p>
        </w:tc>
      </w:tr>
      <w:tr>
        <w:trPr>
          <w:trHeight w:val="163"/>
        </w:trPr>
        <w:tc>
          <w:tcPr>
            <w:tcW w:w="3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5"/>
              </w:rPr>
              <w:t>(PIK 14.00%)</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96,128,262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95,815,005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Debt—0.5%</w:t>
            </w:r>
          </w:p>
        </w:tc>
        <w:tc>
          <w:tcPr>
            <w:tcW w:w="9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460" w:type="dxa"/>
            <w:vAlign w:val="bottom"/>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920" w:type="dxa"/>
            <w:vAlign w:val="bottom"/>
          </w:tcPr>
          <w:p>
            <w:pPr>
              <w:jc w:val="center"/>
              <w:ind w:right="177"/>
              <w:spacing w:after="0" w:line="121" w:lineRule="exact"/>
              <w:rPr>
                <w:sz w:val="20"/>
                <w:szCs w:val="20"/>
                <w:color w:val="auto"/>
              </w:rPr>
            </w:pPr>
            <w:r>
              <w:rPr>
                <w:rFonts w:ascii="Arial" w:cs="Arial" w:eastAsia="Arial" w:hAnsi="Arial"/>
                <w:sz w:val="13"/>
                <w:szCs w:val="13"/>
                <w:color w:val="auto"/>
                <w:w w:val="86"/>
              </w:rPr>
              <w:t>07/01/2019</w:t>
            </w:r>
          </w:p>
        </w:tc>
        <w:tc>
          <w:tcPr>
            <w:tcW w:w="2460" w:type="dxa"/>
            <w:vAlign w:val="bottom"/>
            <w:gridSpan w:val="2"/>
          </w:tcPr>
          <w:p>
            <w:pPr>
              <w:jc w:val="center"/>
              <w:ind w:right="300"/>
              <w:spacing w:after="0" w:line="121" w:lineRule="exact"/>
              <w:rPr>
                <w:sz w:val="20"/>
                <w:szCs w:val="20"/>
                <w:color w:val="auto"/>
              </w:rPr>
            </w:pPr>
            <w:r>
              <w:rPr>
                <w:rFonts w:ascii="Arial" w:cs="Arial" w:eastAsia="Arial" w:hAnsi="Arial"/>
                <w:sz w:val="13"/>
                <w:szCs w:val="13"/>
                <w:color w:val="auto"/>
                <w:w w:val="90"/>
              </w:rPr>
              <w:t>Media</w:t>
            </w:r>
          </w:p>
        </w:tc>
        <w:tc>
          <w:tcPr>
            <w:tcW w:w="8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16.00%</w:t>
            </w:r>
          </w:p>
        </w:tc>
        <w:tc>
          <w:tcPr>
            <w:tcW w:w="8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L+1,500</w:t>
            </w:r>
          </w:p>
        </w:tc>
        <w:tc>
          <w:tcPr>
            <w:tcW w:w="8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3,462,417</w:t>
            </w:r>
          </w:p>
        </w:tc>
        <w:tc>
          <w:tcPr>
            <w:tcW w:w="80" w:type="dxa"/>
            <w:vAlign w:val="bottom"/>
          </w:tcPr>
          <w:p>
            <w:pPr>
              <w:spacing w:after="0"/>
              <w:rPr>
                <w:sz w:val="10"/>
                <w:szCs w:val="10"/>
                <w:color w:val="auto"/>
              </w:rPr>
            </w:pPr>
          </w:p>
        </w:tc>
        <w:tc>
          <w:tcPr>
            <w:tcW w:w="8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3,462,417</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3,462,417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w w:val="95"/>
              </w:rPr>
              <w:t>(PIK 16.00%)</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4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 xml:space="preserve">Superior Digital Displays, LLC </w:t>
            </w:r>
            <w:r>
              <w:rPr>
                <w:rFonts w:ascii="Arial" w:cs="Arial" w:eastAsia="Arial" w:hAnsi="Arial"/>
                <w:sz w:val="10"/>
                <w:szCs w:val="10"/>
                <w:color w:val="auto"/>
              </w:rPr>
              <w:t>(9)</w:t>
            </w:r>
          </w:p>
        </w:tc>
        <w:tc>
          <w:tcPr>
            <w:tcW w:w="920" w:type="dxa"/>
            <w:vAlign w:val="bottom"/>
            <w:shd w:val="clear" w:color="auto" w:fill="CCEEFF"/>
          </w:tcPr>
          <w:p>
            <w:pPr>
              <w:jc w:val="center"/>
              <w:ind w:right="177"/>
              <w:spacing w:after="0" w:line="136" w:lineRule="exact"/>
              <w:rPr>
                <w:sz w:val="20"/>
                <w:szCs w:val="20"/>
                <w:color w:val="auto"/>
              </w:rPr>
            </w:pPr>
            <w:r>
              <w:rPr>
                <w:rFonts w:ascii="Arial" w:cs="Arial" w:eastAsia="Arial" w:hAnsi="Arial"/>
                <w:sz w:val="13"/>
                <w:szCs w:val="13"/>
                <w:color w:val="auto"/>
                <w:w w:val="86"/>
              </w:rPr>
              <w:t>07/01/2019</w:t>
            </w:r>
          </w:p>
        </w:tc>
        <w:tc>
          <w:tcPr>
            <w:tcW w:w="2460" w:type="dxa"/>
            <w:vAlign w:val="bottom"/>
            <w:gridSpan w:val="2"/>
            <w:shd w:val="clear" w:color="auto" w:fill="CCEEFF"/>
          </w:tcPr>
          <w:p>
            <w:pPr>
              <w:jc w:val="center"/>
              <w:ind w:right="300"/>
              <w:spacing w:after="0" w:line="136" w:lineRule="exact"/>
              <w:rPr>
                <w:sz w:val="20"/>
                <w:szCs w:val="20"/>
                <w:color w:val="auto"/>
              </w:rPr>
            </w:pPr>
            <w:r>
              <w:rPr>
                <w:rFonts w:ascii="Arial" w:cs="Arial" w:eastAsia="Arial" w:hAnsi="Arial"/>
                <w:sz w:val="13"/>
                <w:szCs w:val="13"/>
                <w:color w:val="auto"/>
                <w:w w:val="90"/>
              </w:rPr>
              <w:t>Media</w:t>
            </w:r>
          </w:p>
        </w:tc>
        <w:tc>
          <w:tcPr>
            <w:tcW w:w="88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2,575,000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460" w:type="dxa"/>
            <w:vAlign w:val="bottom"/>
          </w:tcPr>
          <w:p>
            <w:pPr>
              <w:spacing w:after="0" w:line="142" w:lineRule="exact"/>
              <w:rPr>
                <w:sz w:val="20"/>
                <w:szCs w:val="20"/>
                <w:color w:val="auto"/>
              </w:rPr>
            </w:pPr>
            <w:r>
              <w:rPr>
                <w:rFonts w:ascii="Arial" w:cs="Arial" w:eastAsia="Arial" w:hAnsi="Arial"/>
                <w:sz w:val="13"/>
                <w:szCs w:val="13"/>
                <w:b w:val="1"/>
                <w:bCs w:val="1"/>
                <w:color w:val="auto"/>
              </w:rPr>
              <w:t>Total Second Lien Secured Debt</w:t>
            </w: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3,462,417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3,462,417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Equity—0.1% </w:t>
            </w:r>
            <w:r>
              <w:rPr>
                <w:rFonts w:ascii="Arial" w:cs="Arial" w:eastAsia="Arial" w:hAnsi="Arial"/>
                <w:sz w:val="10"/>
                <w:szCs w:val="10"/>
                <w:b w:val="1"/>
                <w:bCs w:val="1"/>
                <w:color w:val="auto"/>
              </w:rPr>
              <w:t>(6)</w:t>
            </w:r>
          </w:p>
        </w:tc>
        <w:tc>
          <w:tcPr>
            <w:tcW w:w="9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920" w:type="dxa"/>
            <w:vAlign w:val="bottom"/>
          </w:tcPr>
          <w:p>
            <w:pPr>
              <w:jc w:val="center"/>
              <w:ind w:right="17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90"/>
              </w:rPr>
              <w:t>Media</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15.00%</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37,046</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5,000,000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648,021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Common Equity—1.0% </w:t>
            </w:r>
            <w:r>
              <w:rPr>
                <w:rFonts w:ascii="Arial" w:cs="Arial" w:eastAsia="Arial" w:hAnsi="Arial"/>
                <w:sz w:val="10"/>
                <w:szCs w:val="10"/>
                <w:b w:val="1"/>
                <w:bCs w:val="1"/>
                <w:color w:val="auto"/>
              </w:rPr>
              <w:t>(6)</w:t>
            </w:r>
          </w:p>
        </w:tc>
        <w:tc>
          <w:tcPr>
            <w:tcW w:w="9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MidOcean JF Holdings Corp.</w:t>
            </w:r>
          </w:p>
        </w:tc>
        <w:tc>
          <w:tcPr>
            <w:tcW w:w="920" w:type="dxa"/>
            <w:vAlign w:val="bottom"/>
          </w:tcPr>
          <w:p>
            <w:pPr>
              <w:jc w:val="center"/>
              <w:ind w:right="17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95"/>
              </w:rPr>
              <w:t>Distribution</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65,933</w:t>
            </w:r>
          </w:p>
        </w:tc>
        <w:tc>
          <w:tcPr>
            <w:tcW w:w="8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24,761,831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6,900,207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RAM Energy Holdings LLC (f/k/a RAM Energy, LLC)</w:t>
            </w:r>
          </w:p>
        </w:tc>
        <w:tc>
          <w:tcPr>
            <w:tcW w:w="920" w:type="dxa"/>
            <w:vAlign w:val="bottom"/>
            <w:shd w:val="clear" w:color="auto" w:fill="CCEEFF"/>
          </w:tcPr>
          <w:p>
            <w:pPr>
              <w:jc w:val="center"/>
              <w:ind w:right="17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w w:val="91"/>
              </w:rPr>
              <w:t>Energy and Utilities</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23,141</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20,824,388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920" w:type="dxa"/>
            <w:vAlign w:val="bottom"/>
          </w:tcPr>
          <w:p>
            <w:pPr>
              <w:jc w:val="center"/>
              <w:ind w:right="17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90"/>
              </w:rPr>
              <w:t>Media</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11,100</w:t>
            </w:r>
          </w:p>
        </w:tc>
        <w:tc>
          <w:tcPr>
            <w:tcW w:w="8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2,211,000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w:t>
            </w:r>
          </w:p>
        </w:tc>
        <w:tc>
          <w:tcPr>
            <w:tcW w:w="9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47,797,219</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6,900,207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line="142" w:lineRule="exact"/>
              <w:rPr>
                <w:sz w:val="20"/>
                <w:szCs w:val="20"/>
                <w:color w:val="auto"/>
              </w:rPr>
            </w:pPr>
            <w:r>
              <w:rPr>
                <w:rFonts w:ascii="Arial" w:cs="Arial" w:eastAsia="Arial" w:hAnsi="Arial"/>
                <w:sz w:val="13"/>
                <w:szCs w:val="13"/>
                <w:b w:val="1"/>
                <w:bCs w:val="1"/>
                <w:color w:val="auto"/>
                <w:w w:val="88"/>
              </w:rPr>
              <w:t>Total Investments in Controlled, Affiliated Portfolio Companies</w:t>
            </w: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152,387,898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106,825,650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Investments—181.3%</w:t>
            </w:r>
          </w:p>
        </w:tc>
        <w:tc>
          <w:tcPr>
            <w:tcW w:w="9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84"/>
              </w:rPr>
              <w:t>1,424,237,162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4"/>
              </w:rPr>
              <w:t>1,299,047,833</w:t>
            </w:r>
          </w:p>
        </w:tc>
        <w:tc>
          <w:tcPr>
            <w:tcW w:w="0" w:type="dxa"/>
            <w:vAlign w:val="bottom"/>
          </w:tcPr>
          <w:p>
            <w:pPr>
              <w:spacing w:after="0"/>
              <w:rPr>
                <w:sz w:val="1"/>
                <w:szCs w:val="1"/>
                <w:color w:val="auto"/>
              </w:rPr>
            </w:pPr>
          </w:p>
        </w:tc>
      </w:tr>
      <w:tr>
        <w:trPr>
          <w:trHeight w:val="142"/>
        </w:trPr>
        <w:tc>
          <w:tcPr>
            <w:tcW w:w="3460" w:type="dxa"/>
            <w:vAlign w:val="bottom"/>
          </w:tcPr>
          <w:p>
            <w:pPr>
              <w:spacing w:after="0" w:line="142" w:lineRule="exact"/>
              <w:rPr>
                <w:sz w:val="20"/>
                <w:szCs w:val="20"/>
                <w:color w:val="auto"/>
              </w:rPr>
            </w:pPr>
            <w:r>
              <w:rPr>
                <w:rFonts w:ascii="Arial" w:cs="Arial" w:eastAsia="Arial" w:hAnsi="Arial"/>
                <w:sz w:val="13"/>
                <w:szCs w:val="13"/>
                <w:b w:val="1"/>
                <w:bCs w:val="1"/>
                <w:color w:val="auto"/>
              </w:rPr>
              <w:t>Cash and Cash Equivalents—6.9%</w:t>
            </w: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9"/>
              </w:rPr>
              <w:t>BlackRock Liquidity Funds, Temp Cash, Institutional Shares</w:t>
            </w:r>
          </w:p>
        </w:tc>
        <w:tc>
          <w:tcPr>
            <w:tcW w:w="9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4,564,638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4,564,638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9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45,072,777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45,054,618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Cash and Cash Equivalents</w:t>
            </w:r>
          </w:p>
        </w:tc>
        <w:tc>
          <w:tcPr>
            <w:tcW w:w="9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49,637,415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49,619,256</w:t>
            </w:r>
          </w:p>
        </w:tc>
        <w:tc>
          <w:tcPr>
            <w:tcW w:w="0" w:type="dxa"/>
            <w:vAlign w:val="bottom"/>
          </w:tcPr>
          <w:p>
            <w:pPr>
              <w:spacing w:after="0"/>
              <w:rPr>
                <w:sz w:val="1"/>
                <w:szCs w:val="1"/>
                <w:color w:val="auto"/>
              </w:rPr>
            </w:pPr>
          </w:p>
        </w:tc>
      </w:tr>
      <w:tr>
        <w:trPr>
          <w:trHeight w:val="142"/>
        </w:trPr>
        <w:tc>
          <w:tcPr>
            <w:tcW w:w="3460" w:type="dxa"/>
            <w:vAlign w:val="bottom"/>
          </w:tcPr>
          <w:p>
            <w:pPr>
              <w:spacing w:after="0" w:line="142" w:lineRule="exact"/>
              <w:rPr>
                <w:sz w:val="20"/>
                <w:szCs w:val="20"/>
                <w:color w:val="auto"/>
              </w:rPr>
            </w:pPr>
            <w:r>
              <w:rPr>
                <w:rFonts w:ascii="Arial" w:cs="Arial" w:eastAsia="Arial" w:hAnsi="Arial"/>
                <w:sz w:val="13"/>
                <w:szCs w:val="13"/>
                <w:b w:val="1"/>
                <w:bCs w:val="1"/>
                <w:color w:val="auto"/>
              </w:rPr>
              <w:t>Total Investments and Cash Equivalents—188.2%</w:t>
            </w: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4"/>
              </w:rPr>
              <w:t>1,473,874,577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u w:val="single" w:color="auto"/>
                <w:color w:val="auto"/>
                <w:w w:val="70"/>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4"/>
              </w:rPr>
              <w:t>1,348,667,089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Liabilities in Excess of Other Assets—(88.2%)</w:t>
            </w:r>
          </w:p>
        </w:tc>
        <w:tc>
          <w:tcPr>
            <w:tcW w:w="9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w w:val="91"/>
              </w:rPr>
              <w:t>(632,076,547)</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9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3"/>
                <w:szCs w:val="13"/>
                <w:color w:val="auto"/>
                <w:w w:val="96"/>
              </w:rPr>
              <w:t>716,590,542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40"/>
          </w:cols>
          <w:pgMar w:left="32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59"/>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ind w:right="-59"/>
        <w:spacing w:after="0"/>
        <w:rPr>
          <w:sz w:val="20"/>
          <w:szCs w:val="20"/>
          <w:color w:val="auto"/>
        </w:rPr>
      </w:pPr>
      <w:r>
        <w:rPr>
          <w:rFonts w:ascii="Arial" w:cs="Arial" w:eastAsia="Arial" w:hAnsi="Arial"/>
          <w:sz w:val="14"/>
          <w:szCs w:val="14"/>
          <w:b w:val="1"/>
          <w:bCs w:val="1"/>
          <w:color w:val="auto"/>
        </w:rPr>
        <w:t>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8516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06" w:lineRule="exact"/>
        <w:rPr>
          <w:sz w:val="20"/>
          <w:szCs w:val="20"/>
          <w:color w:val="auto"/>
        </w:rPr>
      </w:pPr>
    </w:p>
    <w:p>
      <w:pPr>
        <w:ind w:left="460" w:right="120" w:hanging="452"/>
        <w:spacing w:after="0" w:line="243" w:lineRule="auto"/>
        <w:tabs>
          <w:tab w:leader="none" w:pos="4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460" w:right="60" w:hanging="452"/>
        <w:spacing w:after="0" w:line="234" w:lineRule="auto"/>
        <w:tabs>
          <w:tab w:leader="none" w:pos="4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460" w:hanging="452"/>
        <w:spacing w:after="0" w:line="234" w:lineRule="auto"/>
        <w:tabs>
          <w:tab w:leader="none" w:pos="4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460" w:hanging="452"/>
        <w:spacing w:after="0" w:line="234" w:lineRule="auto"/>
        <w:tabs>
          <w:tab w:leader="none" w:pos="4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ind w:left="460" w:hanging="452"/>
        <w:spacing w:after="0"/>
        <w:tabs>
          <w:tab w:leader="none" w:pos="460" w:val="left"/>
        </w:tabs>
        <w:numPr>
          <w:ilvl w:val="0"/>
          <w:numId w:val="40"/>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460" w:hanging="452"/>
        <w:spacing w:after="0" w:line="234" w:lineRule="auto"/>
        <w:tabs>
          <w:tab w:leader="none" w:pos="4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460" w:hanging="452"/>
        <w:spacing w:after="0" w:line="234" w:lineRule="auto"/>
        <w:tabs>
          <w:tab w:leader="none" w:pos="4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ind w:left="460" w:hanging="452"/>
        <w:spacing w:after="0" w:line="234" w:lineRule="auto"/>
        <w:tabs>
          <w:tab w:leader="none" w:pos="4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460" w:hanging="452"/>
        <w:spacing w:after="0"/>
        <w:tabs>
          <w:tab w:leader="none" w:pos="460" w:val="left"/>
        </w:tabs>
        <w:numPr>
          <w:ilvl w:val="0"/>
          <w:numId w:val="40"/>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460" w:hanging="452"/>
        <w:spacing w:after="0" w:line="234" w:lineRule="auto"/>
        <w:tabs>
          <w:tab w:leader="none" w:pos="4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460" w:hanging="452"/>
        <w:spacing w:after="0" w:line="234" w:lineRule="auto"/>
        <w:tabs>
          <w:tab w:leader="none" w:pos="4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Investment is held through a consolidated taxable subsidiary (See Note 1).</w:t>
      </w:r>
    </w:p>
    <w:p>
      <w:pPr>
        <w:ind w:left="460" w:hanging="452"/>
        <w:spacing w:after="0" w:line="234" w:lineRule="auto"/>
        <w:tabs>
          <w:tab w:leader="none" w:pos="4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ind w:left="460" w:right="140" w:hanging="452"/>
        <w:spacing w:after="0" w:line="237" w:lineRule="auto"/>
        <w:tabs>
          <w:tab w:leader="none" w:pos="4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00"/>
          </w:cols>
          <w:pgMar w:left="320" w:top="459" w:right="3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2016</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00" w:lineRule="exact"/>
        <w:rPr>
          <w:sz w:val="20"/>
          <w:szCs w:val="20"/>
          <w:color w:val="auto"/>
        </w:rPr>
      </w:pPr>
    </w:p>
    <w:p>
      <w:pPr>
        <w:ind w:right="80" w:firstLine="562"/>
        <w:spacing w:after="0" w:line="231" w:lineRule="auto"/>
        <w:rPr>
          <w:sz w:val="20"/>
          <w:szCs w:val="20"/>
          <w:color w:val="auto"/>
        </w:rPr>
      </w:pPr>
      <w:r>
        <w:rPr>
          <w:rFonts w:ascii="Arial" w:cs="Arial" w:eastAsia="Arial" w:hAnsi="Arial"/>
          <w:sz w:val="14"/>
          <w:szCs w:val="14"/>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while seeking to preserve capital through debt and equity investments. We invest primarily in U.S. middle-market companies in the form of senior secured debt, mezzanine debt and, to a lesser extent, equity investments. On April 24, 2007, we closed our initial public offering and our common stock trades on the NASDAQ Global Select Market under the symbol “PNNT.” Our 2025 Notes trade on the NYSE under the symbol “PNTA.”</w:t>
      </w:r>
    </w:p>
    <w:p>
      <w:pPr>
        <w:spacing w:after="0" w:line="76"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We have entered into an Investment Management Agreement with the Investment Adviser, an external adviser that manages our day-to-day operations. We have also entered into an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under a separate administration agreement. See Note 3.</w:t>
      </w:r>
    </w:p>
    <w:p>
      <w:pPr>
        <w:spacing w:after="0" w:line="77" w:lineRule="exact"/>
        <w:rPr>
          <w:sz w:val="20"/>
          <w:szCs w:val="20"/>
          <w:color w:val="auto"/>
        </w:rPr>
      </w:pPr>
    </w:p>
    <w:p>
      <w:pPr>
        <w:jc w:val="both"/>
        <w:ind w:right="240" w:firstLine="562"/>
        <w:spacing w:after="0" w:line="238"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75" w:lineRule="exact"/>
        <w:rPr>
          <w:sz w:val="20"/>
          <w:szCs w:val="20"/>
          <w:color w:val="auto"/>
        </w:rPr>
      </w:pPr>
    </w:p>
    <w:p>
      <w:pPr>
        <w:jc w:val="both"/>
        <w:ind w:right="20" w:firstLine="562"/>
        <w:spacing w:after="0" w:line="238" w:lineRule="auto"/>
        <w:rPr>
          <w:sz w:val="20"/>
          <w:szCs w:val="20"/>
          <w:color w:val="auto"/>
        </w:rPr>
      </w:pPr>
      <w:r>
        <w:rPr>
          <w:rFonts w:ascii="Arial" w:cs="Arial" w:eastAsia="Arial" w:hAnsi="Arial"/>
          <w:sz w:val="14"/>
          <w:szCs w:val="14"/>
          <w:color w:val="auto"/>
        </w:rPr>
        <w:t>We have formed and expect to continue to form certain Taxable Subsidiaries which are taxed as corporations for federal income tax purposes. Accordingly, the Taxable Subsidiaries will pay income taxes at regular corporate income tax rates. These Taxable Subsidiaries allow us to hold equity securities of portfolio companies organized as pass-through entities while continuing to satisfy the requirements of a RIC under the Code.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00" w:lineRule="exact"/>
        <w:rPr>
          <w:sz w:val="20"/>
          <w:szCs w:val="20"/>
          <w:color w:val="auto"/>
        </w:rPr>
      </w:pPr>
    </w:p>
    <w:p>
      <w:pPr>
        <w:ind w:right="40" w:firstLine="562"/>
        <w:spacing w:after="0" w:line="248"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72"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71" w:lineRule="exact"/>
        <w:rPr>
          <w:sz w:val="20"/>
          <w:szCs w:val="20"/>
          <w:color w:val="auto"/>
        </w:rPr>
      </w:pPr>
    </w:p>
    <w:p>
      <w:pPr>
        <w:ind w:right="240" w:firstLine="562"/>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780" w:right="160" w:hanging="327"/>
        <w:spacing w:after="0" w:line="253" w:lineRule="auto"/>
        <w:tabs>
          <w:tab w:leader="none" w:pos="7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780" w:hanging="327"/>
        <w:spacing w:after="0"/>
        <w:tabs>
          <w:tab w:leader="none" w:pos="7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780" w:right="220" w:hanging="327"/>
        <w:spacing w:after="0" w:line="264" w:lineRule="auto"/>
        <w:tabs>
          <w:tab w:leader="none" w:pos="7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780" w:right="100" w:hanging="327"/>
        <w:spacing w:after="0" w:line="238" w:lineRule="auto"/>
        <w:tabs>
          <w:tab w:leader="none" w:pos="7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780" w:right="220" w:hanging="327"/>
        <w:spacing w:after="0" w:line="253" w:lineRule="auto"/>
        <w:tabs>
          <w:tab w:leader="none" w:pos="7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40"/>
          </w:cols>
          <w:pgMar w:left="320" w:top="45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59"/>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59"/>
        <w:spacing w:after="0"/>
        <w:rPr>
          <w:sz w:val="20"/>
          <w:szCs w:val="20"/>
          <w:color w:val="auto"/>
        </w:rPr>
      </w:pPr>
      <w:r>
        <w:rPr>
          <w:rFonts w:ascii="Arial" w:cs="Arial" w:eastAsia="Arial" w:hAnsi="Arial"/>
          <w:sz w:val="14"/>
          <w:szCs w:val="14"/>
          <w:b w:val="1"/>
          <w:bCs w:val="1"/>
          <w:color w:val="auto"/>
        </w:rPr>
        <w:t>SEPTEMBER 30, 2016</w:t>
      </w:r>
    </w:p>
    <w:p>
      <w:pPr>
        <w:spacing w:after="0" w:line="124" w:lineRule="exact"/>
        <w:rPr>
          <w:sz w:val="20"/>
          <w:szCs w:val="20"/>
          <w:color w:val="auto"/>
        </w:rPr>
      </w:pPr>
    </w:p>
    <w:p>
      <w:pPr>
        <w:jc w:val="both"/>
        <w:ind w:right="220" w:firstLine="562"/>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96"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our Credit Facility and our Notes during the reporting period, including any reversal of previously recorded unrealized appreciation or depreciation, when gains or losses are realized.</w:t>
      </w:r>
    </w:p>
    <w:p>
      <w:pPr>
        <w:spacing w:after="0" w:line="77" w:lineRule="exact"/>
        <w:rPr>
          <w:sz w:val="20"/>
          <w:szCs w:val="20"/>
          <w:color w:val="auto"/>
        </w:rPr>
      </w:pPr>
    </w:p>
    <w:p>
      <w:pPr>
        <w:ind w:right="180"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ind w:right="300" w:firstLine="562"/>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Income Taxes</w:t>
      </w:r>
    </w:p>
    <w:p>
      <w:pPr>
        <w:spacing w:after="0" w:line="96" w:lineRule="exact"/>
        <w:rPr>
          <w:sz w:val="20"/>
          <w:szCs w:val="20"/>
          <w:color w:val="auto"/>
        </w:rPr>
      </w:pPr>
    </w:p>
    <w:p>
      <w:pPr>
        <w:ind w:right="160" w:firstLine="562"/>
        <w:spacing w:after="0" w:line="229" w:lineRule="auto"/>
        <w:rPr>
          <w:sz w:val="20"/>
          <w:szCs w:val="20"/>
          <w:color w:val="auto"/>
        </w:rPr>
      </w:pPr>
      <w:r>
        <w:rPr>
          <w:rFonts w:ascii="Arial" w:cs="Arial" w:eastAsia="Arial" w:hAnsi="Arial"/>
          <w:sz w:val="14"/>
          <w:szCs w:val="14"/>
          <w:color w:val="auto"/>
        </w:rPr>
        <w:t>We have complied with the requirements of Subchapter M of the Code and have qualified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paying any material level of federal income taxes. Although we are not subject to federal income taxes as a RIC for federal income tax purposes, we may elect to retain a portion of our calendar year income, which may result in an excise tax, or we may incur taxes through our Taxable Subsidiaries. For the fiscal years ended September 30, 2016, 2015 and 2014, we have recorded a provision for taxes of $2.4 million, zero and $0.1 million, respectively.</w:t>
      </w:r>
    </w:p>
    <w:p>
      <w:pPr>
        <w:spacing w:after="0" w:line="77" w:lineRule="exact"/>
        <w:rPr>
          <w:sz w:val="20"/>
          <w:szCs w:val="20"/>
          <w:color w:val="auto"/>
        </w:rPr>
      </w:pPr>
    </w:p>
    <w:p>
      <w:pPr>
        <w:ind w:right="40" w:firstLine="562"/>
        <w:spacing w:after="0" w:line="264" w:lineRule="auto"/>
        <w:rPr>
          <w:sz w:val="20"/>
          <w:szCs w:val="20"/>
          <w:color w:val="auto"/>
        </w:rPr>
      </w:pPr>
      <w:r>
        <w:rPr>
          <w:rFonts w:ascii="Arial" w:cs="Arial" w:eastAsia="Arial" w:hAnsi="Arial"/>
          <w:sz w:val="13"/>
          <w:szCs w:val="13"/>
          <w:color w:val="auto"/>
        </w:rPr>
        <w:t>We recognize the effect of a tax position in our Consolidated Financial Statements when it is more likely than not, based on the technical merits, that the position will be sustained upon examination by the applicable tax authority. Tax benefits of positions not considered to satisfy the “more-likely-than-not” threshold would be recorded as a tax expense. We did not have any material uncertain tax positions or any unrecognized tax benefits that met the recognition or measurement criteria of ASC 740-10-25 as of the periods presented herein.</w:t>
      </w:r>
    </w:p>
    <w:p>
      <w:pPr>
        <w:spacing w:after="0" w:line="60" w:lineRule="exact"/>
        <w:rPr>
          <w:sz w:val="20"/>
          <w:szCs w:val="20"/>
          <w:color w:val="auto"/>
        </w:rPr>
      </w:pPr>
    </w:p>
    <w:p>
      <w:pPr>
        <w:jc w:val="both"/>
        <w:ind w:right="40" w:firstLine="562"/>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60"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We have formed and expect to continue to form certain taxable subsidiaries, or the Taxable Subsidiaries, which are taxed as corporations for federal income tax purposes. Accordingly, the Taxable Subsidiaries will pay income taxes at regular corporate income tax rates. These Taxable Subsidiaries allow us to hold equity securities of portfolio companies organized as pass-through entities while continuing to satisfy the requirements of a RIC under the Code.</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96"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return of capital.</w:t>
      </w:r>
    </w:p>
    <w:p>
      <w:pPr>
        <w:spacing w:after="0" w:line="75" w:lineRule="exact"/>
        <w:rPr>
          <w:sz w:val="20"/>
          <w:szCs w:val="20"/>
          <w:color w:val="auto"/>
        </w:rPr>
      </w:pPr>
    </w:p>
    <w:p>
      <w:pPr>
        <w:ind w:right="520" w:firstLine="562"/>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 Foreign Currency Translation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09" w:lineRule="exact"/>
        <w:rPr>
          <w:sz w:val="20"/>
          <w:szCs w:val="20"/>
          <w:color w:val="auto"/>
        </w:rPr>
      </w:pPr>
    </w:p>
    <w:p>
      <w:pPr>
        <w:ind w:left="1120" w:hanging="329"/>
        <w:spacing w:after="0"/>
        <w:tabs>
          <w:tab w:leader="none" w:pos="11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75"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00"/>
          </w:cols>
          <w:pgMar w:left="320" w:top="459" w:right="3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rPr>
          <w:sz w:val="20"/>
          <w:szCs w:val="20"/>
          <w:color w:val="auto"/>
        </w:rPr>
      </w:pPr>
      <w:r>
        <w:rPr>
          <w:rFonts w:ascii="Arial" w:cs="Arial" w:eastAsia="Arial" w:hAnsi="Arial"/>
          <w:sz w:val="14"/>
          <w:szCs w:val="14"/>
          <w:b w:val="1"/>
          <w:bCs w:val="1"/>
          <w:color w:val="auto"/>
        </w:rPr>
        <w:t>SEPTEMBER 30, 2016</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 Consolidation</w:t>
      </w:r>
    </w:p>
    <w:p>
      <w:pPr>
        <w:spacing w:after="0" w:line="9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00" w:lineRule="exact"/>
        <w:rPr>
          <w:sz w:val="20"/>
          <w:szCs w:val="20"/>
          <w:color w:val="auto"/>
        </w:rPr>
      </w:pPr>
    </w:p>
    <w:p>
      <w:pPr>
        <w:ind w:right="20" w:firstLine="562"/>
        <w:spacing w:after="0" w:line="255"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2016. Under the Investment Management Agreement, the Investment Adviser, subject to the overall supervision of our board of directors, manages the day-to-day operations of and provides investment advisory services to us. Our SBIC Funds’ investment management agreements do not affect the management or incentive fees that we pay to the Investment Adviser on a consolidated basis. For providing these services, the Investment Adviser receives a fee from us, consisting of two components—Management Fees.</w:t>
      </w:r>
    </w:p>
    <w:p>
      <w:pPr>
        <w:spacing w:after="0" w:line="67" w:lineRule="exact"/>
        <w:rPr>
          <w:sz w:val="20"/>
          <w:szCs w:val="20"/>
          <w:color w:val="auto"/>
        </w:rPr>
      </w:pPr>
    </w:p>
    <w:p>
      <w:pPr>
        <w:ind w:right="60" w:firstLine="562"/>
        <w:spacing w:after="0" w:line="244" w:lineRule="auto"/>
        <w:rPr>
          <w:sz w:val="20"/>
          <w:szCs w:val="20"/>
          <w:color w:val="auto"/>
        </w:rPr>
      </w:pPr>
      <w:r>
        <w:rPr>
          <w:rFonts w:ascii="Arial" w:cs="Arial" w:eastAsia="Arial" w:hAnsi="Arial"/>
          <w:sz w:val="13"/>
          <w:szCs w:val="13"/>
          <w:color w:val="auto"/>
        </w:rPr>
        <w:t>The base management fee is calculated at an annual rate of 2.00%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year ended September 30, 2016 and through December 31, 2017, the Investment Adviser has voluntarily agreed, in consultation with the board of directors, to waive 16% of base management fees, correlated to our 16% energy exposure (oil &amp; gas and energy &amp; utilities industries) at cost as of December 31, 2015. For the years ended September 30, 2016, 2015 and 2014, the Investment Adviser earned base management fees of $20.9 million (after a waiver of $4.0 million), $26.7 million and $24.3 million, respectively, from us.</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incentive fee has two parts, as follows:</w:t>
      </w:r>
    </w:p>
    <w:p>
      <w:pPr>
        <w:spacing w:after="0" w:line="96" w:lineRule="exact"/>
        <w:rPr>
          <w:sz w:val="20"/>
          <w:szCs w:val="20"/>
          <w:color w:val="auto"/>
        </w:rPr>
      </w:pPr>
    </w:p>
    <w:p>
      <w:pPr>
        <w:ind w:firstLine="562"/>
        <w:spacing w:after="0" w:line="242"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pro-rated for any share issuances or repurchases during the relevant quarter, if applicable. For the year ended September 30, 2016 and through December 31, 2017, the Investment Adviser has voluntarily agreed, in consultation with the board of directors, to waive 16% of incentive fees, correlated to our 16% energy exposure (oil &amp; gas and energy &amp; utilities industries) at cost as of December 31, 2015. For the years ended September 30, 2016, 2015 and 2014, the Investment Adviser earned $13.5 million (after a waiver of $2.5 million), $20.6 million and $17.8 million, respectively, in incentive fees on net investment income from us.</w:t>
      </w:r>
    </w:p>
    <w:p>
      <w:pPr>
        <w:spacing w:after="0" w:line="74" w:lineRule="exact"/>
        <w:rPr>
          <w:sz w:val="20"/>
          <w:szCs w:val="20"/>
          <w:color w:val="auto"/>
        </w:rPr>
      </w:pPr>
    </w:p>
    <w:p>
      <w:pPr>
        <w:ind w:right="160" w:firstLine="562"/>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2016, 2015 and 2014 the Investment Adviser did not earn an incentive fee on capital gains as calculated under the Investment Management Agreement (as described above).</w:t>
      </w:r>
    </w:p>
    <w:p>
      <w:pPr>
        <w:spacing w:after="0" w:line="67" w:lineRule="exact"/>
        <w:rPr>
          <w:sz w:val="20"/>
          <w:szCs w:val="20"/>
          <w:color w:val="auto"/>
        </w:rPr>
      </w:pPr>
    </w:p>
    <w:p>
      <w:pPr>
        <w:ind w:right="160" w:firstLine="562"/>
        <w:spacing w:after="0" w:line="227"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and foreign currencies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For the years ended September 30, 2016, 2015 and 2014, the Investment Adviser did not accrue an incentive fee on capital gains as calculated under GAAP.</w:t>
      </w:r>
    </w:p>
    <w:p>
      <w:pPr>
        <w:spacing w:after="0" w:line="78" w:lineRule="exact"/>
        <w:rPr>
          <w:sz w:val="20"/>
          <w:szCs w:val="20"/>
          <w:color w:val="auto"/>
        </w:rPr>
      </w:pPr>
    </w:p>
    <w:p>
      <w:pPr>
        <w:ind w:right="100" w:firstLine="562"/>
        <w:spacing w:after="0" w:line="245"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our directors who are not interested persons of us, in February 2016.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Statements of Operations. For the fiscal years ended September 30, 2016, 2015 and 2014, the Investment Adviser was reimbursed $3.7 million, $3.3 million and $3.0 million, respectively, from us, including expenses incurred on behalf of the Administrator, for the services described above.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240"/>
          </w:cols>
          <w:pgMar w:left="32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99"/>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99"/>
        <w:spacing w:after="0"/>
        <w:rPr>
          <w:sz w:val="20"/>
          <w:szCs w:val="20"/>
          <w:color w:val="auto"/>
        </w:rPr>
      </w:pPr>
      <w:r>
        <w:rPr>
          <w:rFonts w:ascii="Arial" w:cs="Arial" w:eastAsia="Arial" w:hAnsi="Arial"/>
          <w:sz w:val="14"/>
          <w:szCs w:val="14"/>
          <w:b w:val="1"/>
          <w:bCs w:val="1"/>
          <w:color w:val="auto"/>
        </w:rPr>
        <w:t>SEPTEMBER 30, 2016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Purchases of investments, including PIK interest, for the fiscal years ended September 30, 2016, 2015 and 2014 totaled $345.7 million, $475.2 million and $806.1 million, respectively.</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Sales and repayments of investments for the same periods totaled $439.7 million, $390.5 million and $625.6 million, respectively.</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September 30, 2016</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5"/>
          </w:tcPr>
          <w:p>
            <w:pPr>
              <w:ind w:left="460"/>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142"/>
        </w:trPr>
        <w:tc>
          <w:tcPr>
            <w:tcW w:w="49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Cost</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Cost</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418,873,576</w:t>
            </w:r>
          </w:p>
        </w:tc>
        <w:tc>
          <w:tcPr>
            <w:tcW w:w="3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397,102,721</w:t>
            </w:r>
          </w:p>
        </w:tc>
        <w:tc>
          <w:tcPr>
            <w:tcW w:w="3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404,291,400</w:t>
            </w:r>
          </w:p>
        </w:tc>
        <w:tc>
          <w:tcPr>
            <w:tcW w:w="3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399,237,158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Second lien</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451,756,995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425,412,443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631,936,443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612,552,913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189,453,101</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177,631,517</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227,915,734</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182,467,798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Equity and partnership interests</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193,873,474</w:t>
            </w: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153,532,994</w:t>
            </w: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160,093,585</w:t>
            </w: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104,789,964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1,253,957,146</w:t>
            </w:r>
          </w:p>
        </w:tc>
        <w:tc>
          <w:tcPr>
            <w:tcW w:w="3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1,153,679,675</w:t>
            </w:r>
          </w:p>
        </w:tc>
        <w:tc>
          <w:tcPr>
            <w:tcW w:w="3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1,424,237,162</w:t>
            </w:r>
          </w:p>
        </w:tc>
        <w:tc>
          <w:tcPr>
            <w:tcW w:w="3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1,299,047,833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96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75,617,133</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75,608,113</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49,637,415</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49,619,256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1,329,574,279</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1,229,287,788</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1,473,874,577</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1,348,667,089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540" w:firstLine="562"/>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equivalents) in such industries:</w:t>
      </w:r>
    </w:p>
    <w:p>
      <w:pPr>
        <w:spacing w:after="0" w:line="197"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3100" w:type="dxa"/>
            <w:vAlign w:val="bottom"/>
            <w:gridSpan w:val="2"/>
            <w:vMerge w:val="continue"/>
          </w:tcPr>
          <w:p>
            <w:pPr>
              <w:spacing w:after="0"/>
              <w:rPr>
                <w:sz w:val="12"/>
                <w:szCs w:val="12"/>
                <w:color w:val="auto"/>
              </w:rPr>
            </w:pPr>
          </w:p>
        </w:tc>
        <w:tc>
          <w:tcPr>
            <w:tcW w:w="2800" w:type="dxa"/>
            <w:vAlign w:val="bottom"/>
            <w:gridSpan w:val="2"/>
          </w:tcPr>
          <w:p>
            <w:pPr>
              <w:spacing w:after="0"/>
              <w:rPr>
                <w:sz w:val="12"/>
                <w:szCs w:val="12"/>
                <w:color w:val="auto"/>
              </w:rPr>
            </w:pPr>
          </w:p>
        </w:tc>
        <w:tc>
          <w:tcPr>
            <w:tcW w:w="5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Hotels, Motels, Inns and Gaming</w:t>
            </w:r>
          </w:p>
        </w:tc>
        <w:tc>
          <w:tcPr>
            <w:tcW w:w="2520" w:type="dxa"/>
            <w:vAlign w:val="bottom"/>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13%</w:t>
            </w: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Consumer Products</w:t>
            </w:r>
          </w:p>
        </w:tc>
        <w:tc>
          <w:tcPr>
            <w:tcW w:w="33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Personal, Food and Miscellaneous Services</w:t>
            </w:r>
          </w:p>
        </w:tc>
        <w:tc>
          <w:tcPr>
            <w:tcW w:w="33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Business Services</w:t>
            </w:r>
          </w:p>
        </w:tc>
        <w:tc>
          <w:tcPr>
            <w:tcW w:w="33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w:t>
            </w:r>
          </w:p>
        </w:tc>
        <w:tc>
          <w:tcPr>
            <w:tcW w:w="33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Energy/Utilities</w:t>
            </w:r>
          </w:p>
        </w:tc>
        <w:tc>
          <w:tcPr>
            <w:tcW w:w="33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Aerospace and Defense</w:t>
            </w:r>
          </w:p>
        </w:tc>
        <w:tc>
          <w:tcPr>
            <w:tcW w:w="33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Environmental Services</w:t>
            </w:r>
          </w:p>
        </w:tc>
        <w:tc>
          <w:tcPr>
            <w:tcW w:w="33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w:t>
            </w:r>
          </w:p>
        </w:tc>
        <w:tc>
          <w:tcPr>
            <w:tcW w:w="33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Oil and Gas</w:t>
            </w:r>
          </w:p>
        </w:tc>
        <w:tc>
          <w:tcPr>
            <w:tcW w:w="33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Manufacturing / Basic Industries</w:t>
            </w:r>
          </w:p>
        </w:tc>
        <w:tc>
          <w:tcPr>
            <w:tcW w:w="33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Auto Sector</w:t>
            </w:r>
          </w:p>
        </w:tc>
        <w:tc>
          <w:tcPr>
            <w:tcW w:w="33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Financial Services</w:t>
            </w:r>
          </w:p>
        </w:tc>
        <w:tc>
          <w:tcPr>
            <w:tcW w:w="33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Other Media</w:t>
            </w:r>
          </w:p>
        </w:tc>
        <w:tc>
          <w:tcPr>
            <w:tcW w:w="33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Printing and Publishing</w:t>
            </w:r>
          </w:p>
        </w:tc>
        <w:tc>
          <w:tcPr>
            <w:tcW w:w="33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Retail</w:t>
            </w:r>
          </w:p>
        </w:tc>
        <w:tc>
          <w:tcPr>
            <w:tcW w:w="33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 Materials</w:t>
            </w:r>
          </w:p>
        </w:tc>
        <w:tc>
          <w:tcPr>
            <w:tcW w:w="33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Buildings and Real Estate</w:t>
            </w:r>
          </w:p>
        </w:tc>
        <w:tc>
          <w:tcPr>
            <w:tcW w:w="33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Electronics</w:t>
            </w:r>
          </w:p>
        </w:tc>
        <w:tc>
          <w:tcPr>
            <w:tcW w:w="33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Healthcare, Education and Childcare</w:t>
            </w:r>
          </w:p>
        </w:tc>
        <w:tc>
          <w:tcPr>
            <w:tcW w:w="33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33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2800" w:type="dxa"/>
            <w:vAlign w:val="bottom"/>
            <w:gridSpan w:val="2"/>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w:t>
            </w:r>
          </w:p>
        </w:tc>
        <w:tc>
          <w:tcPr>
            <w:tcW w:w="44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380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100%</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520" w:type="dxa"/>
            <w:vAlign w:val="bottom"/>
            <w:vMerge w:val="restart"/>
          </w:tcPr>
          <w:p>
            <w:pPr>
              <w:jc w:val="right"/>
              <w:ind w:right="1668"/>
              <w:spacing w:after="0"/>
              <w:rPr>
                <w:sz w:val="20"/>
                <w:szCs w:val="20"/>
                <w:color w:val="auto"/>
              </w:rPr>
            </w:pPr>
            <w:r>
              <w:rPr>
                <w:rFonts w:ascii="Arial" w:cs="Arial" w:eastAsia="Arial" w:hAnsi="Arial"/>
                <w:sz w:val="14"/>
                <w:szCs w:val="14"/>
                <w:color w:val="auto"/>
              </w:rPr>
              <w:t>62</w:t>
            </w: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rPr>
          <w:sz w:val="20"/>
          <w:szCs w:val="20"/>
          <w:color w:val="auto"/>
        </w:rPr>
      </w:pPr>
      <w:r>
        <w:rPr>
          <w:rFonts w:ascii="Arial" w:cs="Arial" w:eastAsia="Arial" w:hAnsi="Arial"/>
          <w:sz w:val="14"/>
          <w:szCs w:val="14"/>
          <w:b w:val="1"/>
          <w:bCs w:val="1"/>
          <w:color w:val="auto"/>
        </w:rPr>
        <w:t>SEPTEMBER 30, 2016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00"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740"/>
        <w:spacing w:after="0"/>
        <w:tabs>
          <w:tab w:leader="none" w:pos="150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20" w:right="800" w:hanging="782"/>
        <w:spacing w:after="0" w:line="238" w:lineRule="auto"/>
        <w:tabs>
          <w:tab w:leader="none" w:pos="150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520" w:right="780" w:hanging="782"/>
        <w:spacing w:after="0" w:line="253" w:lineRule="auto"/>
        <w:tabs>
          <w:tab w:leader="none" w:pos="150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66" w:lineRule="exact"/>
        <w:rPr>
          <w:sz w:val="20"/>
          <w:szCs w:val="20"/>
          <w:color w:val="auto"/>
        </w:rPr>
      </w:pPr>
    </w:p>
    <w:p>
      <w:pPr>
        <w:ind w:right="180" w:firstLine="562"/>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75"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76" w:lineRule="exact"/>
        <w:rPr>
          <w:sz w:val="20"/>
          <w:szCs w:val="20"/>
          <w:color w:val="auto"/>
        </w:rPr>
      </w:pPr>
    </w:p>
    <w:p>
      <w:pPr>
        <w:ind w:right="100" w:firstLine="562"/>
        <w:spacing w:after="0" w:line="283" w:lineRule="auto"/>
        <w:rPr>
          <w:sz w:val="20"/>
          <w:szCs w:val="20"/>
          <w:color w:val="auto"/>
        </w:rPr>
      </w:pPr>
      <w:r>
        <w:rPr>
          <w:rFonts w:ascii="Arial" w:cs="Arial" w:eastAsia="Arial" w:hAnsi="Arial"/>
          <w:sz w:val="12"/>
          <w:szCs w:val="12"/>
          <w:color w:val="auto"/>
        </w:rPr>
        <w:t>Our investments are generally structured as debt and equity investments in the form of senior secured debt, mezzanine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51" w:lineRule="exact"/>
        <w:rPr>
          <w:sz w:val="20"/>
          <w:szCs w:val="20"/>
          <w:color w:val="auto"/>
        </w:rPr>
      </w:pPr>
    </w:p>
    <w:p>
      <w:pPr>
        <w:ind w:right="160" w:firstLine="562"/>
        <w:spacing w:after="0" w:line="255" w:lineRule="auto"/>
        <w:rPr>
          <w:sz w:val="20"/>
          <w:szCs w:val="20"/>
          <w:color w:val="auto"/>
        </w:rPr>
      </w:pPr>
      <w:r>
        <w:rPr>
          <w:rFonts w:ascii="Arial" w:cs="Arial" w:eastAsia="Arial" w:hAnsi="Arial"/>
          <w:sz w:val="13"/>
          <w:szCs w:val="13"/>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one reclassification from Level 2 to 1, one reclassification from Level 3 to 1 and one reclassification from Level 3 to 2 during the year ended September 30, 2016. During the year ended September 30, 2015, there were three reclassifications from Level 2 to 3 and one reclassification from Level 3 to 2.</w:t>
      </w:r>
    </w:p>
    <w:p>
      <w:pPr>
        <w:spacing w:after="0" w:line="67"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 and 2(e).</w:t>
      </w:r>
    </w:p>
    <w:p>
      <w:pPr>
        <w:spacing w:after="0" w:line="75" w:lineRule="exact"/>
        <w:rPr>
          <w:sz w:val="20"/>
          <w:szCs w:val="20"/>
          <w:color w:val="auto"/>
        </w:rPr>
      </w:pPr>
    </w:p>
    <w:p>
      <w:pPr>
        <w:ind w:right="120" w:firstLine="562"/>
        <w:spacing w:after="0" w:line="255"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have no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67" w:lineRule="exact"/>
        <w:rPr>
          <w:sz w:val="20"/>
          <w:szCs w:val="20"/>
          <w:color w:val="auto"/>
        </w:rPr>
      </w:pPr>
    </w:p>
    <w:p>
      <w:pPr>
        <w:ind w:right="120" w:firstLine="562"/>
        <w:spacing w:after="0" w:line="245" w:lineRule="auto"/>
        <w:rPr>
          <w:sz w:val="20"/>
          <w:szCs w:val="20"/>
          <w:color w:val="auto"/>
        </w:rPr>
      </w:pPr>
      <w:r>
        <w:rPr>
          <w:rFonts w:ascii="Arial" w:cs="Arial" w:eastAsia="Arial" w:hAnsi="Arial"/>
          <w:sz w:val="13"/>
          <w:szCs w:val="13"/>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240"/>
          </w:cols>
          <w:pgMar w:left="320" w:top="459"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2"/>
              </w:rPr>
              <w:t>Fair Value as of</w:t>
            </w:r>
          </w:p>
        </w:tc>
        <w:tc>
          <w:tcPr>
            <w:tcW w:w="18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Valuation Technique</w:t>
            </w:r>
          </w:p>
        </w:tc>
        <w:tc>
          <w:tcPr>
            <w:tcW w:w="19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Unobservable Input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39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September 30, 2016</w:t>
            </w:r>
          </w:p>
        </w:tc>
        <w:tc>
          <w:tcPr>
            <w:tcW w:w="186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42"/>
        </w:trPr>
        <w:tc>
          <w:tcPr>
            <w:tcW w:w="3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4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167,489,186</w:t>
            </w:r>
          </w:p>
        </w:tc>
        <w:tc>
          <w:tcPr>
            <w:tcW w:w="54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46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Broker/Dealer bid quotes</w:t>
            </w:r>
          </w:p>
        </w:tc>
        <w:tc>
          <w:tcPr>
            <w:tcW w:w="46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Arial" w:cs="Arial" w:eastAsia="Arial" w:hAnsi="Arial"/>
                <w:sz w:val="14"/>
                <w:szCs w:val="14"/>
                <w:color w:val="auto"/>
              </w:rPr>
              <w:t>Debt investments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832,657,495</w:t>
            </w:r>
          </w:p>
        </w:tc>
        <w:tc>
          <w:tcPr>
            <w:tcW w:w="18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4"/>
              </w:rPr>
              <w:t>Market Comparable</w:t>
            </w:r>
          </w:p>
        </w:tc>
        <w:tc>
          <w:tcPr>
            <w:tcW w:w="1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7"/>
              </w:rPr>
              <w:t>Market Yield</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8.8% – 21.7%(13.3%)</w:t>
            </w:r>
          </w:p>
        </w:tc>
        <w:tc>
          <w:tcPr>
            <w:tcW w:w="0" w:type="dxa"/>
            <w:vAlign w:val="bottom"/>
          </w:tcPr>
          <w:p>
            <w:pPr>
              <w:spacing w:after="0"/>
              <w:rPr>
                <w:sz w:val="1"/>
                <w:szCs w:val="1"/>
                <w:color w:val="auto"/>
              </w:rPr>
            </w:pPr>
          </w:p>
        </w:tc>
      </w:tr>
      <w:tr>
        <w:trPr>
          <w:trHeight w:val="148"/>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125,633,017</w:t>
            </w:r>
          </w:p>
        </w:tc>
        <w:tc>
          <w:tcPr>
            <w:tcW w:w="186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3"/>
              </w:rPr>
              <w:t>Enterprise Market Value</w:t>
            </w:r>
          </w:p>
        </w:tc>
        <w:tc>
          <w:tcPr>
            <w:tcW w:w="192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rPr>
              <w:t>EBITDA multiple</w:t>
            </w: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5.0x – 15.5x (8.2x)</w:t>
            </w:r>
          </w:p>
        </w:tc>
        <w:tc>
          <w:tcPr>
            <w:tcW w:w="0" w:type="dxa"/>
            <w:vAlign w:val="bottom"/>
          </w:tcPr>
          <w:p>
            <w:pPr>
              <w:spacing w:after="0"/>
              <w:rPr>
                <w:sz w:val="1"/>
                <w:szCs w:val="1"/>
                <w:color w:val="auto"/>
              </w:rPr>
            </w:pPr>
          </w:p>
        </w:tc>
      </w:tr>
      <w:tr>
        <w:trPr>
          <w:trHeight w:val="156"/>
        </w:trPr>
        <w:tc>
          <w:tcPr>
            <w:tcW w:w="3980" w:type="dxa"/>
            <w:vAlign w:val="bottom"/>
          </w:tcPr>
          <w:p>
            <w:pPr>
              <w:ind w:left="300"/>
              <w:spacing w:after="0" w:line="155" w:lineRule="exact"/>
              <w:rPr>
                <w:sz w:val="20"/>
                <w:szCs w:val="20"/>
                <w:color w:val="auto"/>
              </w:rPr>
            </w:pPr>
            <w:r>
              <w:rPr>
                <w:rFonts w:ascii="Arial" w:cs="Arial" w:eastAsia="Arial" w:hAnsi="Arial"/>
                <w:sz w:val="14"/>
                <w:szCs w:val="14"/>
                <w:color w:val="auto"/>
              </w:rPr>
              <w:t>Total Level 3 investments</w:t>
            </w:r>
          </w:p>
        </w:tc>
        <w:tc>
          <w:tcPr>
            <w:tcW w:w="4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1,125,779,698</w:t>
            </w:r>
          </w:p>
        </w:tc>
        <w:tc>
          <w:tcPr>
            <w:tcW w:w="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540" w:type="dxa"/>
            <w:vAlign w:val="bottom"/>
            <w:gridSpan w:val="2"/>
            <w:shd w:val="clear" w:color="auto" w:fill="CCEEFF"/>
          </w:tcPr>
          <w:p>
            <w:pPr>
              <w:ind w:left="440"/>
              <w:spacing w:after="0" w:line="143" w:lineRule="exact"/>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540"/>
              <w:spacing w:after="0" w:line="143" w:lineRule="exact"/>
              <w:rPr>
                <w:sz w:val="20"/>
                <w:szCs w:val="20"/>
                <w:color w:val="auto"/>
              </w:rPr>
            </w:pPr>
            <w:r>
              <w:rPr>
                <w:rFonts w:ascii="Arial" w:cs="Arial" w:eastAsia="Arial" w:hAnsi="Arial"/>
                <w:sz w:val="14"/>
                <w:szCs w:val="14"/>
                <w:color w:val="auto"/>
              </w:rPr>
              <w:t>39,551,187</w:t>
            </w:r>
          </w:p>
        </w:tc>
        <w:tc>
          <w:tcPr>
            <w:tcW w:w="1860" w:type="dxa"/>
            <w:vAlign w:val="bottom"/>
            <w:gridSpan w:val="2"/>
            <w:shd w:val="clear" w:color="auto" w:fill="CCEEFF"/>
          </w:tcPr>
          <w:p>
            <w:pPr>
              <w:jc w:val="center"/>
              <w:ind w:right="460"/>
              <w:spacing w:after="0" w:line="143" w:lineRule="exact"/>
              <w:rPr>
                <w:sz w:val="20"/>
                <w:szCs w:val="20"/>
                <w:color w:val="auto"/>
              </w:rPr>
            </w:pPr>
            <w:r>
              <w:rPr>
                <w:rFonts w:ascii="Arial" w:cs="Arial" w:eastAsia="Arial" w:hAnsi="Arial"/>
                <w:sz w:val="14"/>
                <w:szCs w:val="14"/>
                <w:color w:val="auto"/>
                <w:w w:val="94"/>
              </w:rPr>
              <w:t>Market Comparable</w:t>
            </w:r>
          </w:p>
        </w:tc>
        <w:tc>
          <w:tcPr>
            <w:tcW w:w="1920" w:type="dxa"/>
            <w:vAlign w:val="bottom"/>
            <w:gridSpan w:val="2"/>
            <w:shd w:val="clear" w:color="auto" w:fill="CCEEFF"/>
          </w:tcPr>
          <w:p>
            <w:pPr>
              <w:jc w:val="center"/>
              <w:ind w:right="440"/>
              <w:spacing w:after="0" w:line="143" w:lineRule="exact"/>
              <w:rPr>
                <w:sz w:val="20"/>
                <w:szCs w:val="20"/>
                <w:color w:val="auto"/>
              </w:rPr>
            </w:pPr>
            <w:r>
              <w:rPr>
                <w:rFonts w:ascii="Arial" w:cs="Arial" w:eastAsia="Arial" w:hAnsi="Arial"/>
                <w:sz w:val="14"/>
                <w:szCs w:val="14"/>
                <w:color w:val="auto"/>
                <w:w w:val="97"/>
              </w:rPr>
              <w:t>Market Yield</w:t>
            </w:r>
          </w:p>
        </w:tc>
        <w:tc>
          <w:tcPr>
            <w:tcW w:w="130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3.8%</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as of</w:t>
            </w:r>
          </w:p>
        </w:tc>
        <w:tc>
          <w:tcPr>
            <w:tcW w:w="18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Valuation Technique</w:t>
            </w:r>
          </w:p>
        </w:tc>
        <w:tc>
          <w:tcPr>
            <w:tcW w:w="19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Unobservable Input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44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4"/>
          </w:tcPr>
          <w:p>
            <w:pPr>
              <w:spacing w:after="0"/>
              <w:rPr>
                <w:sz w:val="20"/>
                <w:szCs w:val="20"/>
                <w:color w:val="auto"/>
              </w:rPr>
            </w:pPr>
            <w:r>
              <w:rPr>
                <w:rFonts w:ascii="Arial" w:cs="Arial" w:eastAsia="Arial" w:hAnsi="Arial"/>
                <w:sz w:val="14"/>
                <w:szCs w:val="14"/>
                <w:b w:val="1"/>
                <w:bCs w:val="1"/>
                <w:color w:val="auto"/>
              </w:rPr>
              <w:t>September 30, 2015</w:t>
            </w:r>
          </w:p>
        </w:tc>
        <w:tc>
          <w:tcPr>
            <w:tcW w:w="186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42"/>
        </w:trPr>
        <w:tc>
          <w:tcPr>
            <w:tcW w:w="3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4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281,455,418</w:t>
            </w:r>
          </w:p>
        </w:tc>
        <w:tc>
          <w:tcPr>
            <w:tcW w:w="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46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Broker/Dealer bid quotes</w:t>
            </w:r>
          </w:p>
        </w:tc>
        <w:tc>
          <w:tcPr>
            <w:tcW w:w="46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912,802,451</w:t>
            </w:r>
          </w:p>
        </w:tc>
        <w:tc>
          <w:tcPr>
            <w:tcW w:w="520" w:type="dxa"/>
            <w:vAlign w:val="bottom"/>
          </w:tcPr>
          <w:p>
            <w:pPr>
              <w:spacing w:after="0"/>
              <w:rPr>
                <w:sz w:val="12"/>
                <w:szCs w:val="12"/>
                <w:color w:val="auto"/>
              </w:rPr>
            </w:pPr>
          </w:p>
        </w:tc>
        <w:tc>
          <w:tcPr>
            <w:tcW w:w="18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4"/>
              </w:rPr>
              <w:t>Market Comparable</w:t>
            </w:r>
          </w:p>
        </w:tc>
        <w:tc>
          <w:tcPr>
            <w:tcW w:w="1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7"/>
              </w:rPr>
              <w:t>Market Yield</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9.6% – 34.7%(14.1%)</w:t>
            </w:r>
          </w:p>
        </w:tc>
        <w:tc>
          <w:tcPr>
            <w:tcW w:w="0" w:type="dxa"/>
            <w:vAlign w:val="bottom"/>
          </w:tcPr>
          <w:p>
            <w:pPr>
              <w:spacing w:after="0"/>
              <w:rPr>
                <w:sz w:val="1"/>
                <w:szCs w:val="1"/>
                <w:color w:val="auto"/>
              </w:rPr>
            </w:pPr>
          </w:p>
        </w:tc>
      </w:tr>
      <w:tr>
        <w:trPr>
          <w:trHeight w:val="148"/>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2,715,722</w:t>
            </w:r>
          </w:p>
        </w:tc>
        <w:tc>
          <w:tcPr>
            <w:tcW w:w="5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4"/>
              </w:rPr>
              <w:t>Market Comparable</w:t>
            </w:r>
          </w:p>
        </w:tc>
        <w:tc>
          <w:tcPr>
            <w:tcW w:w="192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4"/>
              </w:rPr>
              <w:t>Broker/Dealer bid quotes</w:t>
            </w: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5"/>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100,453,864</w:t>
            </w: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3"/>
              </w:rPr>
              <w:t>Enterprise Market Value</w:t>
            </w:r>
          </w:p>
        </w:tc>
        <w:tc>
          <w:tcPr>
            <w:tcW w:w="1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rPr>
              <w:t>EBITDA multiple</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4"/>
              </w:rPr>
              <w:t>3.4x – 22.5x (9.2x)</w:t>
            </w: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Level 3 investments</w:t>
            </w: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1,297,427,455</w:t>
            </w:r>
          </w:p>
        </w:tc>
        <w:tc>
          <w:tcPr>
            <w:tcW w:w="1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gridSpan w:val="2"/>
            <w:vMerge w:val="restart"/>
          </w:tcPr>
          <w:p>
            <w:pPr>
              <w:jc w:val="center"/>
              <w:ind w:right="460"/>
              <w:spacing w:after="0"/>
              <w:rPr>
                <w:sz w:val="20"/>
                <w:szCs w:val="20"/>
                <w:color w:val="auto"/>
              </w:rPr>
            </w:pPr>
            <w:r>
              <w:rPr>
                <w:rFonts w:ascii="Arial" w:cs="Arial" w:eastAsia="Arial" w:hAnsi="Arial"/>
                <w:sz w:val="14"/>
                <w:szCs w:val="14"/>
                <w:color w:val="auto"/>
                <w:w w:val="94"/>
              </w:rPr>
              <w:t>Market Comparable</w:t>
            </w:r>
          </w:p>
        </w:tc>
        <w:tc>
          <w:tcPr>
            <w:tcW w:w="192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7"/>
              </w:rPr>
              <w:t>Market Yield</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w w:val="93"/>
              </w:rPr>
              <w:t>3.4%</w:t>
            </w:r>
          </w:p>
        </w:tc>
        <w:tc>
          <w:tcPr>
            <w:tcW w:w="0" w:type="dxa"/>
            <w:vAlign w:val="bottom"/>
          </w:tcPr>
          <w:p>
            <w:pPr>
              <w:spacing w:after="0" w:line="20" w:lineRule="exact"/>
              <w:rPr>
                <w:sz w:val="1"/>
                <w:szCs w:val="1"/>
                <w:color w:val="auto"/>
              </w:rPr>
            </w:pPr>
          </w:p>
        </w:tc>
      </w:tr>
      <w:tr>
        <w:trPr>
          <w:trHeight w:val="143"/>
        </w:trPr>
        <w:tc>
          <w:tcPr>
            <w:tcW w:w="442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132,356,860</w:t>
            </w:r>
          </w:p>
        </w:tc>
        <w:tc>
          <w:tcPr>
            <w:tcW w:w="2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investments, cash and cash equivalents, Credit Facility and our Notes were categorized as follows in the fair value hierarchy for ASC 820 purposes: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w w:val="94"/>
              </w:rPr>
              <w:t>Fair Value at September 30, 2016</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2"/>
                <w:szCs w:val="12"/>
                <w:color w:val="auto"/>
              </w:rPr>
            </w:pPr>
          </w:p>
        </w:tc>
        <w:tc>
          <w:tcPr>
            <w:tcW w:w="102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900"/>
              <w:spacing w:after="0" w:line="142"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2"/>
                <w:szCs w:val="12"/>
                <w:color w:val="auto"/>
              </w:rPr>
            </w:pPr>
          </w:p>
        </w:tc>
        <w:tc>
          <w:tcPr>
            <w:tcW w:w="84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6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1,000,146,681</w:t>
            </w:r>
          </w:p>
        </w:tc>
        <w:tc>
          <w:tcPr>
            <w:tcW w:w="7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1,000,146,681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153,532,994</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2,758,757</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w w:val="99"/>
              </w:rPr>
              <w:t>25,141,220</w:t>
            </w: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125,633,017</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1,153,679,675</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2,758,757</w:t>
            </w: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w w:val="99"/>
              </w:rPr>
              <w:t>25,141,220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1,125,779,698</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75,608,113</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1"/>
              </w:rPr>
              <w:t>75,608,113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w w:val="91"/>
              </w:rPr>
              <w:t>1,229,287,788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1"/>
              </w:rPr>
              <w:t>78,366,870</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w w:val="99"/>
              </w:rPr>
              <w:t>25,141,220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1,125,779,698</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39,551,187</w:t>
            </w:r>
          </w:p>
        </w:tc>
        <w:tc>
          <w:tcPr>
            <w:tcW w:w="7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39,551,187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254,175,000</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w w:val="89"/>
              </w:rPr>
              <w:t>254,175,000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72,618,000</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72,618,000</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0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debt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366,344,187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1"/>
              </w:rPr>
              <w:t>72,618,000</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w w:val="89"/>
              </w:rPr>
              <w:t>254,175,000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39,551,187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w w:val="94"/>
              </w:rPr>
              <w:t>Fair Value at September 30, 2015</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2"/>
                <w:szCs w:val="12"/>
                <w:color w:val="auto"/>
              </w:rPr>
            </w:pPr>
          </w:p>
        </w:tc>
        <w:tc>
          <w:tcPr>
            <w:tcW w:w="102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900"/>
              <w:spacing w:after="0" w:line="142"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2"/>
                <w:szCs w:val="12"/>
                <w:color w:val="auto"/>
              </w:rPr>
            </w:pPr>
          </w:p>
        </w:tc>
        <w:tc>
          <w:tcPr>
            <w:tcW w:w="84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6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1,194,257,869</w:t>
            </w:r>
          </w:p>
        </w:tc>
        <w:tc>
          <w:tcPr>
            <w:tcW w:w="7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1,194,257,869</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104,789,964</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1,620,378</w:t>
            </w: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103,169,586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0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1,299,047,833</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1,620,378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1,297,427,455</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49,619,256</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49,619,256</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w w:val="91"/>
              </w:rPr>
              <w:t>1,348,667,089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1"/>
              </w:rPr>
              <w:t>49,619,256</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1,620,378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1,297,427,455</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132,356,860</w:t>
            </w:r>
          </w:p>
        </w:tc>
        <w:tc>
          <w:tcPr>
            <w:tcW w:w="7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132,356,860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253,102,500</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w w:val="89"/>
              </w:rPr>
              <w:t>253,102,500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71,136,000</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71,136,000</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debt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456,595,360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1"/>
              </w:rPr>
              <w:t>71,136,000</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w w:val="89"/>
              </w:rPr>
              <w:t>253,102,500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132,356,860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50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64</w:t>
            </w: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2"/>
              </w:rPr>
              <w:t>Year Ended September 30, 2016</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Debt</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tcPr>
          <w:p>
            <w:pPr>
              <w:jc w:val="right"/>
              <w:ind w:right="800"/>
              <w:spacing w:after="0" w:line="119" w:lineRule="exact"/>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investments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5"/>
              </w:rPr>
              <w:t>investments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4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1,194,257,869</w:t>
            </w:r>
          </w:p>
        </w:tc>
        <w:tc>
          <w:tcPr>
            <w:tcW w:w="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103,169,586</w:t>
            </w:r>
          </w:p>
        </w:tc>
        <w:tc>
          <w:tcPr>
            <w:tcW w:w="4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1,297,427,455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Net realized (losses) gains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(91,185,306)</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5,717,455</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(85,467,851)</w:t>
            </w:r>
          </w:p>
        </w:tc>
        <w:tc>
          <w:tcPr>
            <w:tcW w:w="0" w:type="dxa"/>
            <w:vAlign w:val="bottom"/>
          </w:tcPr>
          <w:p>
            <w:pPr>
              <w:spacing w:after="0"/>
              <w:rPr>
                <w:sz w:val="1"/>
                <w:szCs w:val="1"/>
                <w:color w:val="auto"/>
              </w:rPr>
            </w:pPr>
          </w:p>
        </w:tc>
      </w:tr>
      <w:tr>
        <w:trPr>
          <w:trHeight w:val="149"/>
        </w:trPr>
        <w:tc>
          <w:tcPr>
            <w:tcW w:w="6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appreciation</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9,948,715</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15,492,038</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25,440,753</w:t>
            </w:r>
          </w:p>
        </w:tc>
        <w:tc>
          <w:tcPr>
            <w:tcW w:w="0" w:type="dxa"/>
            <w:vAlign w:val="bottom"/>
          </w:tcPr>
          <w:p>
            <w:pPr>
              <w:spacing w:after="0"/>
              <w:rPr>
                <w:sz w:val="1"/>
                <w:szCs w:val="1"/>
                <w:color w:val="auto"/>
              </w:rPr>
            </w:pPr>
          </w:p>
        </w:tc>
      </w:tr>
      <w:tr>
        <w:trPr>
          <w:trHeight w:val="148"/>
        </w:trPr>
        <w:tc>
          <w:tcPr>
            <w:tcW w:w="6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302,824,970</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48,102,684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350,927,654</w:t>
            </w:r>
          </w:p>
        </w:tc>
        <w:tc>
          <w:tcPr>
            <w:tcW w:w="0" w:type="dxa"/>
            <w:vAlign w:val="bottom"/>
          </w:tcPr>
          <w:p>
            <w:pPr>
              <w:spacing w:after="0"/>
              <w:rPr>
                <w:sz w:val="1"/>
                <w:szCs w:val="1"/>
                <w:color w:val="auto"/>
              </w:rPr>
            </w:pPr>
          </w:p>
        </w:tc>
      </w:tr>
      <w:tr>
        <w:trPr>
          <w:trHeight w:val="148"/>
        </w:trPr>
        <w:tc>
          <w:tcPr>
            <w:tcW w:w="6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non-cash exchanges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(415,699,567)</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(19,857,743)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(435,557,310)</w:t>
            </w:r>
          </w:p>
        </w:tc>
        <w:tc>
          <w:tcPr>
            <w:tcW w:w="0" w:type="dxa"/>
            <w:vAlign w:val="bottom"/>
          </w:tcPr>
          <w:p>
            <w:pPr>
              <w:spacing w:after="0"/>
              <w:rPr>
                <w:sz w:val="1"/>
                <w:szCs w:val="1"/>
                <w:color w:val="auto"/>
              </w:rPr>
            </w:pPr>
          </w:p>
        </w:tc>
      </w:tr>
      <w:tr>
        <w:trPr>
          <w:trHeight w:val="148"/>
        </w:trPr>
        <w:tc>
          <w:tcPr>
            <w:tcW w:w="6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(26,991,003)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(26,991,003)</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1,000,146,681</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125,633,017</w:t>
            </w:r>
          </w:p>
        </w:tc>
        <w:tc>
          <w:tcPr>
            <w:tcW w:w="2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1,125,779,698</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4"/>
                <w:szCs w:val="14"/>
                <w:color w:val="auto"/>
              </w:rPr>
              <w:t>Net change in unrealized (depreciation) appreciation reported within the net change in unrealized</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7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appreciation on investments in our Consolidated Statements of Operations attributable to our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740" w:type="dxa"/>
            <w:vAlign w:val="bottom"/>
            <w:gridSpan w:val="2"/>
          </w:tcPr>
          <w:p>
            <w:pPr>
              <w:ind w:left="160"/>
              <w:spacing w:after="0"/>
              <w:rPr>
                <w:sz w:val="20"/>
                <w:szCs w:val="20"/>
                <w:color w:val="auto"/>
              </w:rPr>
            </w:pPr>
            <w:r>
              <w:rPr>
                <w:rFonts w:ascii="Arial" w:cs="Arial" w:eastAsia="Arial" w:hAnsi="Arial"/>
                <w:sz w:val="14"/>
                <w:szCs w:val="14"/>
                <w:color w:val="auto"/>
              </w:rPr>
              <w:t>Level 3 assets still held at the reporting date.</w:t>
            </w:r>
          </w:p>
        </w:tc>
        <w:tc>
          <w:tcPr>
            <w:tcW w:w="140" w:type="dxa"/>
            <w:vAlign w:val="bottom"/>
            <w:gridSpan w:val="2"/>
          </w:tcPr>
          <w:p>
            <w:pPr>
              <w:jc w:val="right"/>
              <w:ind w:right="9"/>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(38,844,736)</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440"/>
              <w:spacing w:after="0"/>
              <w:rPr>
                <w:sz w:val="20"/>
                <w:szCs w:val="20"/>
                <w:color w:val="auto"/>
              </w:rPr>
            </w:pPr>
            <w:r>
              <w:rPr>
                <w:rFonts w:ascii="Arial" w:cs="Arial" w:eastAsia="Arial" w:hAnsi="Arial"/>
                <w:sz w:val="14"/>
                <w:szCs w:val="14"/>
                <w:color w:val="auto"/>
              </w:rPr>
              <w:t>3,040,478</w:t>
            </w:r>
          </w:p>
        </w:tc>
        <w:tc>
          <w:tcPr>
            <w:tcW w:w="2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(35,804,258)</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2"/>
              </w:rPr>
              <w:t>Year Ended September 30, 2015</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Debt</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tcPr>
          <w:p>
            <w:pPr>
              <w:jc w:val="right"/>
              <w:ind w:right="800"/>
              <w:spacing w:after="0" w:line="119" w:lineRule="exact"/>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investments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5"/>
              </w:rPr>
              <w:t>investments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4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1,161,475,899</w:t>
            </w:r>
          </w:p>
        </w:tc>
        <w:tc>
          <w:tcPr>
            <w:tcW w:w="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111,862,237</w:t>
            </w:r>
          </w:p>
        </w:tc>
        <w:tc>
          <w:tcPr>
            <w:tcW w:w="4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1,273,338,136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Net realized (losses) gains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(3,035,810)</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32,996,191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29,960,381</w:t>
            </w:r>
          </w:p>
        </w:tc>
        <w:tc>
          <w:tcPr>
            <w:tcW w:w="0" w:type="dxa"/>
            <w:vAlign w:val="bottom"/>
          </w:tcPr>
          <w:p>
            <w:pPr>
              <w:spacing w:after="0"/>
              <w:rPr>
                <w:sz w:val="1"/>
                <w:szCs w:val="1"/>
                <w:color w:val="auto"/>
              </w:rPr>
            </w:pPr>
          </w:p>
        </w:tc>
      </w:tr>
      <w:tr>
        <w:trPr>
          <w:trHeight w:val="148"/>
        </w:trPr>
        <w:tc>
          <w:tcPr>
            <w:tcW w:w="6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depreciation</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(76,638,642)</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(43,251,477)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(119,890,119)</w:t>
            </w:r>
          </w:p>
        </w:tc>
        <w:tc>
          <w:tcPr>
            <w:tcW w:w="0" w:type="dxa"/>
            <w:vAlign w:val="bottom"/>
          </w:tcPr>
          <w:p>
            <w:pPr>
              <w:spacing w:after="0"/>
              <w:rPr>
                <w:sz w:val="1"/>
                <w:szCs w:val="1"/>
                <w:color w:val="auto"/>
              </w:rPr>
            </w:pPr>
          </w:p>
        </w:tc>
      </w:tr>
      <w:tr>
        <w:trPr>
          <w:trHeight w:val="148"/>
        </w:trPr>
        <w:tc>
          <w:tcPr>
            <w:tcW w:w="6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402,165,393</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59,927,977</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462,093,370</w:t>
            </w:r>
          </w:p>
        </w:tc>
        <w:tc>
          <w:tcPr>
            <w:tcW w:w="0" w:type="dxa"/>
            <w:vAlign w:val="bottom"/>
          </w:tcPr>
          <w:p>
            <w:pPr>
              <w:spacing w:after="0"/>
              <w:rPr>
                <w:sz w:val="1"/>
                <w:szCs w:val="1"/>
                <w:color w:val="auto"/>
              </w:rPr>
            </w:pPr>
          </w:p>
        </w:tc>
      </w:tr>
      <w:tr>
        <w:trPr>
          <w:trHeight w:val="149"/>
        </w:trPr>
        <w:tc>
          <w:tcPr>
            <w:tcW w:w="6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non-cash exchanges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(333,344,376)</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(57,130,358)</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(390,474,734)</w:t>
            </w:r>
          </w:p>
        </w:tc>
        <w:tc>
          <w:tcPr>
            <w:tcW w:w="0" w:type="dxa"/>
            <w:vAlign w:val="bottom"/>
          </w:tcPr>
          <w:p>
            <w:pPr>
              <w:spacing w:after="0"/>
              <w:rPr>
                <w:sz w:val="1"/>
                <w:szCs w:val="1"/>
                <w:color w:val="auto"/>
              </w:rPr>
            </w:pPr>
          </w:p>
        </w:tc>
      </w:tr>
      <w:tr>
        <w:trPr>
          <w:trHeight w:val="148"/>
        </w:trPr>
        <w:tc>
          <w:tcPr>
            <w:tcW w:w="6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43,635,405</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(1,234,984)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42,400,421</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1,194,257,869</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103,169,586</w:t>
            </w:r>
          </w:p>
        </w:tc>
        <w:tc>
          <w:tcPr>
            <w:tcW w:w="2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1,297,427,455</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 unrealized appreciation on</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7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9"/>
              </w:rPr>
              <w:t>investments in our Consolidated Statements of Operations attributable to our Level 3 assets still held at the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740" w:type="dxa"/>
            <w:vAlign w:val="bottom"/>
            <w:gridSpan w:val="2"/>
          </w:tcPr>
          <w:p>
            <w:pPr>
              <w:ind w:left="160"/>
              <w:spacing w:after="0"/>
              <w:rPr>
                <w:sz w:val="20"/>
                <w:szCs w:val="20"/>
                <w:color w:val="auto"/>
              </w:rPr>
            </w:pPr>
            <w:r>
              <w:rPr>
                <w:rFonts w:ascii="Arial" w:cs="Arial" w:eastAsia="Arial" w:hAnsi="Arial"/>
                <w:sz w:val="14"/>
                <w:szCs w:val="14"/>
                <w:color w:val="auto"/>
              </w:rPr>
              <w:t>reporting date.</w:t>
            </w:r>
          </w:p>
        </w:tc>
        <w:tc>
          <w:tcPr>
            <w:tcW w:w="140" w:type="dxa"/>
            <w:vAlign w:val="bottom"/>
            <w:gridSpan w:val="2"/>
          </w:tcPr>
          <w:p>
            <w:pPr>
              <w:jc w:val="right"/>
              <w:ind w:right="9"/>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(72,798,807)</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380"/>
              <w:spacing w:after="0"/>
              <w:rPr>
                <w:sz w:val="20"/>
                <w:szCs w:val="20"/>
                <w:color w:val="auto"/>
              </w:rPr>
            </w:pPr>
            <w:r>
              <w:rPr>
                <w:rFonts w:ascii="Arial" w:cs="Arial" w:eastAsia="Arial" w:hAnsi="Arial"/>
                <w:sz w:val="14"/>
                <w:szCs w:val="14"/>
                <w:color w:val="auto"/>
              </w:rPr>
              <w:t>(25,858,358)</w:t>
            </w:r>
          </w:p>
        </w:tc>
        <w:tc>
          <w:tcPr>
            <w:tcW w:w="2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(98,657,165)</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 below shows a reconciliation of the beginning and ending balances for carrying/fair valued liabilities measured using significant unobservable inputs (Level 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Carrying/Fair Value</w:t>
            </w:r>
          </w:p>
        </w:tc>
        <w:tc>
          <w:tcPr>
            <w:tcW w:w="0" w:type="dxa"/>
            <w:vAlign w:val="bottom"/>
          </w:tcPr>
          <w:p>
            <w:pPr>
              <w:spacing w:after="0"/>
              <w:rPr>
                <w:sz w:val="1"/>
                <w:szCs w:val="1"/>
                <w:color w:val="auto"/>
              </w:rPr>
            </w:pPr>
          </w:p>
        </w:tc>
      </w:tr>
      <w:tr>
        <w:trPr>
          <w:trHeight w:val="171"/>
        </w:trPr>
        <w:tc>
          <w:tcPr>
            <w:tcW w:w="8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 and 2019 Notes</w:t>
            </w:r>
          </w:p>
        </w:tc>
        <w:tc>
          <w:tcPr>
            <w:tcW w:w="220" w:type="dxa"/>
            <w:vAlign w:val="bottom"/>
          </w:tcPr>
          <w:p>
            <w:pPr>
              <w:spacing w:after="0"/>
              <w:rPr>
                <w:sz w:val="14"/>
                <w:szCs w:val="14"/>
                <w:color w:val="auto"/>
              </w:rPr>
            </w:pPr>
          </w:p>
        </w:tc>
        <w:tc>
          <w:tcPr>
            <w:tcW w:w="238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42"/>
        </w:trPr>
        <w:tc>
          <w:tcPr>
            <w:tcW w:w="864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 (cost – $106,864,300 and $305,226,300, respectively)</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102,356,860</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304,847,870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Total unrealized depreciation included in earnings</w:t>
            </w:r>
          </w:p>
        </w:tc>
        <w:tc>
          <w:tcPr>
            <w:tcW w:w="220" w:type="dxa"/>
            <w:vAlign w:val="bottom"/>
          </w:tcPr>
          <w:p>
            <w:pPr>
              <w:spacing w:after="0"/>
              <w:rPr>
                <w:sz w:val="12"/>
                <w:szCs w:val="12"/>
                <w:color w:val="auto"/>
              </w:rPr>
            </w:pPr>
          </w:p>
        </w:tc>
        <w:tc>
          <w:tcPr>
            <w:tcW w:w="10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(6,281,073)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(1,026,510)</w:t>
            </w:r>
          </w:p>
        </w:tc>
        <w:tc>
          <w:tcPr>
            <w:tcW w:w="0" w:type="dxa"/>
            <w:vAlign w:val="bottom"/>
          </w:tcPr>
          <w:p>
            <w:pPr>
              <w:spacing w:after="0"/>
              <w:rPr>
                <w:sz w:val="1"/>
                <w:szCs w:val="1"/>
                <w:color w:val="auto"/>
              </w:rPr>
            </w:pPr>
          </w:p>
        </w:tc>
      </w:tr>
      <w:tr>
        <w:trPr>
          <w:trHeight w:val="149"/>
        </w:trPr>
        <w:tc>
          <w:tcPr>
            <w:tcW w:w="8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272,664,923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349,000,000</w:t>
            </w:r>
          </w:p>
        </w:tc>
        <w:tc>
          <w:tcPr>
            <w:tcW w:w="0" w:type="dxa"/>
            <w:vAlign w:val="bottom"/>
          </w:tcPr>
          <w:p>
            <w:pPr>
              <w:spacing w:after="0"/>
              <w:rPr>
                <w:sz w:val="1"/>
                <w:szCs w:val="1"/>
                <w:color w:val="auto"/>
              </w:rPr>
            </w:pPr>
          </w:p>
        </w:tc>
      </w:tr>
      <w:tr>
        <w:trPr>
          <w:trHeight w:val="148"/>
        </w:trPr>
        <w:tc>
          <w:tcPr>
            <w:tcW w:w="8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220" w:type="dxa"/>
            <w:vAlign w:val="bottom"/>
          </w:tcPr>
          <w:p>
            <w:pPr>
              <w:spacing w:after="0"/>
              <w:rPr>
                <w:sz w:val="12"/>
                <w:szCs w:val="12"/>
                <w:color w:val="auto"/>
              </w:rPr>
            </w:pPr>
          </w:p>
        </w:tc>
        <w:tc>
          <w:tcPr>
            <w:tcW w:w="10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(329,189,523)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(297,362,000)</w:t>
            </w:r>
          </w:p>
        </w:tc>
        <w:tc>
          <w:tcPr>
            <w:tcW w:w="0" w:type="dxa"/>
            <w:vAlign w:val="bottom"/>
          </w:tcPr>
          <w:p>
            <w:pPr>
              <w:spacing w:after="0"/>
              <w:rPr>
                <w:sz w:val="1"/>
                <w:szCs w:val="1"/>
                <w:color w:val="auto"/>
              </w:rPr>
            </w:pPr>
          </w:p>
        </w:tc>
      </w:tr>
      <w:tr>
        <w:trPr>
          <w:trHeight w:val="149"/>
        </w:trPr>
        <w:tc>
          <w:tcPr>
            <w:tcW w:w="8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2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(253,102,500)</w:t>
            </w:r>
          </w:p>
        </w:tc>
        <w:tc>
          <w:tcPr>
            <w:tcW w:w="0" w:type="dxa"/>
            <w:vAlign w:val="bottom"/>
          </w:tcPr>
          <w:p>
            <w:pPr>
              <w:spacing w:after="0"/>
              <w:rPr>
                <w:sz w:val="1"/>
                <w:szCs w:val="1"/>
                <w:color w:val="auto"/>
              </w:rPr>
            </w:pPr>
          </w:p>
        </w:tc>
      </w:tr>
      <w:tr>
        <w:trPr>
          <w:trHeight w:val="155"/>
        </w:trPr>
        <w:tc>
          <w:tcPr>
            <w:tcW w:w="864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$50,339,700 and $106,864,300, respectively)</w:t>
            </w:r>
          </w:p>
        </w:tc>
        <w:tc>
          <w:tcPr>
            <w:tcW w:w="22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39,551,187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102,356,860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Temporary draws outstanding, at cost</w:t>
            </w:r>
          </w:p>
        </w:tc>
        <w:tc>
          <w:tcPr>
            <w:tcW w:w="2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30,000,000</w:t>
            </w:r>
          </w:p>
        </w:tc>
        <w:tc>
          <w:tcPr>
            <w:tcW w:w="0" w:type="dxa"/>
            <w:vAlign w:val="bottom"/>
          </w:tcPr>
          <w:p>
            <w:pPr>
              <w:spacing w:after="0"/>
              <w:rPr>
                <w:sz w:val="1"/>
                <w:szCs w:val="1"/>
                <w:color w:val="auto"/>
              </w:rPr>
            </w:pPr>
          </w:p>
        </w:tc>
      </w:tr>
      <w:tr>
        <w:trPr>
          <w:trHeight w:val="155"/>
        </w:trPr>
        <w:tc>
          <w:tcPr>
            <w:tcW w:w="864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$50,339,700 and $136,864,300, respectively)</w:t>
            </w: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39,551,187</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132,356,860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16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4"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Excludes temporary draws.</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had outstanding non-USD borrowing on our Credit Facility. Net change in fair value on foreign currency translating on outstanding borrowings is listed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Foreign Currency</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Local Currency</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Original</w:t>
            </w:r>
          </w:p>
        </w:tc>
        <w:tc>
          <w:tcPr>
            <w:tcW w:w="180" w:type="dxa"/>
            <w:vAlign w:val="bottom"/>
          </w:tcPr>
          <w:p>
            <w:pPr>
              <w:spacing w:after="0"/>
              <w:rPr>
                <w:sz w:val="14"/>
                <w:szCs w:val="14"/>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Current Value</w:t>
            </w: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Reset Date</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Net Change in Fair</w:t>
            </w:r>
          </w:p>
        </w:tc>
        <w:tc>
          <w:tcPr>
            <w:tcW w:w="0" w:type="dxa"/>
            <w:vAlign w:val="bottom"/>
          </w:tcPr>
          <w:p>
            <w:pPr>
              <w:spacing w:after="0"/>
              <w:rPr>
                <w:sz w:val="1"/>
                <w:szCs w:val="1"/>
                <w:color w:val="auto"/>
              </w:rPr>
            </w:pPr>
          </w:p>
        </w:tc>
      </w:tr>
      <w:tr>
        <w:trPr>
          <w:trHeight w:val="175"/>
        </w:trPr>
        <w:tc>
          <w:tcPr>
            <w:tcW w:w="3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400" w:type="dxa"/>
            <w:vAlign w:val="bottom"/>
            <w:gridSpan w:val="2"/>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1"/>
              </w:rPr>
              <w:t>Borrowing Cost</w:t>
            </w:r>
          </w:p>
        </w:tc>
        <w:tc>
          <w:tcPr>
            <w:tcW w:w="1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31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2016</w:t>
            </w:r>
          </w:p>
        </w:tc>
        <w:tc>
          <w:tcPr>
            <w:tcW w:w="26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6"/>
              </w:rPr>
              <w:t>British Pound</w:t>
            </w:r>
          </w:p>
        </w:tc>
        <w:tc>
          <w:tcPr>
            <w:tcW w:w="2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31,000,000</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50,339,700</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40,180,433</w:t>
            </w:r>
          </w:p>
        </w:tc>
        <w:tc>
          <w:tcPr>
            <w:tcW w:w="3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October 3, 2016</w:t>
            </w:r>
          </w:p>
        </w:tc>
        <w:tc>
          <w:tcPr>
            <w:tcW w:w="3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(10,159,267)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6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26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British Pound</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28,000,000</w:t>
            </w:r>
          </w:p>
        </w:tc>
        <w:tc>
          <w:tcPr>
            <w:tcW w:w="340" w:type="dxa"/>
            <w:vAlign w:val="bottom"/>
            <w:gridSpan w:val="2"/>
          </w:tcPr>
          <w:p>
            <w:pPr>
              <w:jc w:val="right"/>
              <w:ind w:right="1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46,864,300</w:t>
            </w:r>
          </w:p>
        </w:tc>
        <w:tc>
          <w:tcPr>
            <w:tcW w:w="3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42,356,860</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October 1, 2015</w:t>
            </w: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(4,507,440)</w:t>
            </w:r>
          </w:p>
        </w:tc>
        <w:tc>
          <w:tcPr>
            <w:tcW w:w="0" w:type="dxa"/>
            <w:vAlign w:val="bottom"/>
          </w:tcPr>
          <w:p>
            <w:pPr>
              <w:spacing w:after="0"/>
              <w:rPr>
                <w:sz w:val="1"/>
                <w:szCs w:val="1"/>
                <w:color w:val="auto"/>
              </w:rPr>
            </w:pPr>
          </w:p>
        </w:tc>
      </w:tr>
      <w:tr>
        <w:trPr>
          <w:trHeight w:val="278"/>
        </w:trPr>
        <w:tc>
          <w:tcPr>
            <w:tcW w:w="3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24" w:lineRule="exact"/>
        <w:rPr>
          <w:sz w:val="20"/>
          <w:szCs w:val="20"/>
          <w:color w:val="auto"/>
        </w:rPr>
      </w:pPr>
    </w:p>
    <w:p>
      <w:pPr>
        <w:ind w:right="20" w:firstLine="562"/>
        <w:spacing w:after="0" w:line="243" w:lineRule="auto"/>
        <w:rPr>
          <w:sz w:val="20"/>
          <w:szCs w:val="20"/>
          <w:color w:val="auto"/>
        </w:rPr>
      </w:pPr>
      <w:r>
        <w:rPr>
          <w:rFonts w:ascii="Arial" w:cs="Arial" w:eastAsia="Arial" w:hAnsi="Arial"/>
          <w:sz w:val="13"/>
          <w:szCs w:val="13"/>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Notes. We elected to use the fair value option for the Credit Facility and our Notes to align the measurement attributes of both our assets and liabilities while mitigating volatility in earnings from using different measurement attributes. Due to that election and in accordance with GAAP, we incurred zero, zero and $8.3 million relating to debt issuance costs during the years ended September 30, 2016, 2015 and 2014,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our Notes are reported in our Consolidated Statement of Operations. We elected not to apply ASC 825-10 to any other financial assets or liabilities, including the SBA debentures. For the fiscal years ended September 30, 2016, 2015 and 2014, our Credit Facility and our Notes had a net change in unrealized depreciation (appreciation) of $3.7 million, $1.7 million and $(3.0) million, respectively. As of September 30, 2016 and 2015, net unrealized depreciation on our Credit Facility and our Notes totaled $5.2 million and $1.5 million, respectively. We use a nationally recognized independent valuation service to measure the fair value of our Credit Facility and 2019 Notes in a manner consistent with the valuation process that the board of directors uses to value investments. Our 2025 Notes trade on the NYSE under the ticker “PNTA” and we use the closing price on the exchange to determine their fair value.</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00" w:lineRule="exact"/>
        <w:rPr>
          <w:sz w:val="20"/>
          <w:szCs w:val="20"/>
          <w:color w:val="auto"/>
        </w:rPr>
      </w:pPr>
    </w:p>
    <w:p>
      <w:pPr>
        <w:ind w:right="300" w:firstLine="562"/>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year ended September 30, 2016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Fair Value at</w:t>
            </w:r>
          </w:p>
        </w:tc>
        <w:tc>
          <w:tcPr>
            <w:tcW w:w="8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Purchases of /</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Sale of /</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4"/>
                <w:szCs w:val="14"/>
                <w:color w:val="auto"/>
              </w:rPr>
            </w:pPr>
          </w:p>
        </w:tc>
        <w:tc>
          <w:tcPr>
            <w:tcW w:w="13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Fair Value at</w:t>
            </w:r>
          </w:p>
        </w:tc>
        <w:tc>
          <w:tcPr>
            <w:tcW w:w="14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8"/>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8"/>
              </w:rPr>
              <w:t>Advances to</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Realized Gains</w:t>
            </w:r>
          </w:p>
        </w:tc>
        <w:tc>
          <w:tcPr>
            <w:tcW w:w="0" w:type="dxa"/>
            <w:vAlign w:val="bottom"/>
          </w:tcPr>
          <w:p>
            <w:pPr>
              <w:spacing w:after="0"/>
              <w:rPr>
                <w:sz w:val="1"/>
                <w:szCs w:val="1"/>
                <w:color w:val="auto"/>
              </w:rPr>
            </w:pPr>
          </w:p>
        </w:tc>
      </w:tr>
      <w:tr>
        <w:trPr>
          <w:trHeight w:val="171"/>
        </w:trPr>
        <w:tc>
          <w:tcPr>
            <w:tcW w:w="3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w w:val="96"/>
              </w:rPr>
              <w:t xml:space="preserve">September 30, 2015 </w:t>
            </w:r>
            <w:r>
              <w:rPr>
                <w:rFonts w:ascii="Arial" w:cs="Arial" w:eastAsia="Arial" w:hAnsi="Arial"/>
                <w:sz w:val="12"/>
                <w:szCs w:val="12"/>
                <w:b w:val="1"/>
                <w:bCs w:val="1"/>
                <w:color w:val="auto"/>
                <w:w w:val="96"/>
              </w:rPr>
              <w:t>(1)</w:t>
            </w:r>
          </w:p>
        </w:tc>
        <w:tc>
          <w:tcPr>
            <w:tcW w:w="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Affiliates </w:t>
            </w:r>
            <w:r>
              <w:rPr>
                <w:rFonts w:ascii="Arial" w:cs="Arial" w:eastAsia="Arial" w:hAnsi="Arial"/>
                <w:sz w:val="12"/>
                <w:szCs w:val="12"/>
                <w:b w:val="1"/>
                <w:bCs w:val="1"/>
                <w:color w:val="auto"/>
              </w:rPr>
              <w:t>(1), (2)</w:t>
            </w:r>
          </w:p>
        </w:tc>
        <w:tc>
          <w:tcPr>
            <w:tcW w:w="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from Affiliates </w:t>
            </w:r>
            <w:r>
              <w:rPr>
                <w:rFonts w:ascii="Arial" w:cs="Arial" w:eastAsia="Arial" w:hAnsi="Arial"/>
                <w:sz w:val="12"/>
                <w:szCs w:val="12"/>
                <w:b w:val="1"/>
                <w:bCs w:val="1"/>
                <w:color w:val="auto"/>
              </w:rPr>
              <w:t>(1)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Accrued</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September 30, 2016 </w:t>
            </w:r>
            <w:r>
              <w:rPr>
                <w:rFonts w:ascii="Arial" w:cs="Arial" w:eastAsia="Arial" w:hAnsi="Arial"/>
                <w:sz w:val="12"/>
                <w:szCs w:val="12"/>
                <w:b w:val="1"/>
                <w:bCs w:val="1"/>
                <w:color w:val="auto"/>
              </w:rPr>
              <w:t>(1)</w:t>
            </w: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(Losses)</w:t>
            </w:r>
          </w:p>
        </w:tc>
        <w:tc>
          <w:tcPr>
            <w:tcW w:w="0" w:type="dxa"/>
            <w:vAlign w:val="bottom"/>
          </w:tcPr>
          <w:p>
            <w:pPr>
              <w:spacing w:after="0"/>
              <w:rPr>
                <w:sz w:val="1"/>
                <w:szCs w:val="1"/>
                <w:color w:val="auto"/>
              </w:rPr>
            </w:pPr>
          </w:p>
        </w:tc>
      </w:tr>
      <w:tr>
        <w:trPr>
          <w:trHeight w:val="142"/>
        </w:trPr>
        <w:tc>
          <w:tcPr>
            <w:tcW w:w="35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Controlled Affiliates</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540" w:type="dxa"/>
            <w:vAlign w:val="bottom"/>
          </w:tcPr>
          <w:p>
            <w:pPr>
              <w:spacing w:after="0" w:line="130" w:lineRule="exact"/>
              <w:rPr>
                <w:sz w:val="20"/>
                <w:szCs w:val="20"/>
                <w:color w:val="auto"/>
              </w:rPr>
            </w:pPr>
            <w:r>
              <w:rPr>
                <w:rFonts w:ascii="Arial" w:cs="Arial" w:eastAsia="Arial" w:hAnsi="Arial"/>
                <w:sz w:val="14"/>
                <w:szCs w:val="14"/>
                <w:color w:val="auto"/>
              </w:rPr>
              <w:t>MidOcean JF Holdings Corp.</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40" w:type="dxa"/>
            <w:vAlign w:val="bottom"/>
          </w:tcPr>
          <w:p>
            <w:pPr>
              <w:ind w:left="160"/>
              <w:spacing w:after="0"/>
              <w:rPr>
                <w:sz w:val="20"/>
                <w:szCs w:val="20"/>
                <w:color w:val="auto"/>
              </w:rPr>
            </w:pPr>
            <w:r>
              <w:rPr>
                <w:rFonts w:ascii="Arial" w:cs="Arial" w:eastAsia="Arial" w:hAnsi="Arial"/>
                <w:sz w:val="14"/>
                <w:szCs w:val="14"/>
                <w:color w:val="auto"/>
              </w:rPr>
              <w:t>(JF Acquisition, LLC)</w:t>
            </w:r>
          </w:p>
        </w:tc>
        <w:tc>
          <w:tcPr>
            <w:tcW w:w="2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6,900,207</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14,318,325</w:t>
            </w: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22,837,602</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RAM Energy LLC</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72,759,582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8,181,067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8,445,233</w:t>
            </w:r>
          </w:p>
        </w:tc>
        <w:tc>
          <w:tcPr>
            <w:tcW w:w="1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68,319,399</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540" w:type="dxa"/>
            <w:vAlign w:val="bottom"/>
          </w:tcPr>
          <w:p>
            <w:pPr>
              <w:spacing w:after="0" w:line="149" w:lineRule="exact"/>
              <w:rPr>
                <w:sz w:val="20"/>
                <w:szCs w:val="20"/>
                <w:color w:val="auto"/>
              </w:rPr>
            </w:pPr>
            <w:r>
              <w:rPr>
                <w:rFonts w:ascii="Arial" w:cs="Arial" w:eastAsia="Arial" w:hAnsi="Arial"/>
                <w:sz w:val="14"/>
                <w:szCs w:val="14"/>
                <w:color w:val="auto"/>
              </w:rPr>
              <w:t>Superior Digital Displays Holdings, Inc.</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27,165,861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10,674,296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5,036,450</w:t>
            </w:r>
          </w:p>
        </w:tc>
        <w:tc>
          <w:tcPr>
            <w:tcW w:w="18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33,862,636</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Non-Controlled Affiliates</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line="149" w:lineRule="exact"/>
              <w:rPr>
                <w:sz w:val="20"/>
                <w:szCs w:val="20"/>
                <w:color w:val="auto"/>
              </w:rPr>
            </w:pPr>
            <w:r>
              <w:rPr>
                <w:rFonts w:ascii="Arial" w:cs="Arial" w:eastAsia="Arial" w:hAnsi="Arial"/>
                <w:sz w:val="14"/>
                <w:szCs w:val="14"/>
                <w:color w:val="auto"/>
              </w:rPr>
              <w:t xml:space="preserve">Affinion Group Holdings, Inc. </w:t>
            </w:r>
            <w:r>
              <w:rPr>
                <w:rFonts w:ascii="Arial" w:cs="Arial" w:eastAsia="Arial" w:hAnsi="Arial"/>
                <w:sz w:val="12"/>
                <w:szCs w:val="12"/>
                <w:color w:val="auto"/>
              </w:rPr>
              <w:t>(3)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341,025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2,369,417</w:t>
            </w:r>
          </w:p>
        </w:tc>
        <w:tc>
          <w:tcPr>
            <w:tcW w:w="18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57,109,394</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Corfin Industries LLC </w:t>
            </w:r>
            <w:r>
              <w:rPr>
                <w:rFonts w:ascii="Arial" w:cs="Arial" w:eastAsia="Arial" w:hAnsi="Arial"/>
                <w:sz w:val="12"/>
                <w:szCs w:val="12"/>
                <w:color w:val="auto"/>
              </w:rPr>
              <w:t>(3)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24,351,000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(177,750)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2,325,887</w:t>
            </w:r>
          </w:p>
        </w:tc>
        <w:tc>
          <w:tcPr>
            <w:tcW w:w="1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25,853,063</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DirectBuy Holdings, Inc.</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6,284,194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(751,537)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2,799,695</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EnviroSolutions Holdings, Inc.</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20,464,829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931,525</w:t>
            </w:r>
          </w:p>
        </w:tc>
        <w:tc>
          <w:tcPr>
            <w:tcW w:w="1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22,522,000</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540" w:type="dxa"/>
            <w:vAlign w:val="bottom"/>
          </w:tcPr>
          <w:p>
            <w:pPr>
              <w:spacing w:after="0" w:line="130" w:lineRule="exact"/>
              <w:rPr>
                <w:sz w:val="20"/>
                <w:szCs w:val="20"/>
                <w:color w:val="auto"/>
              </w:rPr>
            </w:pPr>
            <w:r>
              <w:rPr>
                <w:rFonts w:ascii="Arial" w:cs="Arial" w:eastAsia="Arial" w:hAnsi="Arial"/>
                <w:sz w:val="14"/>
                <w:szCs w:val="14"/>
                <w:color w:val="auto"/>
              </w:rPr>
              <w:t xml:space="preserve">ETX Energy, LLC </w:t>
            </w:r>
            <w:r>
              <w:rPr>
                <w:rFonts w:ascii="Arial" w:cs="Arial" w:eastAsia="Arial" w:hAnsi="Arial"/>
                <w:sz w:val="12"/>
                <w:szCs w:val="12"/>
                <w:color w:val="auto"/>
              </w:rPr>
              <w:t>(4)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40" w:type="dxa"/>
            <w:vAlign w:val="bottom"/>
          </w:tcPr>
          <w:p>
            <w:pPr>
              <w:ind w:left="160"/>
              <w:spacing w:after="0"/>
              <w:rPr>
                <w:sz w:val="20"/>
                <w:szCs w:val="20"/>
                <w:color w:val="auto"/>
              </w:rPr>
            </w:pPr>
            <w:r>
              <w:rPr>
                <w:rFonts w:ascii="Arial" w:cs="Arial" w:eastAsia="Arial" w:hAnsi="Arial"/>
                <w:sz w:val="14"/>
                <w:szCs w:val="14"/>
                <w:color w:val="auto"/>
              </w:rPr>
              <w:t>(f/k/a New Gulf Resources, LLC)</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766,596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185,836</w:t>
            </w:r>
          </w:p>
        </w:tc>
        <w:tc>
          <w:tcPr>
            <w:tcW w:w="1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35,416,730</w:t>
            </w:r>
          </w:p>
        </w:tc>
        <w:tc>
          <w:tcPr>
            <w:tcW w:w="14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NCP-Performance, L.P.</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(3,750,000)</w:t>
            </w:r>
          </w:p>
        </w:tc>
        <w:tc>
          <w:tcPr>
            <w:tcW w:w="0" w:type="dxa"/>
            <w:vAlign w:val="bottom"/>
          </w:tcPr>
          <w:p>
            <w:pPr>
              <w:spacing w:after="0"/>
              <w:rPr>
                <w:sz w:val="1"/>
                <w:szCs w:val="1"/>
                <w:color w:val="auto"/>
              </w:rPr>
            </w:pPr>
          </w:p>
        </w:tc>
      </w:tr>
      <w:tr>
        <w:trPr>
          <w:trHeight w:val="148"/>
        </w:trPr>
        <w:tc>
          <w:tcPr>
            <w:tcW w:w="3540" w:type="dxa"/>
            <w:vAlign w:val="bottom"/>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11,432,674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2,811,733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(22,265)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682,190</w:t>
            </w:r>
          </w:p>
        </w:tc>
        <w:tc>
          <w:tcPr>
            <w:tcW w:w="18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8,233,630</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Champ, Inc.</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32,388,562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3,673,874</w:t>
            </w:r>
          </w:p>
        </w:tc>
        <w:tc>
          <w:tcPr>
            <w:tcW w:w="1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34,898,025</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TRAK Acquisition Corp.</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24,932,845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24,000,000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(21,750,000)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2,967,159</w:t>
            </w:r>
          </w:p>
        </w:tc>
        <w:tc>
          <w:tcPr>
            <w:tcW w:w="18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28,360,010</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6"/>
        </w:trPr>
        <w:tc>
          <w:tcPr>
            <w:tcW w:w="354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Total Controlled and Non-Controlled</w:t>
            </w: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54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Affiliates</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202,328,754</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84,692,505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(21,950,015)</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26,617,571</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340,212,184</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(3,750,000)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16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3" w:lineRule="exact"/>
        <w:rPr>
          <w:sz w:val="20"/>
          <w:szCs w:val="20"/>
          <w:color w:val="auto"/>
        </w:rPr>
      </w:pPr>
    </w:p>
    <w:p>
      <w:pPr>
        <w:ind w:left="560" w:hanging="552"/>
        <w:spacing w:after="0"/>
        <w:tabs>
          <w:tab w:leader="none" w:pos="560" w:val="left"/>
        </w:tabs>
        <w:numPr>
          <w:ilvl w:val="0"/>
          <w:numId w:val="43"/>
        </w:numPr>
        <w:rPr>
          <w:rFonts w:ascii="Arial" w:cs="Arial" w:eastAsia="Arial" w:hAnsi="Arial"/>
          <w:sz w:val="12"/>
          <w:szCs w:val="12"/>
          <w:color w:val="auto"/>
        </w:rPr>
      </w:pPr>
      <w:r>
        <w:rPr>
          <w:rFonts w:ascii="Arial" w:cs="Arial" w:eastAsia="Arial" w:hAnsi="Arial"/>
          <w:sz w:val="14"/>
          <w:szCs w:val="14"/>
          <w:color w:val="auto"/>
        </w:rPr>
        <w:t>Excluding delayed draw investments.</w:t>
      </w:r>
    </w:p>
    <w:p>
      <w:pPr>
        <w:ind w:left="560" w:hanging="552"/>
        <w:spacing w:after="0" w:line="221" w:lineRule="auto"/>
        <w:tabs>
          <w:tab w:leader="none" w:pos="560" w:val="left"/>
        </w:tabs>
        <w:numPr>
          <w:ilvl w:val="0"/>
          <w:numId w:val="43"/>
        </w:numPr>
        <w:rPr>
          <w:rFonts w:ascii="Arial" w:cs="Arial" w:eastAsia="Arial" w:hAnsi="Arial"/>
          <w:sz w:val="12"/>
          <w:szCs w:val="12"/>
          <w:color w:val="auto"/>
        </w:rPr>
      </w:pPr>
      <w:r>
        <w:rPr>
          <w:rFonts w:ascii="Arial" w:cs="Arial" w:eastAsia="Arial" w:hAnsi="Arial"/>
          <w:sz w:val="14"/>
          <w:szCs w:val="14"/>
          <w:color w:val="auto"/>
        </w:rPr>
        <w:t>Includes PIK and PIK adjustments.</w:t>
      </w:r>
    </w:p>
    <w:p>
      <w:pPr>
        <w:ind w:left="560" w:hanging="552"/>
        <w:spacing w:after="0" w:line="221" w:lineRule="auto"/>
        <w:tabs>
          <w:tab w:leader="none" w:pos="560" w:val="left"/>
        </w:tabs>
        <w:numPr>
          <w:ilvl w:val="0"/>
          <w:numId w:val="43"/>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December 31, 2015.</w:t>
      </w:r>
    </w:p>
    <w:p>
      <w:pPr>
        <w:ind w:left="560" w:hanging="552"/>
        <w:spacing w:after="0"/>
        <w:tabs>
          <w:tab w:leader="none" w:pos="560" w:val="left"/>
        </w:tabs>
        <w:numPr>
          <w:ilvl w:val="0"/>
          <w:numId w:val="43"/>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June 30, 2016.</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September 30,</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340" w:type="dxa"/>
            <w:vAlign w:val="bottom"/>
            <w:tcBorders>
              <w:bottom w:val="single" w:sz="8" w:color="CCEEFF"/>
            </w:tcBorders>
          </w:tcPr>
          <w:p>
            <w:pPr>
              <w:spacing w:after="0"/>
              <w:rPr>
                <w:sz w:val="12"/>
                <w:szCs w:val="12"/>
                <w:color w:val="auto"/>
              </w:rPr>
            </w:pPr>
          </w:p>
        </w:tc>
        <w:tc>
          <w:tcPr>
            <w:tcW w:w="25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r>
      <w:tr>
        <w:trPr>
          <w:trHeight w:val="142"/>
        </w:trPr>
        <w:tc>
          <w:tcPr>
            <w:tcW w:w="5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(decrease) in net assets resulting from operations</w:t>
            </w:r>
          </w:p>
        </w:tc>
        <w:tc>
          <w:tcPr>
            <w:tcW w:w="25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18,736,706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(10,245,652)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110,983,477</w:t>
            </w:r>
          </w:p>
        </w:tc>
        <w:tc>
          <w:tcPr>
            <w:tcW w:w="80" w:type="dxa"/>
            <w:vAlign w:val="bottom"/>
            <w:shd w:val="clear" w:color="auto" w:fill="CCEEFF"/>
          </w:tcPr>
          <w:p>
            <w:pPr>
              <w:spacing w:after="0"/>
              <w:rPr>
                <w:sz w:val="12"/>
                <w:szCs w:val="12"/>
                <w:color w:val="auto"/>
              </w:rPr>
            </w:pPr>
          </w:p>
        </w:tc>
      </w:tr>
      <w:tr>
        <w:trPr>
          <w:trHeight w:val="149"/>
        </w:trPr>
        <w:tc>
          <w:tcPr>
            <w:tcW w:w="534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and weighted average shares</w:t>
            </w:r>
          </w:p>
        </w:tc>
        <w:tc>
          <w:tcPr>
            <w:tcW w:w="2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71,621,530</w:t>
            </w:r>
          </w:p>
        </w:tc>
        <w:tc>
          <w:tcPr>
            <w:tcW w:w="16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74,755,139</w:t>
            </w:r>
          </w:p>
        </w:tc>
        <w:tc>
          <w:tcPr>
            <w:tcW w:w="2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67,058,474</w:t>
            </w:r>
          </w:p>
        </w:tc>
      </w:tr>
      <w:tr>
        <w:trPr>
          <w:trHeight w:val="148"/>
        </w:trPr>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Basic and diluted net increase (decrease) in net assets per share resulting from operations</w:t>
            </w:r>
          </w:p>
        </w:tc>
        <w:tc>
          <w:tcPr>
            <w:tcW w:w="27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0.26</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(0.14)</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1.66</w:t>
            </w:r>
          </w:p>
        </w:tc>
      </w:tr>
      <w:tr>
        <w:trPr>
          <w:trHeight w:val="312"/>
        </w:trPr>
        <w:tc>
          <w:tcPr>
            <w:tcW w:w="5340" w:type="dxa"/>
            <w:vAlign w:val="bottom"/>
          </w:tcPr>
          <w:p>
            <w:pPr>
              <w:spacing w:after="0"/>
              <w:rPr>
                <w:sz w:val="24"/>
                <w:szCs w:val="24"/>
                <w:color w:val="auto"/>
              </w:rPr>
            </w:pPr>
          </w:p>
        </w:tc>
        <w:tc>
          <w:tcPr>
            <w:tcW w:w="2580" w:type="dxa"/>
            <w:vAlign w:val="bottom"/>
          </w:tcPr>
          <w:p>
            <w:pPr>
              <w:jc w:val="right"/>
              <w:ind w:right="2148"/>
              <w:spacing w:after="0"/>
              <w:rPr>
                <w:sz w:val="20"/>
                <w:szCs w:val="20"/>
                <w:color w:val="auto"/>
              </w:rPr>
            </w:pPr>
            <w:r>
              <w:rPr>
                <w:rFonts w:ascii="Arial" w:cs="Arial" w:eastAsia="Arial" w:hAnsi="Arial"/>
                <w:sz w:val="14"/>
                <w:szCs w:val="14"/>
                <w:color w:val="auto"/>
              </w:rPr>
              <w:t>66</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TAXES AND DISTRIBUTIONS</w:t>
      </w:r>
    </w:p>
    <w:p>
      <w:pPr>
        <w:spacing w:after="0" w:line="100"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Distributions from net investment income and from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77" w:lineRule="exact"/>
        <w:rPr>
          <w:sz w:val="20"/>
          <w:szCs w:val="20"/>
          <w:color w:val="auto"/>
        </w:rPr>
      </w:pPr>
    </w:p>
    <w:p>
      <w:pPr>
        <w:ind w:right="300" w:firstLine="562"/>
        <w:spacing w:after="0" w:line="253" w:lineRule="auto"/>
        <w:rPr>
          <w:sz w:val="20"/>
          <w:szCs w:val="20"/>
          <w:color w:val="auto"/>
        </w:rPr>
      </w:pPr>
      <w:r>
        <w:rPr>
          <w:rFonts w:ascii="Arial" w:cs="Arial" w:eastAsia="Arial" w:hAnsi="Arial"/>
          <w:sz w:val="14"/>
          <w:szCs w:val="14"/>
          <w:color w:val="auto"/>
        </w:rPr>
        <w:t>As of September 30, 2016 and 2015, the cost of investments for federal income tax purposes was $1,254.1 million and $1,422.5 million, respectively, resulting in a gross unrealized appreciation of $75.1 million and $57.9 million, respectively, and depreciation of $175.5 million and $181.1 million, respectively.</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amounts were reclassified for tax purposes: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center"/>
              <w:ind w:left="548"/>
              <w:spacing w:after="0"/>
              <w:rPr>
                <w:sz w:val="20"/>
                <w:szCs w:val="20"/>
                <w:color w:val="auto"/>
              </w:rPr>
            </w:pPr>
            <w:r>
              <w:rPr>
                <w:rFonts w:ascii="Arial" w:cs="Arial" w:eastAsia="Arial" w:hAnsi="Arial"/>
                <w:sz w:val="14"/>
                <w:szCs w:val="14"/>
                <w:b w:val="1"/>
                <w:bCs w:val="1"/>
                <w:color w:val="auto"/>
                <w:w w:val="92"/>
              </w:rPr>
              <w:t>Years Ended September 30,</w:t>
            </w:r>
          </w:p>
        </w:tc>
        <w:tc>
          <w:tcPr>
            <w:tcW w:w="8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r>
      <w:tr>
        <w:trPr>
          <w:trHeight w:val="142"/>
        </w:trPr>
        <w:tc>
          <w:tcPr>
            <w:tcW w:w="7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08"/>
              <w:spacing w:after="0" w:line="142" w:lineRule="exact"/>
              <w:rPr>
                <w:sz w:val="20"/>
                <w:szCs w:val="20"/>
                <w:color w:val="auto"/>
              </w:rPr>
            </w:pPr>
            <w:r>
              <w:rPr>
                <w:rFonts w:ascii="Arial" w:cs="Arial" w:eastAsia="Arial" w:hAnsi="Arial"/>
                <w:sz w:val="14"/>
                <w:szCs w:val="14"/>
                <w:b w:val="1"/>
                <w:bCs w:val="1"/>
                <w:color w:val="auto"/>
                <w:w w:val="96"/>
              </w:rPr>
              <w:t>2015</w:t>
            </w: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2"/>
                <w:szCs w:val="12"/>
                <w:color w:val="auto"/>
              </w:rPr>
            </w:pPr>
          </w:p>
        </w:tc>
      </w:tr>
      <w:tr>
        <w:trPr>
          <w:trHeight w:val="142"/>
        </w:trPr>
        <w:tc>
          <w:tcPr>
            <w:tcW w:w="7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(Decrease) increase in paid-in capital</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114"/>
              <w:spacing w:after="0"/>
              <w:rPr>
                <w:sz w:val="20"/>
                <w:szCs w:val="20"/>
                <w:color w:val="auto"/>
              </w:rPr>
            </w:pPr>
            <w:r>
              <w:rPr>
                <w:rFonts w:ascii="Arial" w:cs="Arial" w:eastAsia="Arial" w:hAnsi="Arial"/>
                <w:sz w:val="5"/>
                <w:szCs w:val="5"/>
                <w:color w:val="auto"/>
                <w:w w:val="70"/>
              </w:rPr>
              <w:t>$</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(2,548,967)</w:t>
            </w:r>
          </w:p>
        </w:tc>
        <w:tc>
          <w:tcPr>
            <w:tcW w:w="30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142,244</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(1,161)</w:t>
            </w:r>
          </w:p>
        </w:tc>
        <w:tc>
          <w:tcPr>
            <w:tcW w:w="520" w:type="dxa"/>
            <w:vAlign w:val="bottom"/>
            <w:shd w:val="clear" w:color="auto" w:fill="CCEEFF"/>
          </w:tcPr>
          <w:p>
            <w:pPr>
              <w:spacing w:after="0"/>
              <w:rPr>
                <w:sz w:val="12"/>
                <w:szCs w:val="12"/>
                <w:color w:val="auto"/>
              </w:rPr>
            </w:pPr>
          </w:p>
        </w:tc>
      </w:tr>
      <w:tr>
        <w:trPr>
          <w:trHeight w:val="148"/>
        </w:trPr>
        <w:tc>
          <w:tcPr>
            <w:tcW w:w="7100" w:type="dxa"/>
            <w:vAlign w:val="bottom"/>
          </w:tcPr>
          <w:p>
            <w:pPr>
              <w:spacing w:after="0" w:line="149" w:lineRule="exact"/>
              <w:rPr>
                <w:sz w:val="20"/>
                <w:szCs w:val="20"/>
                <w:color w:val="auto"/>
              </w:rPr>
            </w:pPr>
            <w:r>
              <w:rPr>
                <w:rFonts w:ascii="Arial" w:cs="Arial" w:eastAsia="Arial" w:hAnsi="Arial"/>
                <w:sz w:val="14"/>
                <w:szCs w:val="14"/>
                <w:color w:val="auto"/>
              </w:rPr>
              <w:t>(Decrease) increase in accumulated net realized gain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(1,449,411)</w:t>
            </w:r>
          </w:p>
        </w:tc>
        <w:tc>
          <w:tcPr>
            <w:tcW w:w="18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462,913</w:t>
            </w:r>
          </w:p>
        </w:tc>
        <w:tc>
          <w:tcPr>
            <w:tcW w:w="180" w:type="dxa"/>
            <w:vAlign w:val="bottom"/>
          </w:tcPr>
          <w:p>
            <w:pPr>
              <w:spacing w:after="0"/>
              <w:rPr>
                <w:sz w:val="12"/>
                <w:szCs w:val="12"/>
                <w:color w:val="auto"/>
              </w:rPr>
            </w:pPr>
          </w:p>
        </w:tc>
        <w:tc>
          <w:tcPr>
            <w:tcW w:w="13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1,519,280</w:t>
            </w:r>
          </w:p>
        </w:tc>
      </w:tr>
      <w:tr>
        <w:trPr>
          <w:trHeight w:val="149"/>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undistributed net investment income</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3,998,378</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(605,157)</w:t>
            </w:r>
          </w:p>
        </w:tc>
        <w:tc>
          <w:tcPr>
            <w:tcW w:w="1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(1,518,119)</w:t>
            </w:r>
          </w:p>
        </w:tc>
      </w:tr>
      <w:tr>
        <w:trPr>
          <w:trHeight w:val="379"/>
        </w:trPr>
        <w:tc>
          <w:tcPr>
            <w:tcW w:w="7100" w:type="dxa"/>
            <w:vAlign w:val="bottom"/>
          </w:tcPr>
          <w:p>
            <w:pPr>
              <w:ind w:left="440"/>
              <w:spacing w:after="0"/>
              <w:rPr>
                <w:sz w:val="20"/>
                <w:szCs w:val="20"/>
                <w:color w:val="auto"/>
              </w:rPr>
            </w:pPr>
            <w:r>
              <w:rPr>
                <w:rFonts w:ascii="Arial" w:cs="Arial" w:eastAsia="Arial" w:hAnsi="Arial"/>
                <w:sz w:val="14"/>
                <w:szCs w:val="14"/>
                <w:color w:val="auto"/>
              </w:rPr>
              <w:t>The following reconciles net increase (decrease) in net assets resulting from operations to taxable income: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49"/>
        </w:trPr>
        <w:tc>
          <w:tcPr>
            <w:tcW w:w="7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7"/>
          </w:tcPr>
          <w:p>
            <w:pPr>
              <w:jc w:val="center"/>
              <w:ind w:left="548"/>
              <w:spacing w:after="0"/>
              <w:rPr>
                <w:sz w:val="20"/>
                <w:szCs w:val="20"/>
                <w:color w:val="auto"/>
              </w:rPr>
            </w:pPr>
            <w:r>
              <w:rPr>
                <w:rFonts w:ascii="Arial" w:cs="Arial" w:eastAsia="Arial" w:hAnsi="Arial"/>
                <w:sz w:val="14"/>
                <w:szCs w:val="14"/>
                <w:b w:val="1"/>
                <w:bCs w:val="1"/>
                <w:color w:val="auto"/>
                <w:w w:val="92"/>
              </w:rPr>
              <w:t>Years Ended September 30,</w:t>
            </w:r>
          </w:p>
        </w:tc>
        <w:tc>
          <w:tcPr>
            <w:tcW w:w="82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r>
      <w:tr>
        <w:trPr>
          <w:trHeight w:val="142"/>
        </w:trPr>
        <w:tc>
          <w:tcPr>
            <w:tcW w:w="7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08"/>
              <w:spacing w:after="0" w:line="142" w:lineRule="exact"/>
              <w:rPr>
                <w:sz w:val="20"/>
                <w:szCs w:val="20"/>
                <w:color w:val="auto"/>
              </w:rPr>
            </w:pPr>
            <w:r>
              <w:rPr>
                <w:rFonts w:ascii="Arial" w:cs="Arial" w:eastAsia="Arial" w:hAnsi="Arial"/>
                <w:sz w:val="14"/>
                <w:szCs w:val="14"/>
                <w:b w:val="1"/>
                <w:bCs w:val="1"/>
                <w:color w:val="auto"/>
                <w:w w:val="96"/>
              </w:rPr>
              <w:t>2015</w:t>
            </w: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2"/>
                <w:szCs w:val="12"/>
                <w:color w:val="auto"/>
              </w:rPr>
            </w:pPr>
          </w:p>
        </w:tc>
      </w:tr>
      <w:tr>
        <w:trPr>
          <w:trHeight w:val="142"/>
        </w:trPr>
        <w:tc>
          <w:tcPr>
            <w:tcW w:w="7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increase (decrease) in net assets resulting from operations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114"/>
              <w:spacing w:after="0"/>
              <w:rPr>
                <w:sz w:val="20"/>
                <w:szCs w:val="20"/>
                <w:color w:val="auto"/>
              </w:rPr>
            </w:pPr>
            <w:r>
              <w:rPr>
                <w:rFonts w:ascii="Arial" w:cs="Arial" w:eastAsia="Arial" w:hAnsi="Arial"/>
                <w:sz w:val="5"/>
                <w:szCs w:val="5"/>
                <w:color w:val="auto"/>
                <w:w w:val="70"/>
              </w:rPr>
              <w:t>$</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18,736,706</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(10,245,652)</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110,983,477</w:t>
            </w:r>
          </w:p>
        </w:tc>
        <w:tc>
          <w:tcPr>
            <w:tcW w:w="520" w:type="dxa"/>
            <w:vAlign w:val="bottom"/>
            <w:shd w:val="clear" w:color="auto" w:fill="CCEEFF"/>
          </w:tcPr>
          <w:p>
            <w:pPr>
              <w:spacing w:after="0"/>
              <w:rPr>
                <w:sz w:val="12"/>
                <w:szCs w:val="12"/>
                <w:color w:val="auto"/>
              </w:rPr>
            </w:pPr>
          </w:p>
        </w:tc>
      </w:tr>
      <w:tr>
        <w:trPr>
          <w:trHeight w:val="148"/>
        </w:trPr>
        <w:tc>
          <w:tcPr>
            <w:tcW w:w="7100" w:type="dxa"/>
            <w:vAlign w:val="bottom"/>
          </w:tcPr>
          <w:p>
            <w:pPr>
              <w:spacing w:after="0" w:line="149" w:lineRule="exact"/>
              <w:rPr>
                <w:sz w:val="20"/>
                <w:szCs w:val="20"/>
                <w:color w:val="auto"/>
              </w:rPr>
            </w:pPr>
            <w:r>
              <w:rPr>
                <w:rFonts w:ascii="Arial" w:cs="Arial" w:eastAsia="Arial" w:hAnsi="Arial"/>
                <w:sz w:val="14"/>
                <w:szCs w:val="14"/>
                <w:color w:val="auto"/>
              </w:rPr>
              <w:t>Net realized loss (gain) on investments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80,530,707</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(8,249,375)</w:t>
            </w:r>
          </w:p>
        </w:tc>
        <w:tc>
          <w:tcPr>
            <w:tcW w:w="180" w:type="dxa"/>
            <w:vAlign w:val="bottom"/>
          </w:tcPr>
          <w:p>
            <w:pPr>
              <w:spacing w:after="0"/>
              <w:rPr>
                <w:sz w:val="12"/>
                <w:szCs w:val="12"/>
                <w:color w:val="auto"/>
              </w:rPr>
            </w:pP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(30,235,265)</w:t>
            </w:r>
          </w:p>
        </w:tc>
      </w:tr>
      <w:tr>
        <w:trPr>
          <w:trHeight w:val="148"/>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(appreciation) depreciation on investments and debt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(28,652,631)</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122,615,435</w:t>
            </w:r>
          </w:p>
        </w:tc>
        <w:tc>
          <w:tcPr>
            <w:tcW w:w="1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(9,419,695)</w:t>
            </w:r>
          </w:p>
        </w:tc>
      </w:tr>
      <w:tr>
        <w:trPr>
          <w:trHeight w:val="149"/>
        </w:trPr>
        <w:tc>
          <w:tcPr>
            <w:tcW w:w="7100" w:type="dxa"/>
            <w:vAlign w:val="bottom"/>
          </w:tcPr>
          <w:p>
            <w:pPr>
              <w:spacing w:after="0" w:line="149" w:lineRule="exact"/>
              <w:rPr>
                <w:sz w:val="20"/>
                <w:szCs w:val="20"/>
                <w:color w:val="auto"/>
              </w:rPr>
            </w:pPr>
            <w:r>
              <w:rPr>
                <w:rFonts w:ascii="Arial" w:cs="Arial" w:eastAsia="Arial" w:hAnsi="Arial"/>
                <w:sz w:val="14"/>
                <w:szCs w:val="14"/>
                <w:color w:val="auto"/>
              </w:rPr>
              <w:t>Other book-to-tax differences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(1,438,839)</w:t>
            </w:r>
          </w:p>
        </w:tc>
        <w:tc>
          <w:tcPr>
            <w:tcW w:w="18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2,294,934</w:t>
            </w:r>
          </w:p>
        </w:tc>
        <w:tc>
          <w:tcPr>
            <w:tcW w:w="180" w:type="dxa"/>
            <w:vAlign w:val="bottom"/>
          </w:tcPr>
          <w:p>
            <w:pPr>
              <w:spacing w:after="0"/>
              <w:rPr>
                <w:sz w:val="12"/>
                <w:szCs w:val="12"/>
                <w:color w:val="auto"/>
              </w:rPr>
            </w:pPr>
          </w:p>
        </w:tc>
        <w:tc>
          <w:tcPr>
            <w:tcW w:w="13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3,877,560</w:t>
            </w:r>
          </w:p>
        </w:tc>
      </w:tr>
      <w:tr>
        <w:trPr>
          <w:trHeight w:val="148"/>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non-deductible expenses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3,648,098</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82,151</w:t>
            </w:r>
          </w:p>
        </w:tc>
      </w:tr>
      <w:tr>
        <w:trPr>
          <w:trHeight w:val="155"/>
        </w:trPr>
        <w:tc>
          <w:tcPr>
            <w:tcW w:w="7100" w:type="dxa"/>
            <w:vAlign w:val="bottom"/>
          </w:tcPr>
          <w:p>
            <w:pPr>
              <w:spacing w:after="0" w:line="155" w:lineRule="exact"/>
              <w:rPr>
                <w:sz w:val="20"/>
                <w:szCs w:val="20"/>
                <w:color w:val="auto"/>
              </w:rPr>
            </w:pPr>
            <w:r>
              <w:rPr>
                <w:rFonts w:ascii="Arial" w:cs="Arial" w:eastAsia="Arial" w:hAnsi="Arial"/>
                <w:sz w:val="14"/>
                <w:szCs w:val="14"/>
                <w:color w:val="auto"/>
              </w:rPr>
              <w:t>Taxable income before dividends paid deduction</w:t>
            </w:r>
          </w:p>
        </w:tc>
        <w:tc>
          <w:tcPr>
            <w:tcW w:w="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72,824,041</w:t>
            </w:r>
          </w:p>
        </w:tc>
        <w:tc>
          <w:tcPr>
            <w:tcW w:w="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106,415,342</w:t>
            </w:r>
          </w:p>
        </w:tc>
        <w:tc>
          <w:tcPr>
            <w:tcW w:w="3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75,288,228</w:t>
            </w:r>
          </w:p>
        </w:tc>
        <w:tc>
          <w:tcPr>
            <w:tcW w:w="520" w:type="dxa"/>
            <w:vAlign w:val="bottom"/>
          </w:tcPr>
          <w:p>
            <w:pPr>
              <w:spacing w:after="0"/>
              <w:rPr>
                <w:sz w:val="13"/>
                <w:szCs w:val="13"/>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components of undistributed taxable income on a tax basis and reconciliation to accumulated deficit on a book basis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As of September 30,</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88"/>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Undistributed ordinary income – tax basis</w:t>
            </w:r>
          </w:p>
        </w:tc>
        <w:tc>
          <w:tcPr>
            <w:tcW w:w="23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w w:val="88"/>
              </w:rPr>
              <w:t>31,137,312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16,915,624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16,082,048</w:t>
            </w: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line="149" w:lineRule="exact"/>
              <w:rPr>
                <w:sz w:val="20"/>
                <w:szCs w:val="20"/>
                <w:color w:val="auto"/>
              </w:rPr>
            </w:pPr>
            <w:r>
              <w:rPr>
                <w:rFonts w:ascii="Arial" w:cs="Arial" w:eastAsia="Arial" w:hAnsi="Arial"/>
                <w:sz w:val="14"/>
                <w:szCs w:val="14"/>
                <w:color w:val="auto"/>
              </w:rPr>
              <w:t>Undistributed long-term capital (loss carryforward) gain</w:t>
            </w: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(81,242,318)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21,711,007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(8,518,111)</w:t>
            </w: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payable and other book to tax differences</w:t>
            </w:r>
          </w:p>
        </w:tc>
        <w:tc>
          <w:tcPr>
            <w:tcW w:w="2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(31,547,434)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(33,132,212)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(31,021,819)</w:t>
            </w:r>
          </w:p>
        </w:tc>
        <w:tc>
          <w:tcPr>
            <w:tcW w:w="0" w:type="dxa"/>
            <w:vAlign w:val="bottom"/>
          </w:tcPr>
          <w:p>
            <w:pPr>
              <w:spacing w:after="0"/>
              <w:rPr>
                <w:sz w:val="1"/>
                <w:szCs w:val="1"/>
                <w:color w:val="auto"/>
              </w:rPr>
            </w:pPr>
          </w:p>
        </w:tc>
      </w:tr>
      <w:tr>
        <w:trPr>
          <w:trHeight w:val="148"/>
        </w:trPr>
        <w:tc>
          <w:tcPr>
            <w:tcW w:w="4800" w:type="dxa"/>
            <w:vAlign w:val="bottom"/>
          </w:tcPr>
          <w:p>
            <w:pPr>
              <w:spacing w:after="0" w:line="149" w:lineRule="exact"/>
              <w:rPr>
                <w:sz w:val="20"/>
                <w:szCs w:val="20"/>
                <w:color w:val="auto"/>
              </w:rPr>
            </w:pPr>
            <w:r>
              <w:rPr>
                <w:rFonts w:ascii="Arial" w:cs="Arial" w:eastAsia="Arial" w:hAnsi="Arial"/>
                <w:sz w:val="14"/>
                <w:szCs w:val="14"/>
                <w:color w:val="auto"/>
              </w:rPr>
              <w:t>Net unrealized depreciation of investments and debt</w:t>
            </w: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(95,035,441)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(123,688,072)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(1,072,637)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accumulated deficit – book basis</w:t>
            </w:r>
          </w:p>
        </w:tc>
        <w:tc>
          <w:tcPr>
            <w:tcW w:w="24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(176,687,881)</w:t>
            </w:r>
          </w:p>
        </w:tc>
        <w:tc>
          <w:tcPr>
            <w:tcW w:w="3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(118,193,653)</w:t>
            </w:r>
          </w:p>
        </w:tc>
        <w:tc>
          <w:tcPr>
            <w:tcW w:w="2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(24,530,519)</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440"/>
              <w:spacing w:after="0"/>
              <w:rPr>
                <w:sz w:val="20"/>
                <w:szCs w:val="20"/>
                <w:color w:val="auto"/>
              </w:rPr>
            </w:pPr>
            <w:r>
              <w:rPr>
                <w:rFonts w:ascii="Arial" w:cs="Arial" w:eastAsia="Arial" w:hAnsi="Arial"/>
                <w:sz w:val="14"/>
                <w:szCs w:val="14"/>
                <w:color w:val="auto"/>
              </w:rPr>
              <w:t>The tax characteristics of distributions declared are as follows:</w:t>
            </w:r>
          </w:p>
        </w:tc>
        <w:tc>
          <w:tcPr>
            <w:tcW w:w="2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480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8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jc w:val="center"/>
              <w:ind w:left="588"/>
              <w:spacing w:after="0"/>
              <w:rPr>
                <w:sz w:val="20"/>
                <w:szCs w:val="20"/>
                <w:color w:val="auto"/>
              </w:rPr>
            </w:pPr>
            <w:r>
              <w:rPr>
                <w:rFonts w:ascii="Arial" w:cs="Arial" w:eastAsia="Arial" w:hAnsi="Arial"/>
                <w:sz w:val="14"/>
                <w:szCs w:val="14"/>
                <w:b w:val="1"/>
                <w:bCs w:val="1"/>
                <w:color w:val="auto"/>
                <w:w w:val="92"/>
              </w:rPr>
              <w:t>Years Ended September 30,</w:t>
            </w:r>
          </w:p>
        </w:tc>
        <w:tc>
          <w:tcPr>
            <w:tcW w:w="82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0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88"/>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Ordinary income</w:t>
            </w:r>
          </w:p>
        </w:tc>
        <w:tc>
          <w:tcPr>
            <w:tcW w:w="23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w w:val="88"/>
              </w:rPr>
              <w:t>58,068,894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83,275,238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76,937,761</w:t>
            </w: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line="149" w:lineRule="exact"/>
              <w:rPr>
                <w:sz w:val="20"/>
                <w:szCs w:val="20"/>
                <w:color w:val="auto"/>
              </w:rPr>
            </w:pPr>
            <w:r>
              <w:rPr>
                <w:rFonts w:ascii="Arial" w:cs="Arial" w:eastAsia="Arial" w:hAnsi="Arial"/>
                <w:sz w:val="14"/>
                <w:szCs w:val="14"/>
                <w:color w:val="auto"/>
              </w:rPr>
              <w:t>Long-term capital gain</w:t>
            </w: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21,711,007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distributions</w:t>
            </w:r>
          </w:p>
        </w:tc>
        <w:tc>
          <w:tcPr>
            <w:tcW w:w="24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79,779,901</w:t>
            </w:r>
          </w:p>
        </w:tc>
        <w:tc>
          <w:tcPr>
            <w:tcW w:w="3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83,275,238</w:t>
            </w:r>
          </w:p>
        </w:tc>
        <w:tc>
          <w:tcPr>
            <w:tcW w:w="2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76,937,761</w:t>
            </w:r>
          </w:p>
        </w:tc>
        <w:tc>
          <w:tcPr>
            <w:tcW w:w="0" w:type="dxa"/>
            <w:vAlign w:val="bottom"/>
          </w:tcPr>
          <w:p>
            <w:pPr>
              <w:spacing w:after="0"/>
              <w:rPr>
                <w:sz w:val="1"/>
                <w:szCs w:val="1"/>
                <w:color w:val="auto"/>
              </w:rPr>
            </w:pPr>
          </w:p>
        </w:tc>
      </w:tr>
      <w:tr>
        <w:trPr>
          <w:trHeight w:val="155"/>
        </w:trPr>
        <w:tc>
          <w:tcPr>
            <w:tcW w:w="4800" w:type="dxa"/>
            <w:vAlign w:val="bottom"/>
          </w:tcPr>
          <w:p>
            <w:pPr>
              <w:spacing w:after="0" w:line="155" w:lineRule="exact"/>
              <w:rPr>
                <w:sz w:val="20"/>
                <w:szCs w:val="20"/>
                <w:color w:val="auto"/>
              </w:rPr>
            </w:pPr>
            <w:r>
              <w:rPr>
                <w:rFonts w:ascii="Arial" w:cs="Arial" w:eastAsia="Arial" w:hAnsi="Arial"/>
                <w:sz w:val="14"/>
                <w:szCs w:val="14"/>
                <w:color w:val="auto"/>
              </w:rPr>
              <w:t>Total distributions per share based on weighted average shares</w:t>
            </w:r>
          </w:p>
        </w:tc>
        <w:tc>
          <w:tcPr>
            <w:tcW w:w="23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ind w:left="600"/>
              <w:spacing w:after="0" w:line="155" w:lineRule="exact"/>
              <w:rPr>
                <w:sz w:val="20"/>
                <w:szCs w:val="20"/>
                <w:color w:val="auto"/>
              </w:rPr>
            </w:pPr>
            <w:r>
              <w:rPr>
                <w:rFonts w:ascii="Arial" w:cs="Arial" w:eastAsia="Arial" w:hAnsi="Arial"/>
                <w:sz w:val="14"/>
                <w:szCs w:val="14"/>
                <w:color w:val="auto"/>
                <w:w w:val="80"/>
              </w:rPr>
              <w:t>1.11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4800" w:type="dxa"/>
            <w:vAlign w:val="bottom"/>
          </w:tcPr>
          <w:p>
            <w:pPr>
              <w:spacing w:after="0"/>
              <w:rPr>
                <w:sz w:val="24"/>
                <w:szCs w:val="24"/>
                <w:color w:val="auto"/>
              </w:rPr>
            </w:pPr>
          </w:p>
        </w:tc>
        <w:tc>
          <w:tcPr>
            <w:tcW w:w="2300" w:type="dxa"/>
            <w:vAlign w:val="bottom"/>
          </w:tcPr>
          <w:p>
            <w:pPr>
              <w:jc w:val="right"/>
              <w:ind w:right="1328"/>
              <w:spacing w:after="0"/>
              <w:rPr>
                <w:sz w:val="20"/>
                <w:szCs w:val="20"/>
                <w:color w:val="auto"/>
              </w:rPr>
            </w:pPr>
            <w:r>
              <w:rPr>
                <w:rFonts w:ascii="Arial" w:cs="Arial" w:eastAsia="Arial" w:hAnsi="Arial"/>
                <w:sz w:val="14"/>
                <w:szCs w:val="14"/>
                <w:color w:val="auto"/>
              </w:rPr>
              <w:t>67</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CASH EQUIVALENTS</w:t>
      </w:r>
    </w:p>
    <w:p>
      <w:pPr>
        <w:spacing w:after="0" w:line="100"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2016 and 2015, cash and cash equivalents consisted of $75.6 million and $49.6 million at fair value,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FINANCIAL HIGHLIGHTS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80" w:type="dxa"/>
            <w:vAlign w:val="bottom"/>
          </w:tcPr>
          <w:p>
            <w:pPr>
              <w:ind w:left="560"/>
              <w:spacing w:after="0"/>
              <w:rPr>
                <w:sz w:val="20"/>
                <w:szCs w:val="20"/>
                <w:color w:val="auto"/>
              </w:rPr>
            </w:pPr>
            <w:r>
              <w:rPr>
                <w:rFonts w:ascii="Arial" w:cs="Arial" w:eastAsia="Arial" w:hAnsi="Arial"/>
                <w:sz w:val="14"/>
                <w:szCs w:val="14"/>
                <w:color w:val="auto"/>
              </w:rPr>
              <w:t>Below are the financial highlights for the years ended September 30:</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50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12"/>
                <w:szCs w:val="12"/>
                <w:b w:val="1"/>
                <w:bCs w:val="1"/>
                <w:color w:val="auto"/>
              </w:rPr>
              <w:t>(9)</w:t>
            </w:r>
          </w:p>
        </w:tc>
        <w:tc>
          <w:tcPr>
            <w:tcW w:w="3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xml:space="preserve">2012 </w:t>
            </w:r>
            <w:r>
              <w:rPr>
                <w:rFonts w:ascii="Arial" w:cs="Arial" w:eastAsia="Arial" w:hAnsi="Arial"/>
                <w:sz w:val="12"/>
                <w:szCs w:val="12"/>
                <w:b w:val="1"/>
                <w:bCs w:val="1"/>
                <w:color w:val="auto"/>
              </w:rPr>
              <w:t>(9)</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0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year</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9.82</w:t>
            </w:r>
          </w:p>
        </w:tc>
        <w:tc>
          <w:tcPr>
            <w:tcW w:w="2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11.03</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10.49</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10.22</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0.99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1.10</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1.06</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1.01</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8"/>
        </w:trPr>
        <w:tc>
          <w:tcPr>
            <w:tcW w:w="5080" w:type="dxa"/>
            <w:vAlign w:val="bottom"/>
          </w:tcPr>
          <w:p>
            <w:pPr>
              <w:spacing w:after="0" w:line="149" w:lineRule="exact"/>
              <w:rPr>
                <w:sz w:val="20"/>
                <w:szCs w:val="20"/>
                <w:color w:val="auto"/>
              </w:rPr>
            </w:pPr>
            <w:r>
              <w:rPr>
                <w:rFonts w:ascii="Arial" w:cs="Arial" w:eastAsia="Arial" w:hAnsi="Arial"/>
                <w:sz w:val="14"/>
                <w:szCs w:val="14"/>
                <w:color w:val="auto"/>
              </w:rPr>
              <w:t xml:space="preserve">Net realized and unrealized (loss) gain </w:t>
            </w:r>
            <w:r>
              <w:rPr>
                <w:rFonts w:ascii="Arial" w:cs="Arial" w:eastAsia="Arial" w:hAnsi="Arial"/>
                <w:sz w:val="12"/>
                <w:szCs w:val="12"/>
                <w:color w:val="auto"/>
              </w:rPr>
              <w:t>(1)</w:t>
            </w:r>
          </w:p>
        </w:tc>
        <w:tc>
          <w:tcPr>
            <w:tcW w:w="1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(0.73)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(1.24)</w:t>
            </w:r>
          </w:p>
        </w:tc>
        <w:tc>
          <w:tcPr>
            <w:tcW w:w="14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0.60</w:t>
            </w:r>
          </w:p>
        </w:tc>
        <w:tc>
          <w:tcPr>
            <w:tcW w:w="16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0.38</w:t>
            </w: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increase (decrease) in net assets resulting from operations </w:t>
            </w:r>
            <w:r>
              <w:rPr>
                <w:rFonts w:ascii="Arial" w:cs="Arial" w:eastAsia="Arial" w:hAnsi="Arial"/>
                <w:sz w:val="12"/>
                <w:szCs w:val="12"/>
                <w:color w:val="auto"/>
              </w:rPr>
              <w:t>(1)</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(0.14)</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1.66</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1.39</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Distribution of net investment income</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(0.81)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(1.11)</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(1.12)</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8"/>
        </w:trPr>
        <w:tc>
          <w:tcPr>
            <w:tcW w:w="5080" w:type="dxa"/>
            <w:vAlign w:val="bottom"/>
          </w:tcPr>
          <w:p>
            <w:pPr>
              <w:ind w:left="300"/>
              <w:spacing w:after="0" w:line="149" w:lineRule="exact"/>
              <w:rPr>
                <w:sz w:val="20"/>
                <w:szCs w:val="20"/>
                <w:color w:val="auto"/>
              </w:rPr>
            </w:pPr>
            <w:r>
              <w:rPr>
                <w:rFonts w:ascii="Arial" w:cs="Arial" w:eastAsia="Arial" w:hAnsi="Arial"/>
                <w:sz w:val="14"/>
                <w:szCs w:val="14"/>
                <w:color w:val="auto"/>
              </w:rPr>
              <w:t>Distribution of realized gains</w:t>
            </w:r>
          </w:p>
        </w:tc>
        <w:tc>
          <w:tcPr>
            <w:tcW w:w="1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distributions to stockholders</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(1.11)</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(1.12)</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12"/>
                <w:szCs w:val="12"/>
                <w:color w:val="auto"/>
              </w:rPr>
              <w:t>(1)</w:t>
            </w:r>
          </w:p>
        </w:tc>
        <w:tc>
          <w:tcPr>
            <w:tcW w:w="16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0.04</w:t>
            </w:r>
          </w:p>
        </w:tc>
        <w:tc>
          <w:tcPr>
            <w:tcW w:w="14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Accretive (dilutive) effect of common stock issuance </w:t>
            </w:r>
            <w:r>
              <w:rPr>
                <w:rFonts w:ascii="Arial" w:cs="Arial" w:eastAsia="Arial" w:hAnsi="Arial"/>
                <w:sz w:val="12"/>
                <w:szCs w:val="12"/>
                <w:color w:val="auto"/>
              </w:rPr>
              <w:t>(1)</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0.03</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55"/>
        </w:trPr>
        <w:tc>
          <w:tcPr>
            <w:tcW w:w="5080" w:type="dxa"/>
            <w:vAlign w:val="bottom"/>
          </w:tcPr>
          <w:p>
            <w:pPr>
              <w:spacing w:after="0" w:line="155" w:lineRule="exact"/>
              <w:rPr>
                <w:sz w:val="20"/>
                <w:szCs w:val="20"/>
                <w:color w:val="auto"/>
              </w:rPr>
            </w:pPr>
            <w:r>
              <w:rPr>
                <w:rFonts w:ascii="Arial" w:cs="Arial" w:eastAsia="Arial" w:hAnsi="Arial"/>
                <w:sz w:val="14"/>
                <w:szCs w:val="14"/>
                <w:color w:val="auto"/>
              </w:rPr>
              <w:t>Net asset value, end of year</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9.82</w:t>
            </w:r>
          </w:p>
        </w:tc>
        <w:tc>
          <w:tcPr>
            <w:tcW w:w="3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11.03</w:t>
            </w:r>
          </w:p>
        </w:tc>
        <w:tc>
          <w:tcPr>
            <w:tcW w:w="3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10.49</w:t>
            </w:r>
          </w:p>
        </w:tc>
        <w:tc>
          <w:tcPr>
            <w:tcW w:w="3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Per share market value, end of year</w:t>
            </w:r>
          </w:p>
        </w:tc>
        <w:tc>
          <w:tcPr>
            <w:tcW w:w="16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7.52</w:t>
            </w:r>
          </w:p>
        </w:tc>
        <w:tc>
          <w:tcPr>
            <w:tcW w:w="220" w:type="dxa"/>
            <w:vAlign w:val="bottom"/>
            <w:gridSpan w:val="2"/>
            <w:shd w:val="clear" w:color="auto" w:fill="CCEEFF"/>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6.47</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20"/>
              <w:spacing w:after="0" w:line="143" w:lineRule="exact"/>
              <w:rPr>
                <w:sz w:val="20"/>
                <w:szCs w:val="20"/>
                <w:color w:val="auto"/>
              </w:rPr>
            </w:pPr>
            <w:r>
              <w:rPr>
                <w:rFonts w:ascii="Arial" w:cs="Arial" w:eastAsia="Arial" w:hAnsi="Arial"/>
                <w:sz w:val="14"/>
                <w:szCs w:val="14"/>
                <w:color w:val="auto"/>
              </w:rPr>
              <w:t>10.91</w:t>
            </w:r>
          </w:p>
        </w:tc>
        <w:tc>
          <w:tcPr>
            <w:tcW w:w="16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11.28</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10.61</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36.64%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(32.51)%</w:t>
            </w:r>
          </w:p>
        </w:tc>
        <w:tc>
          <w:tcPr>
            <w:tcW w:w="140" w:type="dxa"/>
            <w:vAlign w:val="bottom"/>
          </w:tcPr>
          <w:p>
            <w:pPr>
              <w:spacing w:after="0"/>
              <w:rPr>
                <w:sz w:val="12"/>
                <w:szCs w:val="12"/>
                <w:color w:val="auto"/>
              </w:rPr>
            </w:pPr>
          </w:p>
        </w:tc>
        <w:tc>
          <w:tcPr>
            <w:tcW w:w="11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6.76%</w:t>
            </w:r>
          </w:p>
        </w:tc>
        <w:tc>
          <w:tcPr>
            <w:tcW w:w="160" w:type="dxa"/>
            <w:vAlign w:val="bottom"/>
          </w:tcPr>
          <w:p>
            <w:pPr>
              <w:spacing w:after="0"/>
              <w:rPr>
                <w:sz w:val="12"/>
                <w:szCs w:val="12"/>
                <w:color w:val="auto"/>
              </w:rPr>
            </w:pPr>
          </w:p>
        </w:tc>
        <w:tc>
          <w:tcPr>
            <w:tcW w:w="112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17.37%</w:t>
            </w:r>
          </w:p>
        </w:tc>
        <w:tc>
          <w:tcPr>
            <w:tcW w:w="140" w:type="dxa"/>
            <w:vAlign w:val="bottom"/>
          </w:tcPr>
          <w:p>
            <w:pPr>
              <w:spacing w:after="0"/>
              <w:rPr>
                <w:sz w:val="12"/>
                <w:szCs w:val="12"/>
                <w:color w:val="auto"/>
              </w:rPr>
            </w:pPr>
          </w:p>
        </w:tc>
        <w:tc>
          <w:tcPr>
            <w:tcW w:w="9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28.71%</w:t>
            </w: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outstanding at end of year</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71,060,836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72,966,043</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75,092,911</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66,499,327</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65,514,503</w:t>
            </w:r>
          </w:p>
        </w:tc>
        <w:tc>
          <w:tcPr>
            <w:tcW w:w="0" w:type="dxa"/>
            <w:vAlign w:val="bottom"/>
          </w:tcPr>
          <w:p>
            <w:pPr>
              <w:spacing w:after="0"/>
              <w:rPr>
                <w:sz w:val="1"/>
                <w:szCs w:val="1"/>
                <w:color w:val="auto"/>
              </w:rPr>
            </w:pPr>
          </w:p>
        </w:tc>
      </w:tr>
      <w:tr>
        <w:trPr>
          <w:trHeight w:val="155"/>
        </w:trPr>
        <w:tc>
          <w:tcPr>
            <w:tcW w:w="5080" w:type="dxa"/>
            <w:vAlign w:val="bottom"/>
          </w:tcPr>
          <w:p>
            <w:pPr>
              <w:spacing w:after="0" w:line="155" w:lineRule="exact"/>
              <w:rPr>
                <w:sz w:val="20"/>
                <w:szCs w:val="20"/>
                <w:color w:val="auto"/>
              </w:rPr>
            </w:pPr>
            <w:r>
              <w:rPr>
                <w:rFonts w:ascii="Arial" w:cs="Arial" w:eastAsia="Arial" w:hAnsi="Arial"/>
                <w:sz w:val="14"/>
                <w:szCs w:val="14"/>
                <w:b w:val="1"/>
                <w:bCs w:val="1"/>
                <w:color w:val="auto"/>
              </w:rPr>
              <w:t>Ratio / Supplemental Data:</w:t>
            </w: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 (5)</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6.81%</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6.43%</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6.31%</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148"/>
        </w:trPr>
        <w:tc>
          <w:tcPr>
            <w:tcW w:w="5080" w:type="dxa"/>
            <w:vAlign w:val="bottom"/>
          </w:tcPr>
          <w:p>
            <w:pPr>
              <w:spacing w:after="0" w:line="149" w:lineRule="exact"/>
              <w:rPr>
                <w:sz w:val="20"/>
                <w:szCs w:val="20"/>
                <w:color w:val="auto"/>
              </w:rPr>
            </w:pPr>
            <w:r>
              <w:rPr>
                <w:rFonts w:ascii="Arial" w:cs="Arial" w:eastAsia="Arial" w:hAnsi="Arial"/>
                <w:sz w:val="14"/>
                <w:szCs w:val="14"/>
                <w:color w:val="auto"/>
              </w:rPr>
              <w:t xml:space="preserve">Ratio of Credit Facility related expenses to average net assets </w:t>
            </w:r>
            <w:r>
              <w:rPr>
                <w:rFonts w:ascii="Arial" w:cs="Arial" w:eastAsia="Arial" w:hAnsi="Arial"/>
                <w:sz w:val="12"/>
                <w:szCs w:val="12"/>
                <w:color w:val="auto"/>
              </w:rPr>
              <w:t>(6)</w:t>
            </w: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3.39%</w:t>
            </w:r>
          </w:p>
        </w:tc>
        <w:tc>
          <w:tcPr>
            <w:tcW w:w="14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3.83%</w:t>
            </w:r>
          </w:p>
        </w:tc>
        <w:tc>
          <w:tcPr>
            <w:tcW w:w="16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2.60%</w:t>
            </w:r>
          </w:p>
        </w:tc>
        <w:tc>
          <w:tcPr>
            <w:tcW w:w="14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 (6)</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10.83%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10.20%</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10.26%</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8.91%</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10.70%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10.57%</w:t>
            </w:r>
          </w:p>
        </w:tc>
        <w:tc>
          <w:tcPr>
            <w:tcW w:w="14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9.55%</w:t>
            </w:r>
          </w:p>
        </w:tc>
        <w:tc>
          <w:tcPr>
            <w:tcW w:w="16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9.60%</w:t>
            </w:r>
          </w:p>
        </w:tc>
        <w:tc>
          <w:tcPr>
            <w:tcW w:w="14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10.32%</w:t>
            </w:r>
          </w:p>
        </w:tc>
        <w:tc>
          <w:tcPr>
            <w:tcW w:w="0" w:type="dxa"/>
            <w:vAlign w:val="bottom"/>
          </w:tcPr>
          <w:p>
            <w:pPr>
              <w:spacing w:after="0"/>
              <w:rPr>
                <w:sz w:val="1"/>
                <w:szCs w:val="1"/>
                <w:color w:val="auto"/>
              </w:rPr>
            </w:pPr>
          </w:p>
        </w:tc>
      </w:tr>
      <w:tr>
        <w:trPr>
          <w:trHeight w:val="148"/>
        </w:trPr>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assets at end of year</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7"/>
              </w:rPr>
              <w:t>643,366,856</w:t>
            </w:r>
          </w:p>
        </w:tc>
        <w:tc>
          <w:tcPr>
            <w:tcW w:w="2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716,590,542</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828,009,949</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7"/>
              </w:rPr>
              <w:t>697,506,199</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669,717,047</w:t>
            </w:r>
          </w:p>
        </w:tc>
        <w:tc>
          <w:tcPr>
            <w:tcW w:w="0" w:type="dxa"/>
            <w:vAlign w:val="bottom"/>
          </w:tcPr>
          <w:p>
            <w:pPr>
              <w:spacing w:after="0"/>
              <w:rPr>
                <w:sz w:val="1"/>
                <w:szCs w:val="1"/>
                <w:color w:val="auto"/>
              </w:rPr>
            </w:pPr>
          </w:p>
        </w:tc>
      </w:tr>
      <w:tr>
        <w:trPr>
          <w:trHeight w:val="163"/>
        </w:trPr>
        <w:tc>
          <w:tcPr>
            <w:tcW w:w="508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(6)</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634,769,508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580,367,750</w:t>
            </w:r>
          </w:p>
        </w:tc>
        <w:tc>
          <w:tcPr>
            <w:tcW w:w="3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526,252,068</w:t>
            </w:r>
          </w:p>
        </w:tc>
        <w:tc>
          <w:tcPr>
            <w:tcW w:w="3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363,246,849</w:t>
            </w:r>
          </w:p>
        </w:tc>
        <w:tc>
          <w:tcPr>
            <w:tcW w:w="3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340,868,033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(6)</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8.86</w:t>
            </w:r>
          </w:p>
        </w:tc>
        <w:tc>
          <w:tcPr>
            <w:tcW w:w="2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7.76</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7.85</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5.47</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(7)</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2,756</w:t>
            </w:r>
          </w:p>
        </w:tc>
        <w:tc>
          <w:tcPr>
            <w:tcW w:w="2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2,569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3,198</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4,261</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5,636</w:t>
            </w:r>
          </w:p>
        </w:tc>
        <w:tc>
          <w:tcPr>
            <w:tcW w:w="0" w:type="dxa"/>
            <w:vAlign w:val="bottom"/>
          </w:tcPr>
          <w:p>
            <w:pPr>
              <w:spacing w:after="0"/>
              <w:rPr>
                <w:sz w:val="1"/>
                <w:szCs w:val="1"/>
                <w:color w:val="auto"/>
              </w:rPr>
            </w:pPr>
          </w:p>
        </w:tc>
      </w:tr>
      <w:tr>
        <w:trPr>
          <w:trHeight w:val="148"/>
        </w:trPr>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Average market value per unit </w:t>
            </w:r>
            <w:r>
              <w:rPr>
                <w:rFonts w:ascii="Arial" w:cs="Arial" w:eastAsia="Arial" w:hAnsi="Arial"/>
                <w:sz w:val="12"/>
                <w:szCs w:val="12"/>
                <w:color w:val="auto"/>
              </w:rPr>
              <w:t>(8)</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24.68</w:t>
            </w:r>
          </w:p>
        </w:tc>
        <w:tc>
          <w:tcPr>
            <w:tcW w:w="2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25.13</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24.51</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24.79</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2"/>
        </w:trPr>
        <w:tc>
          <w:tcPr>
            <w:tcW w:w="508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16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26.50%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30.17%</w:t>
            </w:r>
          </w:p>
        </w:tc>
        <w:tc>
          <w:tcPr>
            <w:tcW w:w="14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50.66%</w:t>
            </w:r>
          </w:p>
        </w:tc>
        <w:tc>
          <w:tcPr>
            <w:tcW w:w="16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40.91%</w:t>
            </w:r>
          </w:p>
        </w:tc>
        <w:tc>
          <w:tcPr>
            <w:tcW w:w="14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22.81%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8516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38" w:lineRule="exact"/>
        <w:rPr>
          <w:sz w:val="20"/>
          <w:szCs w:val="20"/>
          <w:color w:val="auto"/>
        </w:rPr>
      </w:pPr>
    </w:p>
    <w:p>
      <w:pPr>
        <w:ind w:left="560" w:hanging="552"/>
        <w:spacing w:after="0"/>
        <w:tabs>
          <w:tab w:leader="none" w:pos="560" w:val="left"/>
        </w:tabs>
        <w:numPr>
          <w:ilvl w:val="0"/>
          <w:numId w:val="44"/>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560" w:right="140" w:hanging="552"/>
        <w:spacing w:after="0" w:line="221" w:lineRule="auto"/>
        <w:tabs>
          <w:tab w:leader="none" w:pos="560" w:val="left"/>
        </w:tabs>
        <w:numPr>
          <w:ilvl w:val="0"/>
          <w:numId w:val="44"/>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560" w:hanging="552"/>
        <w:spacing w:after="0" w:line="221" w:lineRule="auto"/>
        <w:tabs>
          <w:tab w:leader="none" w:pos="560" w:val="left"/>
        </w:tabs>
        <w:numPr>
          <w:ilvl w:val="0"/>
          <w:numId w:val="44"/>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ind w:left="560" w:hanging="552"/>
        <w:spacing w:after="0" w:line="221" w:lineRule="auto"/>
        <w:tabs>
          <w:tab w:leader="none" w:pos="560" w:val="left"/>
        </w:tabs>
        <w:numPr>
          <w:ilvl w:val="0"/>
          <w:numId w:val="44"/>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560" w:right="40" w:hanging="552"/>
        <w:spacing w:after="0" w:line="221" w:lineRule="auto"/>
        <w:tabs>
          <w:tab w:leader="none" w:pos="560" w:val="left"/>
        </w:tabs>
        <w:numPr>
          <w:ilvl w:val="0"/>
          <w:numId w:val="44"/>
        </w:numPr>
        <w:rPr>
          <w:rFonts w:ascii="Arial" w:cs="Arial" w:eastAsia="Arial" w:hAnsi="Arial"/>
          <w:sz w:val="12"/>
          <w:szCs w:val="12"/>
          <w:color w:val="auto"/>
        </w:rPr>
      </w:pPr>
      <w:r>
        <w:rPr>
          <w:rFonts w:ascii="Arial" w:cs="Arial" w:eastAsia="Arial" w:hAnsi="Arial"/>
          <w:sz w:val="14"/>
          <w:szCs w:val="14"/>
          <w:color w:val="auto"/>
        </w:rPr>
        <w:t>For the year ended September 30, 2016, the ratio of operating expenses before the waiver of Management Fees to average net assets was 7.64% and the ratio of total expenses before the waiver of Management Fees to average net assets was 11.82%.</w:t>
      </w:r>
    </w:p>
    <w:p>
      <w:pPr>
        <w:ind w:left="560" w:hanging="552"/>
        <w:spacing w:after="0" w:line="221" w:lineRule="auto"/>
        <w:tabs>
          <w:tab w:leader="none" w:pos="560" w:val="left"/>
        </w:tabs>
        <w:numPr>
          <w:ilvl w:val="0"/>
          <w:numId w:val="44"/>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ind w:left="560" w:right="240" w:hanging="552"/>
        <w:spacing w:after="0" w:line="238" w:lineRule="auto"/>
        <w:tabs>
          <w:tab w:leader="none" w:pos="560" w:val="left"/>
        </w:tabs>
        <w:numPr>
          <w:ilvl w:val="0"/>
          <w:numId w:val="44"/>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This asset coverage ratio is multiplied by $1,000 to determine the asset coverage per unit. These amounts exclude SBA debentures from our asset coverage per unit computation pursuant to an exemptive relief letter provided by the SEC in June 2011.</w:t>
      </w:r>
    </w:p>
    <w:p>
      <w:pPr>
        <w:ind w:left="560" w:right="640" w:hanging="552"/>
        <w:spacing w:after="0" w:line="221" w:lineRule="auto"/>
        <w:tabs>
          <w:tab w:leader="none" w:pos="560" w:val="left"/>
        </w:tabs>
        <w:numPr>
          <w:ilvl w:val="0"/>
          <w:numId w:val="44"/>
        </w:numPr>
        <w:rPr>
          <w:rFonts w:ascii="Arial" w:cs="Arial" w:eastAsia="Arial" w:hAnsi="Arial"/>
          <w:sz w:val="12"/>
          <w:szCs w:val="12"/>
          <w:color w:val="auto"/>
        </w:rPr>
      </w:pPr>
      <w:r>
        <w:rPr>
          <w:rFonts w:ascii="Arial" w:cs="Arial" w:eastAsia="Arial" w:hAnsi="Arial"/>
          <w:sz w:val="14"/>
          <w:szCs w:val="14"/>
          <w:color w:val="auto"/>
        </w:rPr>
        <w:t>The average market value per unit is derived based on the monthly average closing price of the 2025 Notes trading on NYSE under the symbol “PNTA,” which were issued in increments of $25 per unit.</w:t>
      </w:r>
    </w:p>
    <w:p>
      <w:pPr>
        <w:ind w:left="560" w:hanging="552"/>
        <w:spacing w:after="0"/>
        <w:tabs>
          <w:tab w:leader="none" w:pos="560" w:val="left"/>
        </w:tabs>
        <w:numPr>
          <w:ilvl w:val="0"/>
          <w:numId w:val="44"/>
        </w:numPr>
        <w:rPr>
          <w:rFonts w:ascii="Arial" w:cs="Arial" w:eastAsia="Arial" w:hAnsi="Arial"/>
          <w:sz w:val="12"/>
          <w:szCs w:val="12"/>
          <w:color w:val="auto"/>
        </w:rPr>
      </w:pPr>
      <w:r>
        <w:rPr>
          <w:rFonts w:ascii="Arial" w:cs="Arial" w:eastAsia="Arial" w:hAnsi="Arial"/>
          <w:sz w:val="14"/>
          <w:szCs w:val="14"/>
          <w:color w:val="auto"/>
        </w:rPr>
        <w:t>Audited by predecessor auditors.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240"/>
          </w:cols>
          <w:pgMar w:left="32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rPr>
          <w:sz w:val="20"/>
          <w:szCs w:val="20"/>
          <w:color w:val="auto"/>
        </w:rPr>
      </w:pPr>
      <w:r>
        <w:rPr>
          <w:rFonts w:ascii="Arial" w:cs="Arial" w:eastAsia="Arial" w:hAnsi="Arial"/>
          <w:sz w:val="14"/>
          <w:szCs w:val="14"/>
          <w:b w:val="1"/>
          <w:bCs w:val="1"/>
          <w:color w:val="auto"/>
        </w:rPr>
        <w:t>SEPTEMBER 30, 2016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DEBT</w:t>
      </w:r>
    </w:p>
    <w:p>
      <w:pPr>
        <w:spacing w:after="0" w:line="100"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Our annualized weighted average cost of debt for the fiscal years ended September 30, 2016 and 2015, inclusive of the fee on the undrawn commitment on the Credit Facility and amortized upfront fees on SBA debentures but excluding debt issuance costs, was 4.35% and 4.54%, respectively. 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96" w:lineRule="exact"/>
        <w:rPr>
          <w:sz w:val="20"/>
          <w:szCs w:val="20"/>
          <w:color w:val="auto"/>
        </w:rPr>
      </w:pPr>
    </w:p>
    <w:p>
      <w:pPr>
        <w:ind w:right="100" w:firstLine="562"/>
        <w:spacing w:after="0" w:line="251" w:lineRule="auto"/>
        <w:rPr>
          <w:sz w:val="20"/>
          <w:szCs w:val="20"/>
          <w:color w:val="auto"/>
        </w:rPr>
      </w:pPr>
      <w:r>
        <w:rPr>
          <w:rFonts w:ascii="Arial" w:cs="Arial" w:eastAsia="Arial" w:hAnsi="Arial"/>
          <w:sz w:val="13"/>
          <w:szCs w:val="13"/>
          <w:color w:val="auto"/>
        </w:rPr>
        <w:t>As of September 30, 2016, we had a $545 million multi-currency Credit Facility with certain lenders and SunTrust Bank, acting as administrative agent, and JPMorgan Chase Bank, N.A., acting as syndication agent for the lenders. As of September 30, 2016 and 2015, there was $50.3 million and $136.9 million (including a temporary draw of $30.0 million), respectively, in outstanding borrowings under the Credit Facility. The Credit Facility had a weighted average interest rate at the time of 2.76% and 3.07%, respectively, exclusive of the fee on undrawn commitments of 0.375%. The Credit Facility is a five-year revolving facility with a stated maturity date of June 25, 2019, a one-year term-out period following its fourth year and pricing set at 225 basis points over LIBOR. The Credit Facility is secured by substantially all of our assets excluding assets held by our SBIC Funds.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96" w:lineRule="exact"/>
        <w:rPr>
          <w:sz w:val="20"/>
          <w:szCs w:val="20"/>
          <w:color w:val="auto"/>
        </w:rPr>
      </w:pPr>
    </w:p>
    <w:p>
      <w:pPr>
        <w:ind w:right="140" w:firstLine="562"/>
        <w:spacing w:after="0" w:line="248" w:lineRule="auto"/>
        <w:rPr>
          <w:sz w:val="20"/>
          <w:szCs w:val="20"/>
          <w:color w:val="auto"/>
        </w:rPr>
      </w:pPr>
      <w:r>
        <w:rPr>
          <w:rFonts w:ascii="Arial" w:cs="Arial" w:eastAsia="Arial" w:hAnsi="Arial"/>
          <w:sz w:val="13"/>
          <w:szCs w:val="13"/>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SBA debentures outstanding of $150.0 million as of September 30, 2016. We have funded SBIC II with $52.5 million of equity capital, and it had SBA debentures outstanding of $47.5 million and commitments from the SBA for another $27.5 million of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per recent regulatory changes, as part of a group of SBICs under common control may borrow a maximum of $350.0 million in the aggregate.</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 of September 30, 2016 and 2015, our SBIC Funds had $225.0 million in debt commitments, of which $197.5 million and $150.0 million was drawn, respectively. As of</w:t>
      </w:r>
    </w:p>
    <w:p>
      <w:pPr>
        <w:spacing w:after="0"/>
        <w:rPr>
          <w:sz w:val="20"/>
          <w:szCs w:val="20"/>
          <w:color w:val="auto"/>
        </w:rPr>
      </w:pPr>
      <w:r>
        <w:rPr>
          <w:rFonts w:ascii="Arial" w:cs="Arial" w:eastAsia="Arial" w:hAnsi="Arial"/>
          <w:sz w:val="13"/>
          <w:szCs w:val="13"/>
          <w:color w:val="auto"/>
        </w:rPr>
        <w:t>September 30, 2016 and 2015, the unamortized fees on the SBA debentures was $4.3 million and $3.7 million, respectively. The SBA debentures’ upfront fees of 3.43% consist of a commitment</w:t>
      </w:r>
    </w:p>
    <w:p>
      <w:pPr>
        <w:spacing w:after="0"/>
        <w:rPr>
          <w:sz w:val="20"/>
          <w:szCs w:val="20"/>
          <w:color w:val="auto"/>
        </w:rPr>
      </w:pPr>
      <w:r>
        <w:rPr>
          <w:rFonts w:ascii="Arial" w:cs="Arial" w:eastAsia="Arial" w:hAnsi="Arial"/>
          <w:sz w:val="14"/>
          <w:szCs w:val="14"/>
          <w:color w:val="auto"/>
        </w:rPr>
        <w:t>fee of 1.00% and an issuance discount of 2.43%, which are being amortized.</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fixed-rate SBA debentures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Issuance Dates</w:t>
            </w:r>
          </w:p>
        </w:tc>
        <w:tc>
          <w:tcPr>
            <w:tcW w:w="660" w:type="dxa"/>
            <w:vAlign w:val="bottom"/>
          </w:tcPr>
          <w:p>
            <w:pPr>
              <w:spacing w:after="0"/>
              <w:rPr>
                <w:sz w:val="14"/>
                <w:szCs w:val="14"/>
                <w:color w:val="auto"/>
              </w:rPr>
            </w:pPr>
          </w:p>
        </w:tc>
        <w:tc>
          <w:tcPr>
            <w:tcW w:w="11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Maturity</w:t>
            </w:r>
          </w:p>
        </w:tc>
        <w:tc>
          <w:tcPr>
            <w:tcW w:w="700" w:type="dxa"/>
            <w:vAlign w:val="bottom"/>
            <w:vMerge w:val="restart"/>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Fixed All-in</w:t>
            </w:r>
          </w:p>
        </w:tc>
        <w:tc>
          <w:tcPr>
            <w:tcW w:w="360" w:type="dxa"/>
            <w:vAlign w:val="bottom"/>
          </w:tcPr>
          <w:p>
            <w:pPr>
              <w:spacing w:after="0"/>
              <w:rPr>
                <w:sz w:val="14"/>
                <w:szCs w:val="14"/>
                <w:color w:val="auto"/>
              </w:rPr>
            </w:pPr>
          </w:p>
        </w:tc>
        <w:tc>
          <w:tcPr>
            <w:tcW w:w="2320" w:type="dxa"/>
            <w:vAlign w:val="bottom"/>
            <w:gridSpan w:val="3"/>
          </w:tcPr>
          <w:p>
            <w:pPr>
              <w:spacing w:after="0"/>
              <w:rPr>
                <w:sz w:val="20"/>
                <w:szCs w:val="20"/>
                <w:color w:val="auto"/>
              </w:rPr>
            </w:pPr>
            <w:r>
              <w:rPr>
                <w:rFonts w:ascii="Arial" w:cs="Arial" w:eastAsia="Arial" w:hAnsi="Arial"/>
                <w:sz w:val="14"/>
                <w:szCs w:val="14"/>
                <w:b w:val="1"/>
                <w:bCs w:val="1"/>
                <w:color w:val="auto"/>
              </w:rPr>
              <w:t>As of September 30, 2016</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w w:val="95"/>
              </w:rPr>
              <w:t>As of September 30, 2015</w:t>
            </w:r>
          </w:p>
        </w:tc>
        <w:tc>
          <w:tcPr>
            <w:tcW w:w="0" w:type="dxa"/>
            <w:vAlign w:val="bottom"/>
          </w:tcPr>
          <w:p>
            <w:pPr>
              <w:spacing w:after="0"/>
              <w:rPr>
                <w:sz w:val="1"/>
                <w:szCs w:val="1"/>
                <w:color w:val="auto"/>
              </w:rPr>
            </w:pPr>
          </w:p>
        </w:tc>
      </w:tr>
      <w:tr>
        <w:trPr>
          <w:trHeight w:val="171"/>
        </w:trPr>
        <w:tc>
          <w:tcPr>
            <w:tcW w:w="238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CCEEFF"/>
            </w:tcBorders>
            <w:vMerge w:val="continue"/>
          </w:tcPr>
          <w:p>
            <w:pPr>
              <w:spacing w:after="0"/>
              <w:rPr>
                <w:sz w:val="14"/>
                <w:szCs w:val="14"/>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coupon rate</w:t>
            </w:r>
            <w:r>
              <w:rPr>
                <w:rFonts w:ascii="Arial" w:cs="Arial" w:eastAsia="Arial" w:hAnsi="Arial"/>
                <w:sz w:val="12"/>
                <w:szCs w:val="12"/>
                <w:b w:val="1"/>
                <w:bCs w:val="1"/>
                <w:color w:val="auto"/>
                <w:w w:val="91"/>
              </w:rPr>
              <w:t>(1), (2)</w:t>
            </w:r>
          </w:p>
        </w:tc>
        <w:tc>
          <w:tcPr>
            <w:tcW w:w="4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7"/>
              </w:rPr>
              <w:t>Principal Balance</w:t>
            </w:r>
          </w:p>
        </w:tc>
        <w:tc>
          <w:tcPr>
            <w:tcW w:w="7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7"/>
              </w:rPr>
              <w:t>Principal Balance</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September 22, 2010</w:t>
            </w:r>
          </w:p>
        </w:tc>
        <w:tc>
          <w:tcPr>
            <w:tcW w:w="6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5"/>
              </w:rPr>
              <w:t>September 1, 2020</w:t>
            </w:r>
          </w:p>
        </w:tc>
        <w:tc>
          <w:tcPr>
            <w:tcW w:w="7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ind w:left="820"/>
              <w:spacing w:after="0" w:line="142" w:lineRule="exact"/>
              <w:rPr>
                <w:sz w:val="20"/>
                <w:szCs w:val="20"/>
                <w:color w:val="auto"/>
              </w:rPr>
            </w:pPr>
            <w:r>
              <w:rPr>
                <w:rFonts w:ascii="Arial" w:cs="Arial" w:eastAsia="Arial" w:hAnsi="Arial"/>
                <w:sz w:val="14"/>
                <w:szCs w:val="14"/>
                <w:color w:val="auto"/>
              </w:rPr>
              <w:t>3.50%</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Arial" w:cs="Arial" w:eastAsia="Arial" w:hAnsi="Arial"/>
                <w:sz w:val="14"/>
                <w:szCs w:val="14"/>
                <w:color w:val="auto"/>
              </w:rPr>
              <w:t>March 29, 2011</w:t>
            </w:r>
          </w:p>
        </w:tc>
        <w:tc>
          <w:tcPr>
            <w:tcW w:w="2520" w:type="dxa"/>
            <w:vAlign w:val="bottom"/>
            <w:gridSpan w:val="3"/>
          </w:tcPr>
          <w:p>
            <w:pPr>
              <w:ind w:left="660"/>
              <w:spacing w:after="0" w:line="149" w:lineRule="exact"/>
              <w:rPr>
                <w:sz w:val="20"/>
                <w:szCs w:val="20"/>
                <w:color w:val="auto"/>
              </w:rPr>
            </w:pPr>
            <w:r>
              <w:rPr>
                <w:rFonts w:ascii="Arial" w:cs="Arial" w:eastAsia="Arial" w:hAnsi="Arial"/>
                <w:sz w:val="14"/>
                <w:szCs w:val="14"/>
                <w:color w:val="auto"/>
              </w:rPr>
              <w:t>March 1, 2021</w:t>
            </w:r>
          </w:p>
        </w:tc>
        <w:tc>
          <w:tcPr>
            <w:tcW w:w="1560" w:type="dxa"/>
            <w:vAlign w:val="bottom"/>
            <w:gridSpan w:val="2"/>
          </w:tcPr>
          <w:p>
            <w:pPr>
              <w:ind w:left="820"/>
              <w:spacing w:after="0" w:line="149" w:lineRule="exact"/>
              <w:rPr>
                <w:sz w:val="20"/>
                <w:szCs w:val="20"/>
                <w:color w:val="auto"/>
              </w:rPr>
            </w:pPr>
            <w:r>
              <w:rPr>
                <w:rFonts w:ascii="Arial" w:cs="Arial" w:eastAsia="Arial" w:hAnsi="Arial"/>
                <w:sz w:val="14"/>
                <w:szCs w:val="14"/>
                <w:color w:val="auto"/>
              </w:rPr>
              <w:t>4.46</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44,500,000</w:t>
            </w:r>
          </w:p>
        </w:tc>
        <w:tc>
          <w:tcPr>
            <w:tcW w:w="160" w:type="dxa"/>
            <w:vAlign w:val="bottom"/>
          </w:tcPr>
          <w:p>
            <w:pPr>
              <w:spacing w:after="0"/>
              <w:rPr>
                <w:sz w:val="12"/>
                <w:szCs w:val="12"/>
                <w:color w:val="auto"/>
              </w:rPr>
            </w:pPr>
          </w:p>
        </w:tc>
        <w:tc>
          <w:tcPr>
            <w:tcW w:w="1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44,500,000</w:t>
            </w: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September 21, 2011</w:t>
            </w:r>
          </w:p>
        </w:tc>
        <w:tc>
          <w:tcPr>
            <w:tcW w:w="2520" w:type="dxa"/>
            <w:vAlign w:val="bottom"/>
            <w:gridSpan w:val="3"/>
            <w:shd w:val="clear" w:color="auto" w:fill="CCEEFF"/>
          </w:tcPr>
          <w:p>
            <w:pPr>
              <w:ind w:left="660"/>
              <w:spacing w:after="0" w:line="149" w:lineRule="exact"/>
              <w:rPr>
                <w:sz w:val="20"/>
                <w:szCs w:val="20"/>
                <w:color w:val="auto"/>
              </w:rPr>
            </w:pPr>
            <w:r>
              <w:rPr>
                <w:rFonts w:ascii="Arial" w:cs="Arial" w:eastAsia="Arial" w:hAnsi="Arial"/>
                <w:sz w:val="14"/>
                <w:szCs w:val="14"/>
                <w:color w:val="auto"/>
              </w:rPr>
              <w:t>September 1, 2021</w:t>
            </w:r>
          </w:p>
        </w:tc>
        <w:tc>
          <w:tcPr>
            <w:tcW w:w="1560" w:type="dxa"/>
            <w:vAlign w:val="bottom"/>
            <w:gridSpan w:val="2"/>
            <w:shd w:val="clear" w:color="auto" w:fill="CCEEFF"/>
          </w:tcPr>
          <w:p>
            <w:pPr>
              <w:ind w:left="820"/>
              <w:spacing w:after="0" w:line="149" w:lineRule="exact"/>
              <w:rPr>
                <w:sz w:val="20"/>
                <w:szCs w:val="20"/>
                <w:color w:val="auto"/>
              </w:rPr>
            </w:pPr>
            <w:r>
              <w:rPr>
                <w:rFonts w:ascii="Arial" w:cs="Arial" w:eastAsia="Arial" w:hAnsi="Arial"/>
                <w:sz w:val="14"/>
                <w:szCs w:val="14"/>
                <w:color w:val="auto"/>
              </w:rPr>
              <w:t>3.38</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105,000,000</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105,000,000</w:t>
            </w: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Arial" w:cs="Arial" w:eastAsia="Arial" w:hAnsi="Arial"/>
                <w:sz w:val="14"/>
                <w:szCs w:val="14"/>
                <w:color w:val="auto"/>
              </w:rPr>
              <w:t>March 23, 2016</w:t>
            </w:r>
          </w:p>
        </w:tc>
        <w:tc>
          <w:tcPr>
            <w:tcW w:w="2520" w:type="dxa"/>
            <w:vAlign w:val="bottom"/>
            <w:gridSpan w:val="3"/>
          </w:tcPr>
          <w:p>
            <w:pPr>
              <w:ind w:left="660"/>
              <w:spacing w:after="0" w:line="149" w:lineRule="exact"/>
              <w:rPr>
                <w:sz w:val="20"/>
                <w:szCs w:val="20"/>
                <w:color w:val="auto"/>
              </w:rPr>
            </w:pPr>
            <w:r>
              <w:rPr>
                <w:rFonts w:ascii="Arial" w:cs="Arial" w:eastAsia="Arial" w:hAnsi="Arial"/>
                <w:sz w:val="14"/>
                <w:szCs w:val="14"/>
                <w:color w:val="auto"/>
              </w:rPr>
              <w:t>March 1, 2026</w:t>
            </w:r>
          </w:p>
        </w:tc>
        <w:tc>
          <w:tcPr>
            <w:tcW w:w="1560" w:type="dxa"/>
            <w:vAlign w:val="bottom"/>
            <w:gridSpan w:val="2"/>
          </w:tcPr>
          <w:p>
            <w:pPr>
              <w:ind w:left="820"/>
              <w:spacing w:after="0" w:line="149" w:lineRule="exact"/>
              <w:rPr>
                <w:sz w:val="20"/>
                <w:szCs w:val="20"/>
                <w:color w:val="auto"/>
              </w:rPr>
            </w:pPr>
            <w:r>
              <w:rPr>
                <w:rFonts w:ascii="Arial" w:cs="Arial" w:eastAsia="Arial" w:hAnsi="Arial"/>
                <w:sz w:val="14"/>
                <w:szCs w:val="14"/>
                <w:color w:val="auto"/>
              </w:rPr>
              <w:t>2.86</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22,500,000</w:t>
            </w:r>
          </w:p>
        </w:tc>
        <w:tc>
          <w:tcPr>
            <w:tcW w:w="160" w:type="dxa"/>
            <w:vAlign w:val="bottom"/>
          </w:tcPr>
          <w:p>
            <w:pPr>
              <w:spacing w:after="0"/>
              <w:rPr>
                <w:sz w:val="12"/>
                <w:szCs w:val="12"/>
                <w:color w:val="auto"/>
              </w:rPr>
            </w:pPr>
          </w:p>
        </w:tc>
        <w:tc>
          <w:tcPr>
            <w:tcW w:w="1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September 21, 2016</w:t>
            </w:r>
          </w:p>
        </w:tc>
        <w:tc>
          <w:tcPr>
            <w:tcW w:w="2520" w:type="dxa"/>
            <w:vAlign w:val="bottom"/>
            <w:gridSpan w:val="3"/>
            <w:shd w:val="clear" w:color="auto" w:fill="CCEEFF"/>
          </w:tcPr>
          <w:p>
            <w:pPr>
              <w:ind w:left="660"/>
              <w:spacing w:after="0" w:line="149" w:lineRule="exact"/>
              <w:rPr>
                <w:sz w:val="20"/>
                <w:szCs w:val="20"/>
                <w:color w:val="auto"/>
              </w:rPr>
            </w:pPr>
            <w:r>
              <w:rPr>
                <w:rFonts w:ascii="Arial" w:cs="Arial" w:eastAsia="Arial" w:hAnsi="Arial"/>
                <w:sz w:val="14"/>
                <w:szCs w:val="14"/>
                <w:color w:val="auto"/>
              </w:rPr>
              <w:t>September 1, 2026</w:t>
            </w:r>
          </w:p>
        </w:tc>
        <w:tc>
          <w:tcPr>
            <w:tcW w:w="1080" w:type="dxa"/>
            <w:vAlign w:val="bottom"/>
            <w:tcBorders>
              <w:bottom w:val="single" w:sz="8" w:color="auto"/>
            </w:tcBorders>
            <w:shd w:val="clear" w:color="auto" w:fill="CCEEFF"/>
          </w:tcPr>
          <w:p>
            <w:pPr>
              <w:ind w:left="820"/>
              <w:spacing w:after="0" w:line="149" w:lineRule="exact"/>
              <w:rPr>
                <w:sz w:val="20"/>
                <w:szCs w:val="20"/>
                <w:color w:val="auto"/>
              </w:rPr>
            </w:pPr>
            <w:r>
              <w:rPr>
                <w:rFonts w:ascii="Arial" w:cs="Arial" w:eastAsia="Arial" w:hAnsi="Arial"/>
                <w:sz w:val="14"/>
                <w:szCs w:val="14"/>
                <w:color w:val="auto"/>
                <w:w w:val="87"/>
              </w:rPr>
              <w:t>2.41</w:t>
            </w: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25,000,000</w:t>
            </w:r>
          </w:p>
        </w:tc>
        <w:tc>
          <w:tcPr>
            <w:tcW w:w="7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line="142" w:lineRule="exact"/>
              <w:rPr>
                <w:sz w:val="20"/>
                <w:szCs w:val="20"/>
                <w:color w:val="auto"/>
              </w:rPr>
            </w:pPr>
            <w:r>
              <w:rPr>
                <w:rFonts w:ascii="Arial" w:cs="Arial" w:eastAsia="Arial" w:hAnsi="Arial"/>
                <w:sz w:val="14"/>
                <w:szCs w:val="14"/>
                <w:color w:val="auto"/>
              </w:rPr>
              <w:t>Weighted Average Rate / Total</w:t>
            </w:r>
          </w:p>
        </w:tc>
        <w:tc>
          <w:tcPr>
            <w:tcW w:w="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gridSpan w:val="2"/>
          </w:tcPr>
          <w:p>
            <w:pPr>
              <w:ind w:left="820"/>
              <w:spacing w:after="0" w:line="142" w:lineRule="exact"/>
              <w:rPr>
                <w:sz w:val="20"/>
                <w:szCs w:val="20"/>
                <w:color w:val="auto"/>
              </w:rPr>
            </w:pPr>
            <w:r>
              <w:rPr>
                <w:rFonts w:ascii="Arial" w:cs="Arial" w:eastAsia="Arial" w:hAnsi="Arial"/>
                <w:sz w:val="14"/>
                <w:szCs w:val="14"/>
                <w:color w:val="auto"/>
              </w:rPr>
              <w:t>3.44%</w:t>
            </w:r>
          </w:p>
        </w:tc>
        <w:tc>
          <w:tcPr>
            <w:tcW w:w="360" w:type="dxa"/>
            <w:vAlign w:val="bottom"/>
          </w:tcPr>
          <w:p>
            <w:pPr>
              <w:spacing w:after="0"/>
              <w:rPr>
                <w:sz w:val="12"/>
                <w:szCs w:val="12"/>
                <w:color w:val="auto"/>
              </w:rPr>
            </w:pPr>
          </w:p>
        </w:tc>
        <w:tc>
          <w:tcPr>
            <w:tcW w:w="16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400" w:type="dxa"/>
            <w:vAlign w:val="bottom"/>
          </w:tcPr>
          <w:p>
            <w:pPr>
              <w:jc w:val="right"/>
              <w:spacing w:after="0" w:line="142" w:lineRule="exact"/>
              <w:rPr>
                <w:sz w:val="20"/>
                <w:szCs w:val="20"/>
                <w:color w:val="auto"/>
              </w:rPr>
            </w:pPr>
            <w:r>
              <w:rPr>
                <w:rFonts w:ascii="Arial" w:cs="Arial" w:eastAsia="Arial" w:hAnsi="Arial"/>
                <w:sz w:val="14"/>
                <w:szCs w:val="14"/>
                <w:color w:val="auto"/>
              </w:rPr>
              <w:t>197,500,000</w:t>
            </w:r>
          </w:p>
        </w:tc>
        <w:tc>
          <w:tcPr>
            <w:tcW w:w="760" w:type="dxa"/>
            <w:vAlign w:val="bottom"/>
          </w:tcPr>
          <w:p>
            <w:pPr>
              <w:spacing w:after="0"/>
              <w:rPr>
                <w:sz w:val="12"/>
                <w:szCs w:val="12"/>
                <w:color w:val="auto"/>
              </w:rPr>
            </w:pPr>
          </w:p>
        </w:tc>
        <w:tc>
          <w:tcPr>
            <w:tcW w:w="16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400" w:type="dxa"/>
            <w:vAlign w:val="bottom"/>
          </w:tcPr>
          <w:p>
            <w:pPr>
              <w:jc w:val="right"/>
              <w:spacing w:after="0" w:line="142" w:lineRule="exact"/>
              <w:rPr>
                <w:sz w:val="20"/>
                <w:szCs w:val="20"/>
                <w:color w:val="auto"/>
              </w:rPr>
            </w:pPr>
            <w:r>
              <w:rPr>
                <w:rFonts w:ascii="Arial" w:cs="Arial" w:eastAsia="Arial" w:hAnsi="Arial"/>
                <w:sz w:val="14"/>
                <w:szCs w:val="14"/>
                <w:color w:val="auto"/>
              </w:rPr>
              <w:t>150,000,000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516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3" w:lineRule="exact"/>
        <w:rPr>
          <w:sz w:val="20"/>
          <w:szCs w:val="20"/>
          <w:color w:val="auto"/>
        </w:rPr>
      </w:pPr>
    </w:p>
    <w:p>
      <w:pPr>
        <w:ind w:left="560" w:hanging="552"/>
        <w:spacing w:after="0"/>
        <w:tabs>
          <w:tab w:leader="none" w:pos="560" w:val="left"/>
        </w:tabs>
        <w:numPr>
          <w:ilvl w:val="0"/>
          <w:numId w:val="45"/>
        </w:numPr>
        <w:rPr>
          <w:rFonts w:ascii="Arial" w:cs="Arial" w:eastAsia="Arial" w:hAnsi="Arial"/>
          <w:sz w:val="12"/>
          <w:szCs w:val="12"/>
          <w:color w:val="auto"/>
        </w:rPr>
      </w:pPr>
      <w:r>
        <w:rPr>
          <w:rFonts w:ascii="Arial" w:cs="Arial" w:eastAsia="Arial" w:hAnsi="Arial"/>
          <w:sz w:val="14"/>
          <w:szCs w:val="14"/>
          <w:color w:val="auto"/>
        </w:rPr>
        <w:t>Excluding 3.43% of upfront fees.</w:t>
      </w:r>
    </w:p>
    <w:p>
      <w:pPr>
        <w:ind w:left="560" w:hanging="552"/>
        <w:spacing w:after="0"/>
        <w:tabs>
          <w:tab w:leader="none" w:pos="560" w:val="left"/>
        </w:tabs>
        <w:numPr>
          <w:ilvl w:val="0"/>
          <w:numId w:val="45"/>
        </w:numPr>
        <w:rPr>
          <w:rFonts w:ascii="Arial" w:cs="Arial" w:eastAsia="Arial" w:hAnsi="Arial"/>
          <w:sz w:val="12"/>
          <w:szCs w:val="12"/>
          <w:color w:val="auto"/>
        </w:rPr>
      </w:pPr>
      <w:r>
        <w:rPr>
          <w:rFonts w:ascii="Arial" w:cs="Arial" w:eastAsia="Arial" w:hAnsi="Arial"/>
          <w:sz w:val="14"/>
          <w:szCs w:val="14"/>
          <w:color w:val="auto"/>
        </w:rPr>
        <w:t>As of September 30, 2015, the fixed all-in coupon rate was 3.70%.</w:t>
      </w:r>
    </w:p>
    <w:p>
      <w:pPr>
        <w:spacing w:after="0" w:line="84"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September 30, 2016, our SBIC Funds were in compliance with their regulatory requirements.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96" w:lineRule="exact"/>
        <w:rPr>
          <w:sz w:val="20"/>
          <w:szCs w:val="20"/>
          <w:color w:val="auto"/>
        </w:rPr>
      </w:pPr>
    </w:p>
    <w:p>
      <w:pPr>
        <w:ind w:firstLine="562"/>
        <w:spacing w:after="0" w:line="264" w:lineRule="auto"/>
        <w:rPr>
          <w:sz w:val="20"/>
          <w:szCs w:val="20"/>
          <w:color w:val="auto"/>
        </w:rPr>
      </w:pPr>
      <w:r>
        <w:rPr>
          <w:rFonts w:ascii="Arial" w:cs="Arial" w:eastAsia="Arial" w:hAnsi="Arial"/>
          <w:sz w:val="13"/>
          <w:szCs w:val="13"/>
          <w:color w:val="auto"/>
        </w:rPr>
        <w:t>As of September 2016 and 2015, we had $250.0 million in aggregate principal amount of 2019 Notes.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Notes</w:t>
      </w:r>
    </w:p>
    <w:p>
      <w:pPr>
        <w:spacing w:after="0" w:line="96" w:lineRule="exact"/>
        <w:rPr>
          <w:sz w:val="20"/>
          <w:szCs w:val="20"/>
          <w:color w:val="auto"/>
        </w:rPr>
      </w:pPr>
    </w:p>
    <w:p>
      <w:pPr>
        <w:ind w:right="220" w:firstLine="562"/>
        <w:spacing w:after="0" w:line="264" w:lineRule="auto"/>
        <w:rPr>
          <w:sz w:val="20"/>
          <w:szCs w:val="20"/>
          <w:color w:val="auto"/>
        </w:rPr>
      </w:pPr>
      <w:r>
        <w:rPr>
          <w:rFonts w:ascii="Arial" w:cs="Arial" w:eastAsia="Arial" w:hAnsi="Arial"/>
          <w:sz w:val="13"/>
          <w:szCs w:val="13"/>
          <w:color w:val="auto"/>
        </w:rPr>
        <w:t>As of September 2016 and 2015, we had $71.3 million in aggregate principal amount of 2025 Notes. Interest on the 2025 Notes is paid quarterly on 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COMMITMENTS AND CONTINGENCIES</w:t>
      </w:r>
    </w:p>
    <w:p>
      <w:pPr>
        <w:spacing w:after="0" w:line="100"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September 30, 2016 and 2015, we had $3.1 million and $19.7 million, respectively, in commitments to fund investments.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220"/>
          </w:cols>
          <w:pgMar w:left="320" w:top="459" w:right="3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39"/>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39"/>
        <w:spacing w:after="0"/>
        <w:rPr>
          <w:sz w:val="20"/>
          <w:szCs w:val="20"/>
          <w:color w:val="auto"/>
        </w:rPr>
      </w:pPr>
      <w:r>
        <w:rPr>
          <w:rFonts w:ascii="Arial" w:cs="Arial" w:eastAsia="Arial" w:hAnsi="Arial"/>
          <w:sz w:val="14"/>
          <w:szCs w:val="14"/>
          <w:b w:val="1"/>
          <w:bCs w:val="1"/>
          <w:color w:val="auto"/>
        </w:rPr>
        <w:t>SEPTEMBER 30, 2016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STOCK REPURCHASE PROGRAM</w:t>
      </w:r>
    </w:p>
    <w:p>
      <w:pPr>
        <w:spacing w:after="0" w:line="100" w:lineRule="exact"/>
        <w:rPr>
          <w:sz w:val="20"/>
          <w:szCs w:val="20"/>
          <w:color w:val="auto"/>
        </w:rPr>
      </w:pPr>
    </w:p>
    <w:p>
      <w:pPr>
        <w:ind w:firstLine="562"/>
        <w:spacing w:after="0" w:line="255" w:lineRule="auto"/>
        <w:rPr>
          <w:sz w:val="20"/>
          <w:szCs w:val="20"/>
          <w:color w:val="auto"/>
        </w:rPr>
      </w:pPr>
      <w:r>
        <w:rPr>
          <w:rFonts w:ascii="Arial" w:cs="Arial" w:eastAsia="Arial" w:hAnsi="Arial"/>
          <w:sz w:val="13"/>
          <w:szCs w:val="13"/>
          <w:color w:val="auto"/>
        </w:rPr>
        <w:t>On May 6, 2015, we announced a share repurchase plan which allowed us to repurchase up to $35.0 million of our outstanding common stock in the open market at prices below our net asset value as reported in our then most recently published consolidated financial statements. The program expired on May 6, 2016. During the year ended September 30, 2016, we repurchased 1.9 million shares of common stock, respectively, in open market transactions for an aggregate cost (including transaction costs) of $12.2 million. From May 6, 2015 through the program’s expiration, we purchased 4.0 million shares of common stock in open market transactions for an aggregate cost (including transaction costs) of $30.1 million.</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UNCONSOLIDATED SIGNIFICANT SUBSIDIARIES</w:t>
      </w:r>
    </w:p>
    <w:p>
      <w:pPr>
        <w:spacing w:after="0" w:line="100"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We must determine which, if any, of our unconsolidated controlled portfolio companies is a “significant subsidiary” within the meaning of Regulation S-X. We have determined that, as of September 30, 2016, RAM Energy Holdings LLC triggered at least one of the significance tests. RAM Energy Holdings LLC became a controlled affiliated investment as of September 30, 2015. As a result and in accordance with Rule 4-08(g) of Regulation S-K, presented below is summarized unaudited financial information for RAM Energy Holdings LLC as of September 30, 2016 and 2015 as well as for the year ended September 30, 2016. In addition, we will include the audited financial statements of RAM Energy Holdings LLC within the timeframe specified within Rule 3-09 of Regulation S-X.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Balance Sheet </w:t>
            </w:r>
            <w:r>
              <w:rPr>
                <w:rFonts w:ascii="Arial" w:cs="Arial" w:eastAsia="Arial" w:hAnsi="Arial"/>
                <w:sz w:val="12"/>
                <w:szCs w:val="12"/>
                <w:b w:val="1"/>
                <w:bCs w:val="1"/>
                <w:color w:val="auto"/>
              </w:rPr>
              <w:t>(1)</w:t>
            </w:r>
          </w:p>
        </w:tc>
        <w:tc>
          <w:tcPr>
            <w:tcW w:w="180" w:type="dxa"/>
            <w:vAlign w:val="bottom"/>
          </w:tcPr>
          <w:p>
            <w:pPr>
              <w:spacing w:after="0"/>
              <w:rPr>
                <w:sz w:val="14"/>
                <w:szCs w:val="14"/>
                <w:color w:val="auto"/>
              </w:rPr>
            </w:pPr>
          </w:p>
        </w:tc>
        <w:tc>
          <w:tcPr>
            <w:tcW w:w="21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332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Current assets</w:t>
            </w:r>
          </w:p>
        </w:tc>
        <w:tc>
          <w:tcPr>
            <w:tcW w:w="23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2,326.4</w:t>
            </w:r>
          </w:p>
        </w:tc>
        <w:tc>
          <w:tcPr>
            <w:tcW w:w="4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3,868.9</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Noncurrent assets</w:t>
            </w:r>
          </w:p>
        </w:tc>
        <w:tc>
          <w:tcPr>
            <w:tcW w:w="18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33,678.1</w:t>
            </w:r>
          </w:p>
        </w:tc>
        <w:tc>
          <w:tcPr>
            <w:tcW w:w="1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64,236.3</w:t>
            </w:r>
          </w:p>
        </w:tc>
        <w:tc>
          <w:tcPr>
            <w:tcW w:w="0" w:type="dxa"/>
            <w:vAlign w:val="bottom"/>
          </w:tcPr>
          <w:p>
            <w:pPr>
              <w:spacing w:after="0"/>
              <w:rPr>
                <w:sz w:val="1"/>
                <w:szCs w:val="1"/>
                <w:color w:val="auto"/>
              </w:rPr>
            </w:pPr>
          </w:p>
        </w:tc>
      </w:tr>
      <w:tr>
        <w:trPr>
          <w:trHeight w:val="148"/>
        </w:trPr>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4,338.0</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5,598.0</w:t>
            </w:r>
          </w:p>
        </w:tc>
        <w:tc>
          <w:tcPr>
            <w:tcW w:w="0" w:type="dxa"/>
            <w:vAlign w:val="bottom"/>
          </w:tcPr>
          <w:p>
            <w:pPr>
              <w:spacing w:after="0"/>
              <w:rPr>
                <w:sz w:val="1"/>
                <w:szCs w:val="1"/>
                <w:color w:val="auto"/>
              </w:rPr>
            </w:pPr>
          </w:p>
        </w:tc>
      </w:tr>
      <w:tr>
        <w:trPr>
          <w:trHeight w:val="182"/>
        </w:trPr>
        <w:tc>
          <w:tcPr>
            <w:tcW w:w="3320" w:type="dxa"/>
            <w:vAlign w:val="bottom"/>
            <w:gridSpan w:val="2"/>
          </w:tcPr>
          <w:p>
            <w:pPr>
              <w:spacing w:after="0"/>
              <w:rPr>
                <w:sz w:val="20"/>
                <w:szCs w:val="20"/>
                <w:color w:val="auto"/>
              </w:rPr>
            </w:pPr>
            <w:r>
              <w:rPr>
                <w:rFonts w:ascii="Arial" w:cs="Arial" w:eastAsia="Arial" w:hAnsi="Arial"/>
                <w:sz w:val="14"/>
                <w:szCs w:val="14"/>
                <w:color w:val="auto"/>
              </w:rPr>
              <w:t>Noncurrent liabilities</w:t>
            </w:r>
          </w:p>
        </w:tc>
        <w:tc>
          <w:tcPr>
            <w:tcW w:w="180" w:type="dxa"/>
            <w:vAlign w:val="bottom"/>
          </w:tcPr>
          <w:p>
            <w:pPr>
              <w:spacing w:after="0"/>
              <w:rPr>
                <w:sz w:val="15"/>
                <w:szCs w:val="15"/>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color w:val="auto"/>
              </w:rPr>
              <w:t>90,726.3</w:t>
            </w:r>
          </w:p>
        </w:tc>
        <w:tc>
          <w:tcPr>
            <w:tcW w:w="18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82,228.4</w:t>
            </w:r>
          </w:p>
        </w:tc>
        <w:tc>
          <w:tcPr>
            <w:tcW w:w="0" w:type="dxa"/>
            <w:vAlign w:val="bottom"/>
          </w:tcPr>
          <w:p>
            <w:pPr>
              <w:spacing w:after="0"/>
              <w:rPr>
                <w:sz w:val="1"/>
                <w:szCs w:val="1"/>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8"/>
        </w:trPr>
        <w:tc>
          <w:tcPr>
            <w:tcW w:w="39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2"/>
                <w:szCs w:val="12"/>
                <w:b w:val="1"/>
                <w:bCs w:val="1"/>
                <w:color w:val="auto"/>
              </w:rPr>
              <w:t>(1)</w:t>
            </w:r>
          </w:p>
        </w:tc>
        <w:tc>
          <w:tcPr>
            <w:tcW w:w="76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3900" w:type="dxa"/>
            <w:vAlign w:val="bottom"/>
            <w:gridSpan w:val="4"/>
            <w:vMerge w:val="continue"/>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0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Total revenue</w:t>
            </w:r>
          </w:p>
        </w:tc>
        <w:tc>
          <w:tcPr>
            <w:tcW w:w="26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7,388.4</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gridSpan w:val="4"/>
          </w:tcPr>
          <w:p>
            <w:pPr>
              <w:spacing w:after="0" w:line="149" w:lineRule="exact"/>
              <w:rPr>
                <w:sz w:val="20"/>
                <w:szCs w:val="20"/>
                <w:color w:val="auto"/>
              </w:rPr>
            </w:pPr>
            <w:r>
              <w:rPr>
                <w:rFonts w:ascii="Arial" w:cs="Arial" w:eastAsia="Arial" w:hAnsi="Arial"/>
                <w:sz w:val="14"/>
                <w:szCs w:val="14"/>
                <w:color w:val="auto"/>
              </w:rPr>
              <w:t>Total expenses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46,284.7</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Net loss</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(38,896.3)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780" w:type="dxa"/>
            <w:vAlign w:val="bottom"/>
            <w:gridSpan w:val="2"/>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520" w:type="dxa"/>
            <w:vAlign w:val="bottom"/>
          </w:tcPr>
          <w:p>
            <w:pPr>
              <w:spacing w:after="0"/>
              <w:rPr>
                <w:sz w:val="20"/>
                <w:szCs w:val="20"/>
                <w:color w:val="auto"/>
              </w:rPr>
            </w:pPr>
            <w:r>
              <w:rPr>
                <w:rFonts w:ascii="Arial" w:cs="Arial" w:eastAsia="Arial" w:hAnsi="Arial"/>
                <w:sz w:val="12"/>
                <w:szCs w:val="12"/>
                <w:color w:val="auto"/>
              </w:rPr>
              <w:t>(1)</w:t>
            </w:r>
          </w:p>
        </w:tc>
        <w:tc>
          <w:tcPr>
            <w:tcW w:w="3380" w:type="dxa"/>
            <w:vAlign w:val="bottom"/>
            <w:gridSpan w:val="3"/>
          </w:tcPr>
          <w:p>
            <w:pPr>
              <w:ind w:left="40"/>
              <w:spacing w:after="0"/>
              <w:rPr>
                <w:sz w:val="20"/>
                <w:szCs w:val="20"/>
                <w:color w:val="auto"/>
              </w:rPr>
            </w:pPr>
            <w:r>
              <w:rPr>
                <w:rFonts w:ascii="Arial" w:cs="Arial" w:eastAsia="Arial" w:hAnsi="Arial"/>
                <w:sz w:val="14"/>
                <w:szCs w:val="14"/>
                <w:color w:val="auto"/>
              </w:rPr>
              <w:t>All amounts are in thousands and unaudited.</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200"/>
          </w:cols>
          <w:pgMar w:left="320" w:top="459" w:right="3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SUPPLEMENTARY DATA</w:t>
      </w:r>
    </w:p>
    <w:p>
      <w:pPr>
        <w:jc w:val="center"/>
        <w:spacing w:after="0" w:line="226" w:lineRule="auto"/>
        <w:rPr>
          <w:sz w:val="20"/>
          <w:szCs w:val="20"/>
          <w:color w:val="auto"/>
        </w:rPr>
      </w:pPr>
      <w:r>
        <w:rPr>
          <w:rFonts w:ascii="Arial" w:cs="Arial" w:eastAsia="Arial" w:hAnsi="Arial"/>
          <w:sz w:val="14"/>
          <w:szCs w:val="14"/>
          <w:b w:val="1"/>
          <w:bCs w:val="1"/>
          <w:color w:val="auto"/>
        </w:rPr>
        <w:t>Selected Quarterly Data (Unaudited)</w:t>
      </w:r>
    </w:p>
    <w:p>
      <w:pPr>
        <w:jc w:val="center"/>
        <w:spacing w:after="0"/>
        <w:rPr>
          <w:sz w:val="20"/>
          <w:szCs w:val="20"/>
          <w:color w:val="auto"/>
        </w:rPr>
      </w:pPr>
      <w:r>
        <w:rPr>
          <w:rFonts w:ascii="Arial" w:cs="Arial" w:eastAsia="Arial" w:hAnsi="Arial"/>
          <w:sz w:val="14"/>
          <w:szCs w:val="14"/>
          <w:b w:val="1"/>
          <w:bCs w:val="1"/>
          <w:color w:val="auto"/>
        </w:rPr>
        <w:t>(dollar amounts in thousands,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Q3</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61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3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color w:val="auto"/>
                <w:w w:val="83"/>
              </w:rPr>
              <w:t>32,160</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35,540</w:t>
            </w:r>
          </w:p>
        </w:tc>
        <w:tc>
          <w:tcPr>
            <w:tcW w:w="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39,108</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35,263</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612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4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15,157</w:t>
            </w:r>
          </w:p>
        </w:tc>
        <w:tc>
          <w:tcPr>
            <w:tcW w:w="3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17,794</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20,832</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16,832</w:t>
            </w:r>
          </w:p>
        </w:tc>
      </w:tr>
      <w:tr>
        <w:trPr>
          <w:trHeight w:val="148"/>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14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12,552</w:t>
            </w:r>
          </w:p>
        </w:tc>
        <w:tc>
          <w:tcPr>
            <w:tcW w:w="3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10,039</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(16,882)</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(57,587)</w:t>
            </w:r>
          </w:p>
        </w:tc>
      </w:tr>
      <w:tr>
        <w:trPr>
          <w:trHeight w:val="148"/>
        </w:trPr>
        <w:tc>
          <w:tcPr>
            <w:tcW w:w="6120" w:type="dxa"/>
            <w:vAlign w:val="bottom"/>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14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27,709</w:t>
            </w:r>
          </w:p>
        </w:tc>
        <w:tc>
          <w:tcPr>
            <w:tcW w:w="3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27,833</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3,950</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(40,755)</w:t>
            </w: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 per common share *</w:t>
            </w:r>
          </w:p>
        </w:tc>
        <w:tc>
          <w:tcPr>
            <w:tcW w:w="14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0.37</w:t>
            </w:r>
          </w:p>
        </w:tc>
        <w:tc>
          <w:tcPr>
            <w:tcW w:w="3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0.39</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0.06</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(0.56)</w:t>
            </w:r>
          </w:p>
        </w:tc>
      </w:tr>
      <w:tr>
        <w:trPr>
          <w:trHeight w:val="148"/>
        </w:trPr>
        <w:tc>
          <w:tcPr>
            <w:tcW w:w="612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4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9.05</w:t>
            </w:r>
          </w:p>
        </w:tc>
        <w:tc>
          <w:tcPr>
            <w:tcW w:w="3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8.94</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8.83</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9.02</w:t>
            </w:r>
          </w:p>
        </w:tc>
      </w:tr>
      <w:tr>
        <w:trPr>
          <w:trHeight w:val="148"/>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4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7.52</w:t>
            </w:r>
          </w:p>
        </w:tc>
        <w:tc>
          <w:tcPr>
            <w:tcW w:w="3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6.83</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6.06</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6.18</w:t>
            </w: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Q3</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61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3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w w:val="83"/>
              </w:rPr>
              <w:t>39,122</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40,641</w:t>
            </w:r>
          </w:p>
        </w:tc>
        <w:tc>
          <w:tcPr>
            <w:tcW w:w="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42,661</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39,205</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612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20,031</w:t>
            </w:r>
          </w:p>
        </w:tc>
        <w:tc>
          <w:tcPr>
            <w:tcW w:w="3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20,654</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22,096</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19,477</w:t>
            </w: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w:t>
            </w:r>
          </w:p>
        </w:tc>
        <w:tc>
          <w:tcPr>
            <w:tcW w:w="1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(18,646)</w:t>
            </w:r>
          </w:p>
        </w:tc>
        <w:tc>
          <w:tcPr>
            <w:tcW w:w="3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(15,718)</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(14,717)</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(43,423)</w:t>
            </w:r>
          </w:p>
        </w:tc>
      </w:tr>
      <w:tr>
        <w:trPr>
          <w:trHeight w:val="148"/>
        </w:trPr>
        <w:tc>
          <w:tcPr>
            <w:tcW w:w="6120" w:type="dxa"/>
            <w:vAlign w:val="bottom"/>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1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1,385</w:t>
            </w:r>
          </w:p>
        </w:tc>
        <w:tc>
          <w:tcPr>
            <w:tcW w:w="3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4,936</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7,379</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(23,946)</w:t>
            </w:r>
          </w:p>
        </w:tc>
      </w:tr>
      <w:tr>
        <w:trPr>
          <w:trHeight w:val="148"/>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 per common share *</w:t>
            </w:r>
          </w:p>
        </w:tc>
        <w:tc>
          <w:tcPr>
            <w:tcW w:w="1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0.02</w:t>
            </w:r>
          </w:p>
        </w:tc>
        <w:tc>
          <w:tcPr>
            <w:tcW w:w="3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0.07</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0.10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(0.32)</w:t>
            </w:r>
          </w:p>
        </w:tc>
      </w:tr>
      <w:tr>
        <w:trPr>
          <w:trHeight w:val="148"/>
        </w:trPr>
        <w:tc>
          <w:tcPr>
            <w:tcW w:w="612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9.82</w:t>
            </w:r>
          </w:p>
        </w:tc>
        <w:tc>
          <w:tcPr>
            <w:tcW w:w="3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10.04</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10.25</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10.43</w:t>
            </w:r>
          </w:p>
        </w:tc>
      </w:tr>
      <w:tr>
        <w:trPr>
          <w:trHeight w:val="148"/>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6.47</w:t>
            </w:r>
          </w:p>
        </w:tc>
        <w:tc>
          <w:tcPr>
            <w:tcW w:w="3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8.78</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9.05</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9.53</w:t>
            </w: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Q3</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526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2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w w:val="83"/>
              </w:rPr>
              <w:t>40,144</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35,474</w:t>
            </w:r>
          </w:p>
        </w:tc>
        <w:tc>
          <w:tcPr>
            <w:tcW w:w="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37,879</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34,439</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5260" w:type="dxa"/>
            <w:vAlign w:val="bottom"/>
            <w:gridSpan w:val="3"/>
          </w:tcPr>
          <w:p>
            <w:pPr>
              <w:spacing w:after="0" w:line="149" w:lineRule="exact"/>
              <w:rPr>
                <w:sz w:val="20"/>
                <w:szCs w:val="20"/>
                <w:color w:val="auto"/>
              </w:rPr>
            </w:pPr>
            <w:r>
              <w:rPr>
                <w:rFonts w:ascii="Arial" w:cs="Arial" w:eastAsia="Arial" w:hAnsi="Arial"/>
                <w:sz w:val="14"/>
                <w:szCs w:val="14"/>
                <w:color w:val="auto"/>
              </w:rPr>
              <w:t>Net investment income</w:t>
            </w:r>
          </w:p>
        </w:tc>
        <w:tc>
          <w:tcPr>
            <w:tcW w:w="2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20,148</w:t>
            </w:r>
          </w:p>
        </w:tc>
        <w:tc>
          <w:tcPr>
            <w:tcW w:w="3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13,197</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20,029</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17,955</w:t>
            </w:r>
          </w:p>
        </w:tc>
      </w:tr>
      <w:tr>
        <w:trPr>
          <w:trHeight w:val="148"/>
        </w:trPr>
        <w:tc>
          <w:tcPr>
            <w:tcW w:w="5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2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(21,250)</w:t>
            </w: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18,753</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20,652</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21,500</w:t>
            </w:r>
          </w:p>
        </w:tc>
      </w:tr>
      <w:tr>
        <w:trPr>
          <w:trHeight w:val="148"/>
        </w:trPr>
        <w:tc>
          <w:tcPr>
            <w:tcW w:w="5260" w:type="dxa"/>
            <w:vAlign w:val="bottom"/>
            <w:gridSpan w:val="3"/>
          </w:tcPr>
          <w:p>
            <w:pPr>
              <w:spacing w:after="0" w:line="149" w:lineRule="exact"/>
              <w:rPr>
                <w:sz w:val="20"/>
                <w:szCs w:val="20"/>
                <w:color w:val="auto"/>
              </w:rPr>
            </w:pPr>
            <w:r>
              <w:rPr>
                <w:rFonts w:ascii="Arial" w:cs="Arial" w:eastAsia="Arial" w:hAnsi="Arial"/>
                <w:sz w:val="14"/>
                <w:szCs w:val="14"/>
                <w:color w:val="auto"/>
              </w:rPr>
              <w:t>Net (decrease) increase in net assets resulting from operations</w:t>
            </w:r>
          </w:p>
        </w:tc>
        <w:tc>
          <w:tcPr>
            <w:tcW w:w="2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(1,102)</w:t>
            </w:r>
          </w:p>
        </w:tc>
        <w:tc>
          <w:tcPr>
            <w:tcW w:w="3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31,949</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40,681</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39,455</w:t>
            </w:r>
          </w:p>
        </w:tc>
      </w:tr>
      <w:tr>
        <w:trPr>
          <w:trHeight w:val="148"/>
        </w:trPr>
        <w:tc>
          <w:tcPr>
            <w:tcW w:w="5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(decrease) increase in net assets resulting from operations per common share *</w:t>
            </w:r>
          </w:p>
        </w:tc>
        <w:tc>
          <w:tcPr>
            <w:tcW w:w="2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(0.02)</w:t>
            </w: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0.48</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0.61</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0.59</w:t>
            </w:r>
          </w:p>
        </w:tc>
      </w:tr>
      <w:tr>
        <w:trPr>
          <w:trHeight w:val="148"/>
        </w:trPr>
        <w:tc>
          <w:tcPr>
            <w:tcW w:w="5260" w:type="dxa"/>
            <w:vAlign w:val="bottom"/>
            <w:gridSpan w:val="3"/>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2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11.03</w:t>
            </w:r>
          </w:p>
        </w:tc>
        <w:tc>
          <w:tcPr>
            <w:tcW w:w="3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11.33</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11.13</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10.80</w:t>
            </w:r>
          </w:p>
        </w:tc>
      </w:tr>
      <w:tr>
        <w:trPr>
          <w:trHeight w:val="149"/>
        </w:trPr>
        <w:tc>
          <w:tcPr>
            <w:tcW w:w="5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2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10.91</w:t>
            </w: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11.46</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11.05</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11.60</w:t>
            </w:r>
          </w:p>
        </w:tc>
      </w:tr>
      <w:tr>
        <w:trPr>
          <w:trHeight w:val="135"/>
        </w:trPr>
        <w:tc>
          <w:tcPr>
            <w:tcW w:w="32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tcPr>
          <w:p>
            <w:pPr>
              <w:spacing w:after="0"/>
              <w:rPr>
                <w:sz w:val="11"/>
                <w:szCs w:val="11"/>
                <w:color w:val="auto"/>
              </w:rPr>
            </w:pPr>
          </w:p>
        </w:tc>
        <w:tc>
          <w:tcPr>
            <w:tcW w:w="23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98"/>
        </w:trPr>
        <w:tc>
          <w:tcPr>
            <w:tcW w:w="320" w:type="dxa"/>
            <w:vAlign w:val="bottom"/>
          </w:tcPr>
          <w:p>
            <w:pPr>
              <w:spacing w:after="0"/>
              <w:rPr>
                <w:sz w:val="20"/>
                <w:szCs w:val="20"/>
                <w:color w:val="auto"/>
              </w:rPr>
            </w:pPr>
            <w:r>
              <w:rPr>
                <w:rFonts w:ascii="Arial" w:cs="Arial" w:eastAsia="Arial" w:hAnsi="Arial"/>
                <w:sz w:val="14"/>
                <w:szCs w:val="14"/>
                <w:color w:val="auto"/>
              </w:rPr>
              <w:t>*</w:t>
            </w:r>
          </w:p>
        </w:tc>
        <w:tc>
          <w:tcPr>
            <w:tcW w:w="4940" w:type="dxa"/>
            <w:vAlign w:val="bottom"/>
            <w:gridSpan w:val="2"/>
          </w:tcPr>
          <w:p>
            <w:pPr>
              <w:ind w:left="240"/>
              <w:spacing w:after="0"/>
              <w:rPr>
                <w:sz w:val="20"/>
                <w:szCs w:val="20"/>
                <w:color w:val="auto"/>
              </w:rPr>
            </w:pPr>
            <w:r>
              <w:rPr>
                <w:rFonts w:ascii="Arial" w:cs="Arial" w:eastAsia="Arial" w:hAnsi="Arial"/>
                <w:sz w:val="14"/>
                <w:szCs w:val="14"/>
                <w:color w:val="auto"/>
                <w:w w:val="96"/>
              </w:rPr>
              <w:t>Based on the weighted average shares outstanding for the respective periods.</w:t>
            </w:r>
          </w:p>
        </w:tc>
        <w:tc>
          <w:tcPr>
            <w:tcW w:w="2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97"/>
        </w:trPr>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180" w:type="dxa"/>
            <w:vAlign w:val="bottom"/>
          </w:tcPr>
          <w:p>
            <w:pPr>
              <w:jc w:val="right"/>
              <w:ind w:right="1668"/>
              <w:spacing w:after="0"/>
              <w:rPr>
                <w:sz w:val="20"/>
                <w:szCs w:val="20"/>
                <w:color w:val="auto"/>
              </w:rPr>
            </w:pPr>
            <w:r>
              <w:rPr>
                <w:rFonts w:ascii="Arial" w:cs="Arial" w:eastAsia="Arial" w:hAnsi="Arial"/>
                <w:sz w:val="14"/>
                <w:szCs w:val="14"/>
                <w:color w:val="auto"/>
              </w:rPr>
              <w:t>71</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color w:val="auto"/>
        </w:rPr>
        <w:t>Changes in and Disagreements with Accountants on Accounting and Financial Disclosure</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Evaluation of Disclosure Controls and Procedures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As of September 30, 2016,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Management’s Report on Internal Control Over Financial Reporting</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Management’s Report on Internal Control Over Financial Reporting, which appears on page 45 of this Form 10-K, is incorporated by reference herein.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Changes in Internal Controls Over Financial Reporting</w:t>
      </w:r>
    </w:p>
    <w:p>
      <w:pPr>
        <w:spacing w:after="0" w:line="96"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7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180"/>
          </w:cols>
          <w:pgMar w:left="320" w:top="459" w:right="3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PART III</w:t>
      </w:r>
    </w:p>
    <w:p>
      <w:pPr>
        <w:spacing w:after="0" w:line="208"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We will file a definitive Proxy Statement for our 2017 Annual Meeting of Stockholders with the SEC, pursuant to Regulation 14A, not later than 120 days after the end of our fiscal year. Accordingly, certain information required by Part III has been omitted under General Instruction G (3) to Form 10-K. Only those sections of our definitive Proxy Statement that specifically address the items set forth herein are incorporated by reference.</w:t>
      </w:r>
    </w:p>
    <w:p>
      <w:pPr>
        <w:spacing w:after="0" w:line="84"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3"/>
          <w:szCs w:val="13"/>
          <w:b w:val="1"/>
          <w:bCs w:val="1"/>
          <w:color w:val="auto"/>
        </w:rPr>
        <w:t>Directors, Executive Officers and Corporate Governance</w:t>
      </w:r>
    </w:p>
    <w:p>
      <w:pPr>
        <w:spacing w:after="0" w:line="100"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The information required by Item 10 is hereby incorporated by reference from our definitive Proxy Statement relating to our 2017 Annual Meeting of Stockholders, to be filed with the Securities and Exchange Commission within 120 days following the end of our fiscal year.</w:t>
      </w:r>
    </w:p>
    <w:p>
      <w:pPr>
        <w:spacing w:after="0" w:line="7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100"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The information required by Item 11 is hereby incorporated by reference from our definitive Proxy Statement relating to our 2017 Annual Meeting of Stockholders, to be filed with the Securities and Exchange Commission within 120 days following the end of our fiscal year.</w:t>
      </w:r>
    </w:p>
    <w:p>
      <w:pPr>
        <w:spacing w:after="0" w:line="7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3"/>
          <w:szCs w:val="13"/>
          <w:b w:val="1"/>
          <w:bCs w:val="1"/>
          <w:color w:val="auto"/>
        </w:rPr>
        <w:t>Security Ownership of Certain Beneficial Owners and Management and Related Stockholder Matters</w:t>
      </w:r>
    </w:p>
    <w:p>
      <w:pPr>
        <w:spacing w:after="0" w:line="100"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The information required by Item 12 is hereby incorporated by reference from our definitive Proxy Statement relating to our 2017 Annual Meeting of Stockholders, to be filed with the Securities and Exchange Commission within 120 days following the end of our fiscal year.</w:t>
      </w:r>
    </w:p>
    <w:p>
      <w:pPr>
        <w:spacing w:after="0" w:line="7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100"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The information required by Item 13 is hereby incorporated by reference from our definitive Proxy Statement relating to our 2017 Annual Meeting of Stockholders, to be filed with the Securities and Exchange Commission within 120 days following the end of our fiscal year.</w:t>
      </w:r>
    </w:p>
    <w:p>
      <w:pPr>
        <w:spacing w:after="0" w:line="7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color w:val="auto"/>
        </w:rPr>
        <w:t>Principal Accountant Fees and Services</w:t>
      </w:r>
    </w:p>
    <w:p>
      <w:pPr>
        <w:spacing w:after="0" w:line="100"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The information required by Item 14 is hereby incorporated by reference from our definitive Proxy Statement relating to our 2017 Annual Meeting of Stockholders, to be filed with the Securities and Exchange Commission within 120 days following the end of our fiscal year.</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160"/>
          </w:cols>
          <w:pgMar w:left="320" w:top="459" w:right="4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IV</w:t>
      </w:r>
    </w:p>
    <w:p>
      <w:pPr>
        <w:spacing w:after="0" w:line="23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color w:val="auto"/>
        </w:rPr>
        <w:t>Exhibits and Financial Statement Schedules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documents are filed as part of this Annual Report:</w:t>
      </w:r>
    </w:p>
    <w:p>
      <w:pPr>
        <w:spacing w:after="0" w:line="109" w:lineRule="exact"/>
        <w:rPr>
          <w:sz w:val="20"/>
          <w:szCs w:val="20"/>
          <w:color w:val="auto"/>
        </w:rPr>
      </w:pPr>
    </w:p>
    <w:p>
      <w:pPr>
        <w:ind w:left="780" w:hanging="448"/>
        <w:spacing w:after="0"/>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Financial Statements—Refer to Item 8 starting on page 44.</w:t>
      </w:r>
    </w:p>
    <w:p>
      <w:pPr>
        <w:spacing w:after="0" w:line="109" w:lineRule="exact"/>
        <w:rPr>
          <w:rFonts w:ascii="Arial" w:cs="Arial" w:eastAsia="Arial" w:hAnsi="Arial"/>
          <w:sz w:val="14"/>
          <w:szCs w:val="14"/>
          <w:color w:val="auto"/>
        </w:rPr>
      </w:pPr>
    </w:p>
    <w:p>
      <w:pPr>
        <w:ind w:left="780" w:hanging="448"/>
        <w:spacing w:after="0"/>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Financial Statement Schedules—None.</w:t>
      </w:r>
    </w:p>
    <w:p>
      <w:pPr>
        <w:spacing w:after="0" w:line="109" w:lineRule="exact"/>
        <w:rPr>
          <w:rFonts w:ascii="Arial" w:cs="Arial" w:eastAsia="Arial" w:hAnsi="Arial"/>
          <w:sz w:val="14"/>
          <w:szCs w:val="14"/>
          <w:color w:val="auto"/>
        </w:rPr>
      </w:pPr>
    </w:p>
    <w:p>
      <w:pPr>
        <w:ind w:left="780" w:hanging="448"/>
        <w:spacing w:after="0"/>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Exhibits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jc w:val="right"/>
              <w:ind w:right="208"/>
              <w:spacing w:after="0"/>
              <w:rPr>
                <w:sz w:val="20"/>
                <w:szCs w:val="20"/>
                <w:color w:val="auto"/>
              </w:rPr>
            </w:pPr>
            <w:r>
              <w:rPr>
                <w:rFonts w:ascii="Arial" w:cs="Arial" w:eastAsia="Arial" w:hAnsi="Arial"/>
                <w:sz w:val="14"/>
                <w:szCs w:val="14"/>
                <w:color w:val="auto"/>
              </w:rPr>
              <w:t>3.1</w:t>
            </w:r>
          </w:p>
        </w:tc>
        <w:tc>
          <w:tcPr>
            <w:tcW w:w="10660" w:type="dxa"/>
            <w:vAlign w:val="bottom"/>
          </w:tcPr>
          <w:p>
            <w:pPr>
              <w:ind w:left="220"/>
              <w:spacing w:after="0"/>
              <w:rPr>
                <w:sz w:val="20"/>
                <w:szCs w:val="20"/>
                <w:color w:val="auto"/>
              </w:rPr>
            </w:pPr>
            <w:r>
              <w:rPr>
                <w:rFonts w:ascii="Arial" w:cs="Arial" w:eastAsia="Arial" w:hAnsi="Arial"/>
                <w:sz w:val="14"/>
                <w:szCs w:val="14"/>
                <w:color w:val="auto"/>
                <w:w w:val="94"/>
              </w:rPr>
              <w:t>Articles of Incorporation (Incorporated by reference to Exhibit 99(a) to the Registrant’s Pre-Effective Amendment No.3 to the Registration Statement on Form N-2/A (File No. 333-</w:t>
            </w:r>
          </w:p>
        </w:tc>
      </w:tr>
      <w:tr>
        <w:trPr>
          <w:trHeight w:val="182"/>
        </w:trPr>
        <w:tc>
          <w:tcPr>
            <w:tcW w:w="540" w:type="dxa"/>
            <w:vAlign w:val="bottom"/>
          </w:tcPr>
          <w:p>
            <w:pPr>
              <w:spacing w:after="0"/>
              <w:rPr>
                <w:sz w:val="15"/>
                <w:szCs w:val="15"/>
                <w:color w:val="auto"/>
              </w:rPr>
            </w:pPr>
          </w:p>
        </w:tc>
        <w:tc>
          <w:tcPr>
            <w:tcW w:w="10660" w:type="dxa"/>
            <w:vAlign w:val="bottom"/>
          </w:tcPr>
          <w:p>
            <w:pPr>
              <w:ind w:left="220"/>
              <w:spacing w:after="0"/>
              <w:rPr>
                <w:sz w:val="20"/>
                <w:szCs w:val="20"/>
                <w:color w:val="auto"/>
              </w:rPr>
            </w:pPr>
            <w:r>
              <w:rPr>
                <w:rFonts w:ascii="Arial" w:cs="Arial" w:eastAsia="Arial" w:hAnsi="Arial"/>
                <w:sz w:val="14"/>
                <w:szCs w:val="14"/>
                <w:color w:val="auto"/>
              </w:rPr>
              <w:t>140092), filed on April 5, 2007).</w:t>
            </w:r>
          </w:p>
        </w:tc>
      </w:tr>
      <w:tr>
        <w:trPr>
          <w:trHeight w:val="223"/>
        </w:trPr>
        <w:tc>
          <w:tcPr>
            <w:tcW w:w="540" w:type="dxa"/>
            <w:vAlign w:val="bottom"/>
          </w:tcPr>
          <w:p>
            <w:pPr>
              <w:jc w:val="right"/>
              <w:ind w:right="208"/>
              <w:spacing w:after="0"/>
              <w:rPr>
                <w:sz w:val="20"/>
                <w:szCs w:val="20"/>
                <w:color w:val="auto"/>
              </w:rPr>
            </w:pPr>
            <w:r>
              <w:rPr>
                <w:rFonts w:ascii="Arial" w:cs="Arial" w:eastAsia="Arial" w:hAnsi="Arial"/>
                <w:sz w:val="14"/>
                <w:szCs w:val="14"/>
                <w:color w:val="auto"/>
              </w:rPr>
              <w:t>3.2</w:t>
            </w:r>
          </w:p>
        </w:tc>
        <w:tc>
          <w:tcPr>
            <w:tcW w:w="10660" w:type="dxa"/>
            <w:vAlign w:val="bottom"/>
          </w:tcPr>
          <w:p>
            <w:pPr>
              <w:ind w:left="220"/>
              <w:spacing w:after="0"/>
              <w:rPr>
                <w:sz w:val="20"/>
                <w:szCs w:val="20"/>
                <w:color w:val="auto"/>
              </w:rPr>
            </w:pPr>
            <w:r>
              <w:rPr>
                <w:rFonts w:ascii="Arial" w:cs="Arial" w:eastAsia="Arial" w:hAnsi="Arial"/>
                <w:sz w:val="14"/>
                <w:szCs w:val="14"/>
                <w:color w:val="auto"/>
                <w:w w:val="94"/>
              </w:rPr>
              <w:t>Amended and Restated Bylaws of the Registrant (Incorporated by reference to Exhibit 3.1 to the Registrant’s Current Report on Form 8-K (File No. 814-00736), filed on December</w:t>
            </w:r>
          </w:p>
        </w:tc>
      </w:tr>
      <w:tr>
        <w:trPr>
          <w:trHeight w:val="182"/>
        </w:trPr>
        <w:tc>
          <w:tcPr>
            <w:tcW w:w="540" w:type="dxa"/>
            <w:vAlign w:val="bottom"/>
          </w:tcPr>
          <w:p>
            <w:pPr>
              <w:spacing w:after="0"/>
              <w:rPr>
                <w:sz w:val="15"/>
                <w:szCs w:val="15"/>
                <w:color w:val="auto"/>
              </w:rPr>
            </w:pPr>
          </w:p>
        </w:tc>
        <w:tc>
          <w:tcPr>
            <w:tcW w:w="10660" w:type="dxa"/>
            <w:vAlign w:val="bottom"/>
          </w:tcPr>
          <w:p>
            <w:pPr>
              <w:ind w:left="220"/>
              <w:spacing w:after="0"/>
              <w:rPr>
                <w:sz w:val="20"/>
                <w:szCs w:val="20"/>
                <w:color w:val="auto"/>
              </w:rPr>
            </w:pPr>
            <w:r>
              <w:rPr>
                <w:rFonts w:ascii="Arial" w:cs="Arial" w:eastAsia="Arial" w:hAnsi="Arial"/>
                <w:sz w:val="14"/>
                <w:szCs w:val="14"/>
                <w:color w:val="auto"/>
              </w:rPr>
              <w:t>2, 2015).</w:t>
            </w:r>
          </w:p>
        </w:tc>
      </w:tr>
      <w:tr>
        <w:trPr>
          <w:trHeight w:val="257"/>
        </w:trPr>
        <w:tc>
          <w:tcPr>
            <w:tcW w:w="540" w:type="dxa"/>
            <w:vAlign w:val="bottom"/>
          </w:tcPr>
          <w:p>
            <w:pPr>
              <w:jc w:val="right"/>
              <w:ind w:right="208"/>
              <w:spacing w:after="0"/>
              <w:rPr>
                <w:sz w:val="20"/>
                <w:szCs w:val="20"/>
                <w:color w:val="auto"/>
              </w:rPr>
            </w:pPr>
            <w:r>
              <w:rPr>
                <w:rFonts w:ascii="Arial" w:cs="Arial" w:eastAsia="Arial" w:hAnsi="Arial"/>
                <w:sz w:val="14"/>
                <w:szCs w:val="14"/>
                <w:color w:val="auto"/>
              </w:rPr>
              <w:t>4.1</w:t>
            </w:r>
          </w:p>
        </w:tc>
        <w:tc>
          <w:tcPr>
            <w:tcW w:w="10660" w:type="dxa"/>
            <w:vAlign w:val="bottom"/>
          </w:tcPr>
          <w:p>
            <w:pPr>
              <w:ind w:left="220"/>
              <w:spacing w:after="0"/>
              <w:rPr>
                <w:sz w:val="20"/>
                <w:szCs w:val="20"/>
                <w:color w:val="auto"/>
              </w:rPr>
            </w:pPr>
            <w:r>
              <w:rPr>
                <w:rFonts w:ascii="Arial" w:cs="Arial" w:eastAsia="Arial" w:hAnsi="Arial"/>
                <w:sz w:val="14"/>
                <w:szCs w:val="14"/>
                <w:color w:val="auto"/>
                <w:w w:val="97"/>
              </w:rPr>
              <w:t>Form of Share Certificate (Incorporated by reference to Exhibit 99(d)(1) to the Registrant’s Registration Statement on Form N-2 (File No. 333-150033), filed on April 2, 2008).</w:t>
            </w:r>
          </w:p>
        </w:tc>
      </w:tr>
      <w:tr>
        <w:trPr>
          <w:trHeight w:val="223"/>
        </w:trPr>
        <w:tc>
          <w:tcPr>
            <w:tcW w:w="540" w:type="dxa"/>
            <w:vAlign w:val="bottom"/>
          </w:tcPr>
          <w:p>
            <w:pPr>
              <w:jc w:val="right"/>
              <w:ind w:right="208"/>
              <w:spacing w:after="0"/>
              <w:rPr>
                <w:sz w:val="20"/>
                <w:szCs w:val="20"/>
                <w:color w:val="auto"/>
              </w:rPr>
            </w:pPr>
            <w:r>
              <w:rPr>
                <w:rFonts w:ascii="Arial" w:cs="Arial" w:eastAsia="Arial" w:hAnsi="Arial"/>
                <w:sz w:val="14"/>
                <w:szCs w:val="14"/>
                <w:color w:val="auto"/>
              </w:rPr>
              <w:t>4.2</w:t>
            </w:r>
          </w:p>
        </w:tc>
        <w:tc>
          <w:tcPr>
            <w:tcW w:w="10660" w:type="dxa"/>
            <w:vAlign w:val="bottom"/>
          </w:tcPr>
          <w:p>
            <w:pPr>
              <w:ind w:left="220"/>
              <w:spacing w:after="0"/>
              <w:rPr>
                <w:sz w:val="20"/>
                <w:szCs w:val="20"/>
                <w:color w:val="auto"/>
              </w:rPr>
            </w:pPr>
            <w:r>
              <w:rPr>
                <w:rFonts w:ascii="Arial" w:cs="Arial" w:eastAsia="Arial" w:hAnsi="Arial"/>
                <w:sz w:val="14"/>
                <w:szCs w:val="14"/>
                <w:color w:val="auto"/>
                <w:w w:val="93"/>
              </w:rPr>
              <w:t>Base Indenture, dated as of January 22, 2013, relating to the 6.25% Senior Notes due 2025, between the Registrant and American Stock Transfer &amp; Trust Company, LLC, as trustee</w:t>
            </w:r>
          </w:p>
        </w:tc>
      </w:tr>
      <w:tr>
        <w:trPr>
          <w:trHeight w:val="148"/>
        </w:trPr>
        <w:tc>
          <w:tcPr>
            <w:tcW w:w="540" w:type="dxa"/>
            <w:vAlign w:val="bottom"/>
          </w:tcPr>
          <w:p>
            <w:pPr>
              <w:spacing w:after="0"/>
              <w:rPr>
                <w:sz w:val="12"/>
                <w:szCs w:val="12"/>
                <w:color w:val="auto"/>
              </w:rPr>
            </w:pPr>
          </w:p>
        </w:tc>
        <w:tc>
          <w:tcPr>
            <w:tcW w:w="10660" w:type="dxa"/>
            <w:vAlign w:val="bottom"/>
          </w:tcPr>
          <w:p>
            <w:pPr>
              <w:ind w:left="220"/>
              <w:spacing w:after="0" w:line="149" w:lineRule="exact"/>
              <w:rPr>
                <w:sz w:val="20"/>
                <w:szCs w:val="20"/>
                <w:color w:val="auto"/>
              </w:rPr>
            </w:pPr>
            <w:r>
              <w:rPr>
                <w:rFonts w:ascii="Arial" w:cs="Arial" w:eastAsia="Arial" w:hAnsi="Arial"/>
                <w:sz w:val="14"/>
                <w:szCs w:val="14"/>
                <w:color w:val="auto"/>
                <w:w w:val="97"/>
              </w:rPr>
              <w:t>(Incorporated by reference to Exhibit 99(d)(8) to the Registrant’s Post-Effective Amendment No.4 to the Registration Statement on Form N-2/A (File No.333-172524), filed on</w:t>
            </w:r>
          </w:p>
        </w:tc>
      </w:tr>
      <w:tr>
        <w:trPr>
          <w:trHeight w:val="148"/>
        </w:trPr>
        <w:tc>
          <w:tcPr>
            <w:tcW w:w="540" w:type="dxa"/>
            <w:vAlign w:val="bottom"/>
          </w:tcPr>
          <w:p>
            <w:pPr>
              <w:spacing w:after="0"/>
              <w:rPr>
                <w:sz w:val="12"/>
                <w:szCs w:val="12"/>
                <w:color w:val="auto"/>
              </w:rPr>
            </w:pPr>
          </w:p>
        </w:tc>
        <w:tc>
          <w:tcPr>
            <w:tcW w:w="10660" w:type="dxa"/>
            <w:vAlign w:val="bottom"/>
          </w:tcPr>
          <w:p>
            <w:pPr>
              <w:ind w:left="220"/>
              <w:spacing w:after="0" w:line="149" w:lineRule="exact"/>
              <w:rPr>
                <w:sz w:val="20"/>
                <w:szCs w:val="20"/>
                <w:color w:val="auto"/>
              </w:rPr>
            </w:pPr>
            <w:r>
              <w:rPr>
                <w:rFonts w:ascii="Arial" w:cs="Arial" w:eastAsia="Arial" w:hAnsi="Arial"/>
                <w:sz w:val="14"/>
                <w:szCs w:val="14"/>
                <w:color w:val="auto"/>
              </w:rPr>
              <w:t>January 22, 2013.</w:t>
            </w:r>
          </w:p>
        </w:tc>
      </w:tr>
      <w:tr>
        <w:trPr>
          <w:trHeight w:val="182"/>
        </w:trPr>
        <w:tc>
          <w:tcPr>
            <w:tcW w:w="540" w:type="dxa"/>
            <w:vAlign w:val="bottom"/>
          </w:tcPr>
          <w:p>
            <w:pPr>
              <w:spacing w:after="0"/>
              <w:rPr>
                <w:sz w:val="15"/>
                <w:szCs w:val="15"/>
                <w:color w:val="auto"/>
              </w:rPr>
            </w:pPr>
          </w:p>
        </w:tc>
        <w:tc>
          <w:tcPr>
            <w:tcW w:w="10660" w:type="dxa"/>
            <w:vAlign w:val="bottom"/>
          </w:tcPr>
          <w:p>
            <w:pPr>
              <w:ind w:left="220"/>
              <w:spacing w:after="0"/>
              <w:rPr>
                <w:sz w:val="20"/>
                <w:szCs w:val="20"/>
                <w:color w:val="auto"/>
              </w:rPr>
            </w:pPr>
            <w:r>
              <w:rPr>
                <w:rFonts w:ascii="Arial" w:cs="Arial" w:eastAsia="Arial" w:hAnsi="Arial"/>
                <w:sz w:val="14"/>
                <w:szCs w:val="14"/>
                <w:color w:val="auto"/>
              </w:rPr>
              <w:t>filed on January 22, 2013).</w:t>
            </w:r>
          </w:p>
        </w:tc>
      </w:tr>
      <w:tr>
        <w:trPr>
          <w:trHeight w:val="236"/>
        </w:trPr>
        <w:tc>
          <w:tcPr>
            <w:tcW w:w="540" w:type="dxa"/>
            <w:vAlign w:val="bottom"/>
          </w:tcPr>
          <w:p>
            <w:pPr>
              <w:jc w:val="right"/>
              <w:ind w:right="208"/>
              <w:spacing w:after="0"/>
              <w:rPr>
                <w:sz w:val="20"/>
                <w:szCs w:val="20"/>
                <w:color w:val="auto"/>
              </w:rPr>
            </w:pPr>
            <w:r>
              <w:rPr>
                <w:rFonts w:ascii="Arial" w:cs="Arial" w:eastAsia="Arial" w:hAnsi="Arial"/>
                <w:sz w:val="14"/>
                <w:szCs w:val="14"/>
                <w:color w:val="auto"/>
              </w:rPr>
              <w:t>4.3</w:t>
            </w:r>
          </w:p>
        </w:tc>
        <w:tc>
          <w:tcPr>
            <w:tcW w:w="10660" w:type="dxa"/>
            <w:vAlign w:val="bottom"/>
          </w:tcPr>
          <w:p>
            <w:pPr>
              <w:ind w:left="220"/>
              <w:spacing w:after="0"/>
              <w:rPr>
                <w:sz w:val="20"/>
                <w:szCs w:val="20"/>
                <w:color w:val="auto"/>
              </w:rPr>
            </w:pPr>
            <w:r>
              <w:rPr>
                <w:rFonts w:ascii="Arial" w:cs="Arial" w:eastAsia="Arial" w:hAnsi="Arial"/>
                <w:sz w:val="14"/>
                <w:szCs w:val="14"/>
                <w:color w:val="auto"/>
                <w:w w:val="94"/>
              </w:rPr>
              <w:t>First Supplemental Indenture, dated as of January 22, 2013, relating to the 6.25% Senior Notes due 2025, between the Registrant and American Stock Transfer &amp; Trust Company,</w:t>
            </w:r>
          </w:p>
        </w:tc>
      </w:tr>
      <w:tr>
        <w:trPr>
          <w:trHeight w:val="148"/>
        </w:trPr>
        <w:tc>
          <w:tcPr>
            <w:tcW w:w="540" w:type="dxa"/>
            <w:vAlign w:val="bottom"/>
          </w:tcPr>
          <w:p>
            <w:pPr>
              <w:spacing w:after="0"/>
              <w:rPr>
                <w:sz w:val="12"/>
                <w:szCs w:val="12"/>
                <w:color w:val="auto"/>
              </w:rPr>
            </w:pPr>
          </w:p>
        </w:tc>
        <w:tc>
          <w:tcPr>
            <w:tcW w:w="10660" w:type="dxa"/>
            <w:vAlign w:val="bottom"/>
          </w:tcPr>
          <w:p>
            <w:pPr>
              <w:ind w:left="220"/>
              <w:spacing w:after="0" w:line="149" w:lineRule="exact"/>
              <w:rPr>
                <w:sz w:val="20"/>
                <w:szCs w:val="20"/>
                <w:color w:val="auto"/>
              </w:rPr>
            </w:pPr>
            <w:r>
              <w:rPr>
                <w:rFonts w:ascii="Arial" w:cs="Arial" w:eastAsia="Arial" w:hAnsi="Arial"/>
                <w:sz w:val="14"/>
                <w:szCs w:val="14"/>
                <w:color w:val="auto"/>
                <w:w w:val="97"/>
              </w:rPr>
              <w:t>LLC, as trustee (Incorporated by reference to Exhibit 99(d)(9) to the Registrant’s Post-Effective Amendment No.4 to the Registration Statement on Form N-2/A (File No.333-</w:t>
            </w:r>
          </w:p>
        </w:tc>
      </w:tr>
      <w:tr>
        <w:trPr>
          <w:trHeight w:val="149"/>
        </w:trPr>
        <w:tc>
          <w:tcPr>
            <w:tcW w:w="540" w:type="dxa"/>
            <w:vAlign w:val="bottom"/>
          </w:tcPr>
          <w:p>
            <w:pPr>
              <w:spacing w:after="0"/>
              <w:rPr>
                <w:sz w:val="12"/>
                <w:szCs w:val="12"/>
                <w:color w:val="auto"/>
              </w:rPr>
            </w:pPr>
          </w:p>
        </w:tc>
        <w:tc>
          <w:tcPr>
            <w:tcW w:w="10660" w:type="dxa"/>
            <w:vAlign w:val="bottom"/>
          </w:tcPr>
          <w:p>
            <w:pPr>
              <w:ind w:left="220"/>
              <w:spacing w:after="0" w:line="149" w:lineRule="exact"/>
              <w:rPr>
                <w:sz w:val="20"/>
                <w:szCs w:val="20"/>
                <w:color w:val="auto"/>
              </w:rPr>
            </w:pPr>
            <w:r>
              <w:rPr>
                <w:rFonts w:ascii="Arial" w:cs="Arial" w:eastAsia="Arial" w:hAnsi="Arial"/>
                <w:sz w:val="14"/>
                <w:szCs w:val="14"/>
                <w:color w:val="auto"/>
              </w:rPr>
              <w:t>172524), filed on January 22, 2013.</w:t>
            </w:r>
          </w:p>
        </w:tc>
      </w:tr>
      <w:tr>
        <w:trPr>
          <w:trHeight w:val="182"/>
        </w:trPr>
        <w:tc>
          <w:tcPr>
            <w:tcW w:w="540" w:type="dxa"/>
            <w:vAlign w:val="bottom"/>
          </w:tcPr>
          <w:p>
            <w:pPr>
              <w:spacing w:after="0"/>
              <w:rPr>
                <w:sz w:val="15"/>
                <w:szCs w:val="15"/>
                <w:color w:val="auto"/>
              </w:rPr>
            </w:pPr>
          </w:p>
        </w:tc>
        <w:tc>
          <w:tcPr>
            <w:tcW w:w="10660" w:type="dxa"/>
            <w:vAlign w:val="bottom"/>
          </w:tcPr>
          <w:p>
            <w:pPr>
              <w:ind w:left="220"/>
              <w:spacing w:after="0"/>
              <w:rPr>
                <w:sz w:val="20"/>
                <w:szCs w:val="20"/>
                <w:color w:val="auto"/>
              </w:rPr>
            </w:pPr>
            <w:r>
              <w:rPr>
                <w:rFonts w:ascii="Arial" w:cs="Arial" w:eastAsia="Arial" w:hAnsi="Arial"/>
                <w:sz w:val="14"/>
                <w:szCs w:val="14"/>
                <w:color w:val="auto"/>
              </w:rPr>
              <w:t>filed on January 22, 2013).</w:t>
            </w:r>
          </w:p>
        </w:tc>
      </w:tr>
      <w:tr>
        <w:trPr>
          <w:trHeight w:val="270"/>
        </w:trPr>
        <w:tc>
          <w:tcPr>
            <w:tcW w:w="540" w:type="dxa"/>
            <w:vAlign w:val="bottom"/>
          </w:tcPr>
          <w:p>
            <w:pPr>
              <w:jc w:val="right"/>
              <w:ind w:right="208"/>
              <w:spacing w:after="0"/>
              <w:rPr>
                <w:sz w:val="20"/>
                <w:szCs w:val="20"/>
                <w:color w:val="auto"/>
              </w:rPr>
            </w:pPr>
            <w:r>
              <w:rPr>
                <w:rFonts w:ascii="Arial" w:cs="Arial" w:eastAsia="Arial" w:hAnsi="Arial"/>
                <w:sz w:val="14"/>
                <w:szCs w:val="14"/>
                <w:color w:val="auto"/>
              </w:rPr>
              <w:t>4.4</w:t>
            </w:r>
          </w:p>
        </w:tc>
        <w:tc>
          <w:tcPr>
            <w:tcW w:w="10660" w:type="dxa"/>
            <w:vAlign w:val="bottom"/>
          </w:tcPr>
          <w:p>
            <w:pPr>
              <w:ind w:left="220"/>
              <w:spacing w:after="0"/>
              <w:rPr>
                <w:sz w:val="20"/>
                <w:szCs w:val="20"/>
                <w:color w:val="auto"/>
              </w:rPr>
            </w:pPr>
            <w:r>
              <w:rPr>
                <w:rFonts w:ascii="Arial" w:cs="Arial" w:eastAsia="Arial" w:hAnsi="Arial"/>
                <w:sz w:val="14"/>
                <w:szCs w:val="14"/>
                <w:color w:val="auto"/>
              </w:rPr>
              <w:t>Form of 6.25% Senior Notes due 2025 (included as part of Exhibit 4.3).</w:t>
            </w:r>
          </w:p>
        </w:tc>
      </w:tr>
      <w:tr>
        <w:trPr>
          <w:trHeight w:val="223"/>
        </w:trPr>
        <w:tc>
          <w:tcPr>
            <w:tcW w:w="540" w:type="dxa"/>
            <w:vAlign w:val="bottom"/>
          </w:tcPr>
          <w:p>
            <w:pPr>
              <w:jc w:val="right"/>
              <w:ind w:right="208"/>
              <w:spacing w:after="0"/>
              <w:rPr>
                <w:sz w:val="20"/>
                <w:szCs w:val="20"/>
                <w:color w:val="auto"/>
              </w:rPr>
            </w:pPr>
            <w:r>
              <w:rPr>
                <w:rFonts w:ascii="Arial" w:cs="Arial" w:eastAsia="Arial" w:hAnsi="Arial"/>
                <w:sz w:val="14"/>
                <w:szCs w:val="14"/>
                <w:color w:val="auto"/>
              </w:rPr>
              <w:t>4.5</w:t>
            </w:r>
          </w:p>
        </w:tc>
        <w:tc>
          <w:tcPr>
            <w:tcW w:w="10660" w:type="dxa"/>
            <w:vAlign w:val="bottom"/>
          </w:tcPr>
          <w:p>
            <w:pPr>
              <w:ind w:left="220"/>
              <w:spacing w:after="0"/>
              <w:rPr>
                <w:sz w:val="20"/>
                <w:szCs w:val="20"/>
                <w:color w:val="auto"/>
              </w:rPr>
            </w:pPr>
            <w:r>
              <w:rPr>
                <w:rFonts w:ascii="Arial" w:cs="Arial" w:eastAsia="Arial" w:hAnsi="Arial"/>
                <w:sz w:val="14"/>
                <w:szCs w:val="14"/>
                <w:color w:val="auto"/>
                <w:w w:val="94"/>
              </w:rPr>
              <w:t>Second Supplemental Indenture, dated as of September 23, 2014, relating to the 4.50% Notes due 2019, between the Registrant and American Stock Transfer &amp; Trust Company,</w:t>
            </w:r>
          </w:p>
        </w:tc>
      </w:tr>
      <w:tr>
        <w:trPr>
          <w:trHeight w:val="149"/>
        </w:trPr>
        <w:tc>
          <w:tcPr>
            <w:tcW w:w="540" w:type="dxa"/>
            <w:vAlign w:val="bottom"/>
          </w:tcPr>
          <w:p>
            <w:pPr>
              <w:spacing w:after="0"/>
              <w:rPr>
                <w:sz w:val="12"/>
                <w:szCs w:val="12"/>
                <w:color w:val="auto"/>
              </w:rPr>
            </w:pPr>
          </w:p>
        </w:tc>
        <w:tc>
          <w:tcPr>
            <w:tcW w:w="10660" w:type="dxa"/>
            <w:vAlign w:val="bottom"/>
          </w:tcPr>
          <w:p>
            <w:pPr>
              <w:ind w:left="220"/>
              <w:spacing w:after="0" w:line="149" w:lineRule="exact"/>
              <w:rPr>
                <w:sz w:val="20"/>
                <w:szCs w:val="20"/>
                <w:color w:val="auto"/>
              </w:rPr>
            </w:pPr>
            <w:r>
              <w:rPr>
                <w:rFonts w:ascii="Arial" w:cs="Arial" w:eastAsia="Arial" w:hAnsi="Arial"/>
                <w:sz w:val="14"/>
                <w:szCs w:val="14"/>
                <w:color w:val="auto"/>
                <w:w w:val="96"/>
              </w:rPr>
              <w:t>LLC, as trustee (Incorporated by reference to Exhibit 99 (d)(11) to the Registrant’s Post-Effective Amendment No. 2 to Form N-2 (File No. 333-192782), filed on September 23,</w:t>
            </w:r>
          </w:p>
        </w:tc>
      </w:tr>
      <w:tr>
        <w:trPr>
          <w:trHeight w:val="182"/>
        </w:trPr>
        <w:tc>
          <w:tcPr>
            <w:tcW w:w="540" w:type="dxa"/>
            <w:vAlign w:val="bottom"/>
          </w:tcPr>
          <w:p>
            <w:pPr>
              <w:spacing w:after="0"/>
              <w:rPr>
                <w:sz w:val="15"/>
                <w:szCs w:val="15"/>
                <w:color w:val="auto"/>
              </w:rPr>
            </w:pPr>
          </w:p>
        </w:tc>
        <w:tc>
          <w:tcPr>
            <w:tcW w:w="10660" w:type="dxa"/>
            <w:vAlign w:val="bottom"/>
          </w:tcPr>
          <w:p>
            <w:pPr>
              <w:ind w:left="220"/>
              <w:spacing w:after="0"/>
              <w:rPr>
                <w:sz w:val="20"/>
                <w:szCs w:val="20"/>
                <w:color w:val="auto"/>
              </w:rPr>
            </w:pPr>
            <w:r>
              <w:rPr>
                <w:rFonts w:ascii="Arial" w:cs="Arial" w:eastAsia="Arial" w:hAnsi="Arial"/>
                <w:sz w:val="14"/>
                <w:szCs w:val="14"/>
                <w:color w:val="auto"/>
              </w:rPr>
              <w:t>2014.</w:t>
            </w:r>
          </w:p>
        </w:tc>
      </w:tr>
      <w:tr>
        <w:trPr>
          <w:trHeight w:val="256"/>
        </w:trPr>
        <w:tc>
          <w:tcPr>
            <w:tcW w:w="540" w:type="dxa"/>
            <w:vAlign w:val="bottom"/>
          </w:tcPr>
          <w:p>
            <w:pPr>
              <w:jc w:val="right"/>
              <w:ind w:right="208"/>
              <w:spacing w:after="0"/>
              <w:rPr>
                <w:sz w:val="20"/>
                <w:szCs w:val="20"/>
                <w:color w:val="auto"/>
              </w:rPr>
            </w:pPr>
            <w:r>
              <w:rPr>
                <w:rFonts w:ascii="Arial" w:cs="Arial" w:eastAsia="Arial" w:hAnsi="Arial"/>
                <w:sz w:val="14"/>
                <w:szCs w:val="14"/>
                <w:color w:val="auto"/>
              </w:rPr>
              <w:t>4.6</w:t>
            </w:r>
          </w:p>
        </w:tc>
        <w:tc>
          <w:tcPr>
            <w:tcW w:w="10660" w:type="dxa"/>
            <w:vAlign w:val="bottom"/>
          </w:tcPr>
          <w:p>
            <w:pPr>
              <w:ind w:left="220"/>
              <w:spacing w:after="0"/>
              <w:rPr>
                <w:sz w:val="20"/>
                <w:szCs w:val="20"/>
                <w:color w:val="auto"/>
              </w:rPr>
            </w:pPr>
            <w:r>
              <w:rPr>
                <w:rFonts w:ascii="Arial" w:cs="Arial" w:eastAsia="Arial" w:hAnsi="Arial"/>
                <w:sz w:val="14"/>
                <w:szCs w:val="14"/>
                <w:color w:val="auto"/>
              </w:rPr>
              <w:t>Form of 4.50% Notes due 2019 (included as part of Exhibit 4.5).</w:t>
            </w:r>
          </w:p>
        </w:tc>
      </w:tr>
      <w:tr>
        <w:trPr>
          <w:trHeight w:val="223"/>
        </w:trPr>
        <w:tc>
          <w:tcPr>
            <w:tcW w:w="540" w:type="dxa"/>
            <w:vAlign w:val="bottom"/>
          </w:tcPr>
          <w:p>
            <w:pPr>
              <w:jc w:val="right"/>
              <w:ind w:right="208"/>
              <w:spacing w:after="0"/>
              <w:rPr>
                <w:sz w:val="20"/>
                <w:szCs w:val="20"/>
                <w:color w:val="auto"/>
              </w:rPr>
            </w:pPr>
            <w:r>
              <w:rPr>
                <w:rFonts w:ascii="Arial" w:cs="Arial" w:eastAsia="Arial" w:hAnsi="Arial"/>
                <w:sz w:val="14"/>
                <w:szCs w:val="14"/>
                <w:color w:val="auto"/>
                <w:w w:val="87"/>
              </w:rPr>
              <w:t>10.1</w:t>
            </w:r>
          </w:p>
        </w:tc>
        <w:tc>
          <w:tcPr>
            <w:tcW w:w="10660" w:type="dxa"/>
            <w:vAlign w:val="bottom"/>
          </w:tcPr>
          <w:p>
            <w:pPr>
              <w:ind w:left="220"/>
              <w:spacing w:after="0"/>
              <w:rPr>
                <w:sz w:val="20"/>
                <w:szCs w:val="20"/>
                <w:color w:val="auto"/>
              </w:rPr>
            </w:pPr>
            <w:r>
              <w:rPr>
                <w:rFonts w:ascii="Arial" w:cs="Arial" w:eastAsia="Arial" w:hAnsi="Arial"/>
                <w:sz w:val="14"/>
                <w:szCs w:val="14"/>
                <w:color w:val="auto"/>
                <w:w w:val="94"/>
              </w:rPr>
              <w:t>First Amended and Restated Investment Advisory Management Agreement between the Registrant and PennantPark Investment Advisers, LLC (Incorporated by reference to the</w:t>
            </w:r>
          </w:p>
        </w:tc>
      </w:tr>
      <w:tr>
        <w:trPr>
          <w:trHeight w:val="182"/>
        </w:trPr>
        <w:tc>
          <w:tcPr>
            <w:tcW w:w="540" w:type="dxa"/>
            <w:vAlign w:val="bottom"/>
          </w:tcPr>
          <w:p>
            <w:pPr>
              <w:spacing w:after="0"/>
              <w:rPr>
                <w:sz w:val="15"/>
                <w:szCs w:val="15"/>
                <w:color w:val="auto"/>
              </w:rPr>
            </w:pPr>
          </w:p>
        </w:tc>
        <w:tc>
          <w:tcPr>
            <w:tcW w:w="10660" w:type="dxa"/>
            <w:vAlign w:val="bottom"/>
          </w:tcPr>
          <w:p>
            <w:pPr>
              <w:ind w:left="220"/>
              <w:spacing w:after="0"/>
              <w:rPr>
                <w:sz w:val="20"/>
                <w:szCs w:val="20"/>
                <w:color w:val="auto"/>
              </w:rPr>
            </w:pPr>
            <w:r>
              <w:rPr>
                <w:rFonts w:ascii="Arial" w:cs="Arial" w:eastAsia="Arial" w:hAnsi="Arial"/>
                <w:sz w:val="14"/>
                <w:szCs w:val="14"/>
                <w:color w:val="auto"/>
              </w:rPr>
              <w:t>Registrant’s Quarterly Report on Form 10-Q (File No. 814-00736), filed on February 3, 2016).</w:t>
            </w:r>
          </w:p>
        </w:tc>
      </w:tr>
      <w:tr>
        <w:trPr>
          <w:trHeight w:val="223"/>
        </w:trPr>
        <w:tc>
          <w:tcPr>
            <w:tcW w:w="540" w:type="dxa"/>
            <w:vAlign w:val="bottom"/>
          </w:tcPr>
          <w:p>
            <w:pPr>
              <w:jc w:val="right"/>
              <w:ind w:right="208"/>
              <w:spacing w:after="0"/>
              <w:rPr>
                <w:sz w:val="20"/>
                <w:szCs w:val="20"/>
                <w:color w:val="auto"/>
              </w:rPr>
            </w:pPr>
            <w:r>
              <w:rPr>
                <w:rFonts w:ascii="Arial" w:cs="Arial" w:eastAsia="Arial" w:hAnsi="Arial"/>
                <w:sz w:val="14"/>
                <w:szCs w:val="14"/>
                <w:color w:val="auto"/>
                <w:w w:val="87"/>
              </w:rPr>
              <w:t>10.2</w:t>
            </w:r>
          </w:p>
        </w:tc>
        <w:tc>
          <w:tcPr>
            <w:tcW w:w="10660" w:type="dxa"/>
            <w:vAlign w:val="bottom"/>
          </w:tcPr>
          <w:p>
            <w:pPr>
              <w:ind w:left="220"/>
              <w:spacing w:after="0"/>
              <w:rPr>
                <w:sz w:val="20"/>
                <w:szCs w:val="20"/>
                <w:color w:val="auto"/>
              </w:rPr>
            </w:pPr>
            <w:r>
              <w:rPr>
                <w:rFonts w:ascii="Arial" w:cs="Arial" w:eastAsia="Arial" w:hAnsi="Arial"/>
                <w:sz w:val="14"/>
                <w:szCs w:val="14"/>
                <w:color w:val="auto"/>
                <w:w w:val="97"/>
              </w:rPr>
              <w:t>Form of Administration Agreement between the Registrant and PennantPark Investment Administration LLC (Incorporated by reference to Exhibit 99(k)(1) to the Registrant’s</w:t>
            </w:r>
          </w:p>
        </w:tc>
      </w:tr>
      <w:tr>
        <w:trPr>
          <w:trHeight w:val="182"/>
        </w:trPr>
        <w:tc>
          <w:tcPr>
            <w:tcW w:w="540" w:type="dxa"/>
            <w:vAlign w:val="bottom"/>
          </w:tcPr>
          <w:p>
            <w:pPr>
              <w:spacing w:after="0"/>
              <w:rPr>
                <w:sz w:val="15"/>
                <w:szCs w:val="15"/>
                <w:color w:val="auto"/>
              </w:rPr>
            </w:pPr>
          </w:p>
        </w:tc>
        <w:tc>
          <w:tcPr>
            <w:tcW w:w="10660" w:type="dxa"/>
            <w:vAlign w:val="bottom"/>
          </w:tcPr>
          <w:p>
            <w:pPr>
              <w:ind w:left="220"/>
              <w:spacing w:after="0"/>
              <w:rPr>
                <w:sz w:val="20"/>
                <w:szCs w:val="20"/>
                <w:color w:val="auto"/>
              </w:rPr>
            </w:pPr>
            <w:r>
              <w:rPr>
                <w:rFonts w:ascii="Arial" w:cs="Arial" w:eastAsia="Arial" w:hAnsi="Arial"/>
                <w:sz w:val="14"/>
                <w:szCs w:val="14"/>
                <w:color w:val="auto"/>
              </w:rPr>
              <w:t>Registration Statement on Form N-2 (File No. 333-150033), filed on April 2, 2008).</w:t>
            </w:r>
          </w:p>
        </w:tc>
      </w:tr>
      <w:tr>
        <w:trPr>
          <w:trHeight w:val="256"/>
        </w:trPr>
        <w:tc>
          <w:tcPr>
            <w:tcW w:w="540" w:type="dxa"/>
            <w:vAlign w:val="bottom"/>
          </w:tcPr>
          <w:p>
            <w:pPr>
              <w:jc w:val="right"/>
              <w:ind w:right="208"/>
              <w:spacing w:after="0"/>
              <w:rPr>
                <w:sz w:val="20"/>
                <w:szCs w:val="20"/>
                <w:color w:val="auto"/>
              </w:rPr>
            </w:pPr>
            <w:r>
              <w:rPr>
                <w:rFonts w:ascii="Arial" w:cs="Arial" w:eastAsia="Arial" w:hAnsi="Arial"/>
                <w:sz w:val="14"/>
                <w:szCs w:val="14"/>
                <w:color w:val="auto"/>
                <w:w w:val="87"/>
              </w:rPr>
              <w:t>10.3</w:t>
            </w:r>
          </w:p>
        </w:tc>
        <w:tc>
          <w:tcPr>
            <w:tcW w:w="10660" w:type="dxa"/>
            <w:vAlign w:val="bottom"/>
          </w:tcPr>
          <w:p>
            <w:pPr>
              <w:ind w:left="220"/>
              <w:spacing w:after="0"/>
              <w:rPr>
                <w:sz w:val="20"/>
                <w:szCs w:val="20"/>
                <w:color w:val="auto"/>
              </w:rPr>
            </w:pPr>
            <w:r>
              <w:rPr>
                <w:rFonts w:ascii="Arial" w:cs="Arial" w:eastAsia="Arial" w:hAnsi="Arial"/>
                <w:sz w:val="14"/>
                <w:szCs w:val="14"/>
                <w:color w:val="auto"/>
                <w:w w:val="97"/>
              </w:rPr>
              <w:t>Dividend Reinvestment Plan (Incorporated by reference to Exhibit 99(e) to the Registrant’s Registration Statement on Form N-2 (File No. 333-150033), filed on April 2, 2008).</w:t>
            </w:r>
          </w:p>
        </w:tc>
      </w:tr>
      <w:tr>
        <w:trPr>
          <w:trHeight w:val="223"/>
        </w:trPr>
        <w:tc>
          <w:tcPr>
            <w:tcW w:w="540" w:type="dxa"/>
            <w:vAlign w:val="bottom"/>
          </w:tcPr>
          <w:p>
            <w:pPr>
              <w:jc w:val="right"/>
              <w:ind w:right="208"/>
              <w:spacing w:after="0"/>
              <w:rPr>
                <w:sz w:val="20"/>
                <w:szCs w:val="20"/>
                <w:color w:val="auto"/>
              </w:rPr>
            </w:pPr>
            <w:r>
              <w:rPr>
                <w:rFonts w:ascii="Arial" w:cs="Arial" w:eastAsia="Arial" w:hAnsi="Arial"/>
                <w:sz w:val="14"/>
                <w:szCs w:val="14"/>
                <w:color w:val="auto"/>
                <w:w w:val="87"/>
              </w:rPr>
              <w:t>10.4</w:t>
            </w:r>
          </w:p>
        </w:tc>
        <w:tc>
          <w:tcPr>
            <w:tcW w:w="10660" w:type="dxa"/>
            <w:vAlign w:val="bottom"/>
          </w:tcPr>
          <w:p>
            <w:pPr>
              <w:ind w:left="220"/>
              <w:spacing w:after="0"/>
              <w:rPr>
                <w:sz w:val="20"/>
                <w:szCs w:val="20"/>
                <w:color w:val="auto"/>
              </w:rPr>
            </w:pPr>
            <w:r>
              <w:rPr>
                <w:rFonts w:ascii="Arial" w:cs="Arial" w:eastAsia="Arial" w:hAnsi="Arial"/>
                <w:sz w:val="14"/>
                <w:szCs w:val="14"/>
                <w:color w:val="auto"/>
                <w:w w:val="93"/>
              </w:rPr>
              <w:t>Second Amended and Restated Senior Secured Revolving Credit Agreement, dated as of June 25, 2014, among PennantPark Investment Corporation, the lenders party thereto and</w:t>
            </w:r>
          </w:p>
        </w:tc>
      </w:tr>
      <w:tr>
        <w:trPr>
          <w:trHeight w:val="149"/>
        </w:trPr>
        <w:tc>
          <w:tcPr>
            <w:tcW w:w="540" w:type="dxa"/>
            <w:vAlign w:val="bottom"/>
          </w:tcPr>
          <w:p>
            <w:pPr>
              <w:spacing w:after="0"/>
              <w:rPr>
                <w:sz w:val="12"/>
                <w:szCs w:val="12"/>
                <w:color w:val="auto"/>
              </w:rPr>
            </w:pPr>
          </w:p>
        </w:tc>
        <w:tc>
          <w:tcPr>
            <w:tcW w:w="10660" w:type="dxa"/>
            <w:vAlign w:val="bottom"/>
          </w:tcPr>
          <w:p>
            <w:pPr>
              <w:ind w:left="220"/>
              <w:spacing w:after="0" w:line="149" w:lineRule="exact"/>
              <w:rPr>
                <w:sz w:val="20"/>
                <w:szCs w:val="20"/>
                <w:color w:val="auto"/>
              </w:rPr>
            </w:pPr>
            <w:r>
              <w:rPr>
                <w:rFonts w:ascii="Arial" w:cs="Arial" w:eastAsia="Arial" w:hAnsi="Arial"/>
                <w:sz w:val="14"/>
                <w:szCs w:val="14"/>
                <w:color w:val="auto"/>
                <w:w w:val="93"/>
              </w:rPr>
              <w:t>SunTrust Bank, as administrative agent for the lenders (Incorporated by reference to Exhibit 99.2 to the Registrant’s Current Report on Form 8-K (File No. 814-00736), filed on June</w:t>
            </w:r>
          </w:p>
        </w:tc>
      </w:tr>
      <w:tr>
        <w:trPr>
          <w:trHeight w:val="182"/>
        </w:trPr>
        <w:tc>
          <w:tcPr>
            <w:tcW w:w="540" w:type="dxa"/>
            <w:vAlign w:val="bottom"/>
          </w:tcPr>
          <w:p>
            <w:pPr>
              <w:spacing w:after="0"/>
              <w:rPr>
                <w:sz w:val="15"/>
                <w:szCs w:val="15"/>
                <w:color w:val="auto"/>
              </w:rPr>
            </w:pPr>
          </w:p>
        </w:tc>
        <w:tc>
          <w:tcPr>
            <w:tcW w:w="10660" w:type="dxa"/>
            <w:vAlign w:val="bottom"/>
          </w:tcPr>
          <w:p>
            <w:pPr>
              <w:ind w:left="220"/>
              <w:spacing w:after="0"/>
              <w:rPr>
                <w:sz w:val="20"/>
                <w:szCs w:val="20"/>
                <w:color w:val="auto"/>
              </w:rPr>
            </w:pPr>
            <w:r>
              <w:rPr>
                <w:rFonts w:ascii="Arial" w:cs="Arial" w:eastAsia="Arial" w:hAnsi="Arial"/>
                <w:sz w:val="14"/>
                <w:szCs w:val="14"/>
                <w:color w:val="auto"/>
              </w:rPr>
              <w:t>30, 2014).</w:t>
            </w:r>
          </w:p>
        </w:tc>
      </w:tr>
      <w:tr>
        <w:trPr>
          <w:trHeight w:val="223"/>
        </w:trPr>
        <w:tc>
          <w:tcPr>
            <w:tcW w:w="540" w:type="dxa"/>
            <w:vAlign w:val="bottom"/>
          </w:tcPr>
          <w:p>
            <w:pPr>
              <w:jc w:val="right"/>
              <w:ind w:right="128"/>
              <w:spacing w:after="0"/>
              <w:rPr>
                <w:sz w:val="20"/>
                <w:szCs w:val="20"/>
                <w:color w:val="auto"/>
              </w:rPr>
            </w:pPr>
            <w:r>
              <w:rPr>
                <w:rFonts w:ascii="Arial" w:cs="Arial" w:eastAsia="Arial" w:hAnsi="Arial"/>
                <w:sz w:val="14"/>
                <w:szCs w:val="14"/>
                <w:color w:val="auto"/>
                <w:w w:val="97"/>
              </w:rPr>
              <w:t>10.5*</w:t>
            </w:r>
          </w:p>
        </w:tc>
        <w:tc>
          <w:tcPr>
            <w:tcW w:w="10660" w:type="dxa"/>
            <w:vAlign w:val="bottom"/>
          </w:tcPr>
          <w:p>
            <w:pPr>
              <w:ind w:left="220"/>
              <w:spacing w:after="0"/>
              <w:rPr>
                <w:sz w:val="20"/>
                <w:szCs w:val="20"/>
                <w:color w:val="auto"/>
              </w:rPr>
            </w:pPr>
            <w:r>
              <w:rPr>
                <w:rFonts w:ascii="Arial" w:cs="Arial" w:eastAsia="Arial" w:hAnsi="Arial"/>
                <w:sz w:val="14"/>
                <w:szCs w:val="14"/>
                <w:color w:val="auto"/>
                <w:w w:val="95"/>
              </w:rPr>
              <w:t>Indemnification Agreement, dated as of November 15, 2016, between PennantPark Investment Corporation and each of the directors and officers listed on Schedule A attached</w:t>
            </w:r>
          </w:p>
        </w:tc>
      </w:tr>
      <w:tr>
        <w:trPr>
          <w:trHeight w:val="182"/>
        </w:trPr>
        <w:tc>
          <w:tcPr>
            <w:tcW w:w="540" w:type="dxa"/>
            <w:vAlign w:val="bottom"/>
          </w:tcPr>
          <w:p>
            <w:pPr>
              <w:spacing w:after="0"/>
              <w:rPr>
                <w:sz w:val="15"/>
                <w:szCs w:val="15"/>
                <w:color w:val="auto"/>
              </w:rPr>
            </w:pPr>
          </w:p>
        </w:tc>
        <w:tc>
          <w:tcPr>
            <w:tcW w:w="10660" w:type="dxa"/>
            <w:vAlign w:val="bottom"/>
          </w:tcPr>
          <w:p>
            <w:pPr>
              <w:ind w:left="220"/>
              <w:spacing w:after="0"/>
              <w:rPr>
                <w:sz w:val="20"/>
                <w:szCs w:val="20"/>
                <w:color w:val="auto"/>
              </w:rPr>
            </w:pPr>
            <w:r>
              <w:rPr>
                <w:rFonts w:ascii="Arial" w:cs="Arial" w:eastAsia="Arial" w:hAnsi="Arial"/>
                <w:sz w:val="14"/>
                <w:szCs w:val="14"/>
                <w:color w:val="auto"/>
              </w:rPr>
              <w:t>thereto.</w:t>
            </w:r>
          </w:p>
        </w:tc>
      </w:tr>
    </w:tbl>
    <w:p>
      <w:pPr>
        <w:spacing w:after="0" w:line="74" w:lineRule="exact"/>
        <w:rPr>
          <w:sz w:val="20"/>
          <w:szCs w:val="20"/>
          <w:color w:val="auto"/>
        </w:rPr>
      </w:pPr>
    </w:p>
    <w:p>
      <w:pPr>
        <w:ind w:left="760" w:hanging="680"/>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Computation of Per Share Earnings (included in the notes to the audited financial statements contained in this Report).</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14.1*</w:t>
      </w:r>
      <w:r>
        <w:rPr>
          <w:rFonts w:ascii="Arial" w:cs="Arial" w:eastAsia="Arial" w:hAnsi="Arial"/>
          <w:sz w:val="13"/>
          <w:szCs w:val="13"/>
          <w:color w:val="auto"/>
        </w:rPr>
        <w:t>Joint Code of Ethics of the Registrant.</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21.1*</w:t>
      </w:r>
      <w:r>
        <w:rPr>
          <w:rFonts w:ascii="Arial" w:cs="Arial" w:eastAsia="Arial" w:hAnsi="Arial"/>
          <w:sz w:val="13"/>
          <w:szCs w:val="13"/>
          <w:color w:val="auto"/>
        </w:rPr>
        <w:t>Subsidiaries of the Registrant.</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31.1*</w:t>
      </w:r>
      <w:r>
        <w:rPr>
          <w:rFonts w:ascii="Arial" w:cs="Arial" w:eastAsia="Arial" w:hAnsi="Arial"/>
          <w:sz w:val="13"/>
          <w:szCs w:val="13"/>
          <w:color w:val="auto"/>
        </w:rPr>
        <w:t>Certification of Chief Executive Officer pursuant to Rule 13a-14 of the Securities Exchange Act of 1934, as amended.</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31.2*</w:t>
      </w:r>
      <w:r>
        <w:rPr>
          <w:rFonts w:ascii="Arial" w:cs="Arial" w:eastAsia="Arial" w:hAnsi="Arial"/>
          <w:sz w:val="13"/>
          <w:szCs w:val="13"/>
          <w:color w:val="auto"/>
        </w:rPr>
        <w:t>Certification of Chief Financial Officer pursuant to Rule 13a-14 of the Securities Exchange Act of 1934, as amended.</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32.1*</w:t>
      </w:r>
      <w:r>
        <w:rPr>
          <w:rFonts w:ascii="Arial" w:cs="Arial" w:eastAsia="Arial" w:hAnsi="Arial"/>
          <w:sz w:val="13"/>
          <w:szCs w:val="13"/>
          <w:color w:val="auto"/>
        </w:rPr>
        <w:t>Certification of Chief Executive Officer pursuant to section 906 of the Sarbanes-Oxley Act of 2002.</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32.2*</w:t>
      </w:r>
      <w:r>
        <w:rPr>
          <w:rFonts w:ascii="Arial" w:cs="Arial" w:eastAsia="Arial" w:hAnsi="Arial"/>
          <w:sz w:val="13"/>
          <w:szCs w:val="13"/>
          <w:color w:val="auto"/>
        </w:rPr>
        <w:t>Certification of Chief Financial Officer pursuant to section 906 of the Sarbanes-Oxley Act of 2002.</w:t>
      </w:r>
    </w:p>
    <w:p>
      <w:pPr>
        <w:spacing w:after="0" w:line="96"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3"/>
          <w:szCs w:val="13"/>
          <w:color w:val="auto"/>
        </w:rPr>
        <w:t>Privacy Policy of the Registrant (Incorporated by reference to Exhibit 99.1 to the Registrant’s Annual Report on Form 10-K (File No. 814-00736), filed on November 16,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407035</wp:posOffset>
            </wp:positionV>
            <wp:extent cx="8566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6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200"/>
          </w:cols>
          <w:pgMar w:left="320" w:top="459" w:right="3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SIGNATURES</w:t>
      </w:r>
    </w:p>
    <w:p>
      <w:pPr>
        <w:spacing w:after="0" w:line="208" w:lineRule="exact"/>
        <w:rPr>
          <w:sz w:val="20"/>
          <w:szCs w:val="20"/>
          <w:color w:val="auto"/>
        </w:rPr>
      </w:pPr>
    </w:p>
    <w:p>
      <w:pPr>
        <w:ind w:right="260" w:firstLine="562"/>
        <w:spacing w:after="0" w:line="253"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0" w:type="dxa"/>
            <w:vAlign w:val="bottom"/>
          </w:tcPr>
          <w:p>
            <w:pPr>
              <w:spacing w:after="0"/>
              <w:rPr>
                <w:sz w:val="20"/>
                <w:szCs w:val="20"/>
                <w:color w:val="auto"/>
              </w:rPr>
            </w:pPr>
            <w:r>
              <w:rPr>
                <w:rFonts w:ascii="Arial" w:cs="Arial" w:eastAsia="Arial" w:hAnsi="Arial"/>
                <w:sz w:val="14"/>
                <w:szCs w:val="14"/>
                <w:color w:val="auto"/>
              </w:rPr>
              <w:t>By:</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/s/ ARTHUR H. PENN</w:t>
            </w:r>
          </w:p>
        </w:tc>
      </w:tr>
      <w:tr>
        <w:trPr>
          <w:trHeight w:val="133"/>
        </w:trPr>
        <w:tc>
          <w:tcPr>
            <w:tcW w:w="500" w:type="dxa"/>
            <w:vAlign w:val="bottom"/>
          </w:tcPr>
          <w:p>
            <w:pPr>
              <w:spacing w:after="0" w:line="133" w:lineRule="exact"/>
              <w:rPr>
                <w:sz w:val="20"/>
                <w:szCs w:val="20"/>
                <w:color w:val="auto"/>
              </w:rPr>
            </w:pPr>
            <w:r>
              <w:rPr>
                <w:rFonts w:ascii="Arial" w:cs="Arial" w:eastAsia="Arial" w:hAnsi="Arial"/>
                <w:sz w:val="14"/>
                <w:szCs w:val="14"/>
                <w:color w:val="auto"/>
              </w:rPr>
              <w:t>Name:</w:t>
            </w:r>
          </w:p>
        </w:tc>
        <w:tc>
          <w:tcPr>
            <w:tcW w:w="3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Arthur H. Penn</w:t>
            </w:r>
          </w:p>
        </w:tc>
      </w:tr>
      <w:tr>
        <w:trPr>
          <w:trHeight w:val="186"/>
        </w:trPr>
        <w:tc>
          <w:tcPr>
            <w:tcW w:w="500" w:type="dxa"/>
            <w:vAlign w:val="bottom"/>
          </w:tcPr>
          <w:p>
            <w:pPr>
              <w:spacing w:after="0"/>
              <w:rPr>
                <w:sz w:val="20"/>
                <w:szCs w:val="20"/>
                <w:color w:val="auto"/>
              </w:rPr>
            </w:pPr>
            <w:r>
              <w:rPr>
                <w:rFonts w:ascii="Arial" w:cs="Arial" w:eastAsia="Arial" w:hAnsi="Arial"/>
                <w:sz w:val="14"/>
                <w:szCs w:val="14"/>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4"/>
              </w:rPr>
              <w:t>Chief Executive Officer and Chairman of the Board of Directors</w:t>
            </w:r>
          </w:p>
        </w:tc>
      </w:tr>
    </w:tbl>
    <w:p>
      <w:pPr>
        <w:spacing w:after="0" w:line="182"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92"/>
              </w:rPr>
              <w:t>Signature</w:t>
            </w:r>
          </w:p>
        </w:tc>
        <w:tc>
          <w:tcPr>
            <w:tcW w:w="1780" w:type="dxa"/>
            <w:vAlign w:val="bottom"/>
          </w:tcPr>
          <w:p>
            <w:pPr>
              <w:spacing w:after="0"/>
              <w:rPr>
                <w:sz w:val="16"/>
                <w:szCs w:val="16"/>
                <w:color w:val="auto"/>
              </w:rPr>
            </w:pPr>
          </w:p>
        </w:tc>
        <w:tc>
          <w:tcPr>
            <w:tcW w:w="5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Title</w:t>
            </w:r>
          </w:p>
        </w:tc>
        <w:tc>
          <w:tcPr>
            <w:tcW w:w="700" w:type="dxa"/>
            <w:vAlign w:val="bottom"/>
          </w:tcPr>
          <w:p>
            <w:pPr>
              <w:spacing w:after="0"/>
              <w:rPr>
                <w:sz w:val="16"/>
                <w:szCs w:val="16"/>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8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8"/>
        </w:trPr>
        <w:tc>
          <w:tcPr>
            <w:tcW w:w="1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ARTHUR H. PENN</w:t>
            </w:r>
          </w:p>
        </w:tc>
        <w:tc>
          <w:tcPr>
            <w:tcW w:w="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5340" w:type="dxa"/>
            <w:vAlign w:val="bottom"/>
            <w:gridSpan w:val="3"/>
          </w:tcPr>
          <w:p>
            <w:pPr>
              <w:jc w:val="center"/>
              <w:ind w:right="100"/>
              <w:spacing w:after="0"/>
              <w:rPr>
                <w:sz w:val="20"/>
                <w:szCs w:val="20"/>
                <w:color w:val="auto"/>
              </w:rPr>
            </w:pPr>
            <w:r>
              <w:rPr>
                <w:rFonts w:ascii="Arial" w:cs="Arial" w:eastAsia="Arial" w:hAnsi="Arial"/>
                <w:sz w:val="14"/>
                <w:szCs w:val="14"/>
                <w:color w:val="auto"/>
                <w:w w:val="95"/>
              </w:rPr>
              <w:t>Chief Executive Officer and Chairman of the Board of Directors (Principal Executive</w:t>
            </w:r>
          </w:p>
        </w:tc>
        <w:tc>
          <w:tcPr>
            <w:tcW w:w="1420" w:type="dxa"/>
            <w:vAlign w:val="bottom"/>
            <w:gridSpan w:val="3"/>
          </w:tcPr>
          <w:p>
            <w:pPr>
              <w:jc w:val="center"/>
              <w:ind w:left="208"/>
              <w:spacing w:after="0"/>
              <w:rPr>
                <w:sz w:val="20"/>
                <w:szCs w:val="20"/>
                <w:color w:val="auto"/>
              </w:rPr>
            </w:pPr>
            <w:r>
              <w:rPr>
                <w:rFonts w:ascii="Arial" w:cs="Arial" w:eastAsia="Arial" w:hAnsi="Arial"/>
                <w:sz w:val="14"/>
                <w:szCs w:val="14"/>
                <w:color w:val="auto"/>
                <w:w w:val="92"/>
              </w:rPr>
              <w:t>November 21, 2016</w:t>
            </w:r>
          </w:p>
        </w:tc>
      </w:tr>
      <w:tr>
        <w:trPr>
          <w:trHeight w:val="186"/>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Arthur H. Penn</w:t>
            </w:r>
          </w:p>
        </w:tc>
        <w:tc>
          <w:tcPr>
            <w:tcW w:w="1780" w:type="dxa"/>
            <w:vAlign w:val="bottom"/>
          </w:tcPr>
          <w:p>
            <w:pPr>
              <w:spacing w:after="0"/>
              <w:rPr>
                <w:sz w:val="16"/>
                <w:szCs w:val="16"/>
                <w:color w:val="auto"/>
              </w:rPr>
            </w:pPr>
          </w:p>
        </w:tc>
        <w:tc>
          <w:tcPr>
            <w:tcW w:w="5340" w:type="dxa"/>
            <w:vAlign w:val="bottom"/>
            <w:gridSpan w:val="3"/>
          </w:tcPr>
          <w:p>
            <w:pPr>
              <w:jc w:val="center"/>
              <w:ind w:right="120"/>
              <w:spacing w:after="0" w:line="150" w:lineRule="exact"/>
              <w:rPr>
                <w:sz w:val="20"/>
                <w:szCs w:val="20"/>
                <w:color w:val="auto"/>
              </w:rPr>
            </w:pPr>
            <w:r>
              <w:rPr>
                <w:rFonts w:ascii="Arial" w:cs="Arial" w:eastAsia="Arial" w:hAnsi="Arial"/>
                <w:sz w:val="14"/>
                <w:szCs w:val="14"/>
                <w:color w:val="auto"/>
              </w:rPr>
              <w:t>Officer)</w:t>
            </w: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40"/>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AVIV EFRAT</w:t>
            </w:r>
          </w:p>
        </w:tc>
        <w:tc>
          <w:tcPr>
            <w:tcW w:w="1780" w:type="dxa"/>
            <w:vAlign w:val="bottom"/>
            <w:tcBorders>
              <w:bottom w:val="single" w:sz="8" w:color="auto"/>
            </w:tcBorders>
          </w:tcPr>
          <w:p>
            <w:pPr>
              <w:spacing w:after="0"/>
              <w:rPr>
                <w:sz w:val="24"/>
                <w:szCs w:val="24"/>
                <w:color w:val="auto"/>
              </w:rPr>
            </w:pPr>
          </w:p>
        </w:tc>
        <w:tc>
          <w:tcPr>
            <w:tcW w:w="5340" w:type="dxa"/>
            <w:vAlign w:val="bottom"/>
            <w:gridSpan w:val="3"/>
          </w:tcPr>
          <w:p>
            <w:pPr>
              <w:jc w:val="center"/>
              <w:ind w:right="100"/>
              <w:spacing w:after="0"/>
              <w:rPr>
                <w:sz w:val="20"/>
                <w:szCs w:val="20"/>
                <w:color w:val="auto"/>
              </w:rPr>
            </w:pPr>
            <w:r>
              <w:rPr>
                <w:rFonts w:ascii="Arial" w:cs="Arial" w:eastAsia="Arial" w:hAnsi="Arial"/>
                <w:sz w:val="14"/>
                <w:szCs w:val="14"/>
                <w:color w:val="auto"/>
                <w:w w:val="95"/>
              </w:rPr>
              <w:t>Chief Financial Officer and Treasurer (Principal Financial and Accounting Officer)</w:t>
            </w:r>
          </w:p>
        </w:tc>
        <w:tc>
          <w:tcPr>
            <w:tcW w:w="1420" w:type="dxa"/>
            <w:vAlign w:val="bottom"/>
            <w:gridSpan w:val="3"/>
          </w:tcPr>
          <w:p>
            <w:pPr>
              <w:jc w:val="center"/>
              <w:ind w:left="208"/>
              <w:spacing w:after="0"/>
              <w:rPr>
                <w:sz w:val="20"/>
                <w:szCs w:val="20"/>
                <w:color w:val="auto"/>
              </w:rPr>
            </w:pPr>
            <w:r>
              <w:rPr>
                <w:rFonts w:ascii="Arial" w:cs="Arial" w:eastAsia="Arial" w:hAnsi="Arial"/>
                <w:sz w:val="14"/>
                <w:szCs w:val="14"/>
                <w:color w:val="auto"/>
                <w:w w:val="92"/>
              </w:rPr>
              <w:t>November 21, 2016</w:t>
            </w:r>
          </w:p>
        </w:tc>
      </w:tr>
      <w:tr>
        <w:trPr>
          <w:trHeight w:val="180"/>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Aviv Efrat</w:t>
            </w:r>
          </w:p>
        </w:tc>
        <w:tc>
          <w:tcPr>
            <w:tcW w:w="17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40"/>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ADAM K. BERNSTEIN</w:t>
            </w:r>
          </w:p>
        </w:tc>
        <w:tc>
          <w:tcPr>
            <w:tcW w:w="1780" w:type="dxa"/>
            <w:vAlign w:val="bottom"/>
            <w:tcBorders>
              <w:bottom w:val="single" w:sz="8" w:color="auto"/>
            </w:tcBorders>
          </w:tcPr>
          <w:p>
            <w:pPr>
              <w:spacing w:after="0"/>
              <w:rPr>
                <w:sz w:val="24"/>
                <w:szCs w:val="24"/>
                <w:color w:val="auto"/>
              </w:rPr>
            </w:pPr>
          </w:p>
        </w:tc>
        <w:tc>
          <w:tcPr>
            <w:tcW w:w="5340" w:type="dxa"/>
            <w:vAlign w:val="bottom"/>
            <w:gridSpan w:val="3"/>
          </w:tcPr>
          <w:p>
            <w:pPr>
              <w:jc w:val="center"/>
              <w:ind w:right="100"/>
              <w:spacing w:after="0"/>
              <w:rPr>
                <w:sz w:val="20"/>
                <w:szCs w:val="20"/>
                <w:color w:val="auto"/>
              </w:rPr>
            </w:pPr>
            <w:r>
              <w:rPr>
                <w:rFonts w:ascii="Arial" w:cs="Arial" w:eastAsia="Arial" w:hAnsi="Arial"/>
                <w:sz w:val="14"/>
                <w:szCs w:val="14"/>
                <w:color w:val="auto"/>
                <w:w w:val="97"/>
              </w:rPr>
              <w:t>Director</w:t>
            </w:r>
          </w:p>
        </w:tc>
        <w:tc>
          <w:tcPr>
            <w:tcW w:w="1420" w:type="dxa"/>
            <w:vAlign w:val="bottom"/>
            <w:gridSpan w:val="3"/>
          </w:tcPr>
          <w:p>
            <w:pPr>
              <w:jc w:val="center"/>
              <w:ind w:left="208"/>
              <w:spacing w:after="0"/>
              <w:rPr>
                <w:sz w:val="20"/>
                <w:szCs w:val="20"/>
                <w:color w:val="auto"/>
              </w:rPr>
            </w:pPr>
            <w:r>
              <w:rPr>
                <w:rFonts w:ascii="Arial" w:cs="Arial" w:eastAsia="Arial" w:hAnsi="Arial"/>
                <w:sz w:val="14"/>
                <w:szCs w:val="14"/>
                <w:color w:val="auto"/>
                <w:w w:val="92"/>
              </w:rPr>
              <w:t>November 21, 2016</w:t>
            </w:r>
          </w:p>
        </w:tc>
      </w:tr>
      <w:tr>
        <w:trPr>
          <w:trHeight w:val="180"/>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Adam K. Bernstein</w:t>
            </w:r>
          </w:p>
        </w:tc>
        <w:tc>
          <w:tcPr>
            <w:tcW w:w="17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40"/>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JEFFREY FLUG</w:t>
            </w:r>
          </w:p>
        </w:tc>
        <w:tc>
          <w:tcPr>
            <w:tcW w:w="1780" w:type="dxa"/>
            <w:vAlign w:val="bottom"/>
            <w:tcBorders>
              <w:bottom w:val="single" w:sz="8" w:color="auto"/>
            </w:tcBorders>
          </w:tcPr>
          <w:p>
            <w:pPr>
              <w:spacing w:after="0"/>
              <w:rPr>
                <w:sz w:val="24"/>
                <w:szCs w:val="24"/>
                <w:color w:val="auto"/>
              </w:rPr>
            </w:pPr>
          </w:p>
        </w:tc>
        <w:tc>
          <w:tcPr>
            <w:tcW w:w="5340" w:type="dxa"/>
            <w:vAlign w:val="bottom"/>
            <w:gridSpan w:val="3"/>
          </w:tcPr>
          <w:p>
            <w:pPr>
              <w:jc w:val="center"/>
              <w:ind w:right="100"/>
              <w:spacing w:after="0"/>
              <w:rPr>
                <w:sz w:val="20"/>
                <w:szCs w:val="20"/>
                <w:color w:val="auto"/>
              </w:rPr>
            </w:pPr>
            <w:r>
              <w:rPr>
                <w:rFonts w:ascii="Arial" w:cs="Arial" w:eastAsia="Arial" w:hAnsi="Arial"/>
                <w:sz w:val="14"/>
                <w:szCs w:val="14"/>
                <w:color w:val="auto"/>
                <w:w w:val="97"/>
              </w:rPr>
              <w:t>Director</w:t>
            </w:r>
          </w:p>
        </w:tc>
        <w:tc>
          <w:tcPr>
            <w:tcW w:w="1420" w:type="dxa"/>
            <w:vAlign w:val="bottom"/>
            <w:gridSpan w:val="3"/>
          </w:tcPr>
          <w:p>
            <w:pPr>
              <w:jc w:val="center"/>
              <w:ind w:left="208"/>
              <w:spacing w:after="0"/>
              <w:rPr>
                <w:sz w:val="20"/>
                <w:szCs w:val="20"/>
                <w:color w:val="auto"/>
              </w:rPr>
            </w:pPr>
            <w:r>
              <w:rPr>
                <w:rFonts w:ascii="Arial" w:cs="Arial" w:eastAsia="Arial" w:hAnsi="Arial"/>
                <w:sz w:val="14"/>
                <w:szCs w:val="14"/>
                <w:color w:val="auto"/>
                <w:w w:val="92"/>
              </w:rPr>
              <w:t>November 21, 2016</w:t>
            </w:r>
          </w:p>
        </w:tc>
      </w:tr>
      <w:tr>
        <w:trPr>
          <w:trHeight w:val="180"/>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Jeffrey Flug</w:t>
            </w:r>
          </w:p>
        </w:tc>
        <w:tc>
          <w:tcPr>
            <w:tcW w:w="17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40"/>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MARSHALL BROZOST</w:t>
            </w:r>
          </w:p>
        </w:tc>
        <w:tc>
          <w:tcPr>
            <w:tcW w:w="1780" w:type="dxa"/>
            <w:vAlign w:val="bottom"/>
            <w:tcBorders>
              <w:bottom w:val="single" w:sz="8" w:color="auto"/>
            </w:tcBorders>
          </w:tcPr>
          <w:p>
            <w:pPr>
              <w:spacing w:after="0"/>
              <w:rPr>
                <w:sz w:val="24"/>
                <w:szCs w:val="24"/>
                <w:color w:val="auto"/>
              </w:rPr>
            </w:pPr>
          </w:p>
        </w:tc>
        <w:tc>
          <w:tcPr>
            <w:tcW w:w="5340" w:type="dxa"/>
            <w:vAlign w:val="bottom"/>
            <w:gridSpan w:val="3"/>
          </w:tcPr>
          <w:p>
            <w:pPr>
              <w:jc w:val="center"/>
              <w:ind w:right="100"/>
              <w:spacing w:after="0"/>
              <w:rPr>
                <w:sz w:val="20"/>
                <w:szCs w:val="20"/>
                <w:color w:val="auto"/>
              </w:rPr>
            </w:pPr>
            <w:r>
              <w:rPr>
                <w:rFonts w:ascii="Arial" w:cs="Arial" w:eastAsia="Arial" w:hAnsi="Arial"/>
                <w:sz w:val="14"/>
                <w:szCs w:val="14"/>
                <w:color w:val="auto"/>
                <w:w w:val="97"/>
              </w:rPr>
              <w:t>Director</w:t>
            </w:r>
          </w:p>
        </w:tc>
        <w:tc>
          <w:tcPr>
            <w:tcW w:w="1420" w:type="dxa"/>
            <w:vAlign w:val="bottom"/>
            <w:gridSpan w:val="3"/>
          </w:tcPr>
          <w:p>
            <w:pPr>
              <w:jc w:val="center"/>
              <w:ind w:left="208"/>
              <w:spacing w:after="0"/>
              <w:rPr>
                <w:sz w:val="20"/>
                <w:szCs w:val="20"/>
                <w:color w:val="auto"/>
              </w:rPr>
            </w:pPr>
            <w:r>
              <w:rPr>
                <w:rFonts w:ascii="Arial" w:cs="Arial" w:eastAsia="Arial" w:hAnsi="Arial"/>
                <w:sz w:val="14"/>
                <w:szCs w:val="14"/>
                <w:color w:val="auto"/>
                <w:w w:val="92"/>
              </w:rPr>
              <w:t>November 21, 2016</w:t>
            </w:r>
          </w:p>
        </w:tc>
      </w:tr>
      <w:tr>
        <w:trPr>
          <w:trHeight w:val="180"/>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Marshall Brozost</w:t>
            </w:r>
          </w:p>
        </w:tc>
        <w:tc>
          <w:tcPr>
            <w:tcW w:w="17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40"/>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SAMUEL L. KATZ</w:t>
            </w:r>
          </w:p>
        </w:tc>
        <w:tc>
          <w:tcPr>
            <w:tcW w:w="1780" w:type="dxa"/>
            <w:vAlign w:val="bottom"/>
            <w:tcBorders>
              <w:bottom w:val="single" w:sz="8" w:color="auto"/>
            </w:tcBorders>
          </w:tcPr>
          <w:p>
            <w:pPr>
              <w:spacing w:after="0"/>
              <w:rPr>
                <w:sz w:val="24"/>
                <w:szCs w:val="24"/>
                <w:color w:val="auto"/>
              </w:rPr>
            </w:pPr>
          </w:p>
        </w:tc>
        <w:tc>
          <w:tcPr>
            <w:tcW w:w="5340" w:type="dxa"/>
            <w:vAlign w:val="bottom"/>
            <w:gridSpan w:val="3"/>
          </w:tcPr>
          <w:p>
            <w:pPr>
              <w:jc w:val="center"/>
              <w:ind w:right="100"/>
              <w:spacing w:after="0"/>
              <w:rPr>
                <w:sz w:val="20"/>
                <w:szCs w:val="20"/>
                <w:color w:val="auto"/>
              </w:rPr>
            </w:pPr>
            <w:r>
              <w:rPr>
                <w:rFonts w:ascii="Arial" w:cs="Arial" w:eastAsia="Arial" w:hAnsi="Arial"/>
                <w:sz w:val="14"/>
                <w:szCs w:val="14"/>
                <w:color w:val="auto"/>
                <w:w w:val="97"/>
              </w:rPr>
              <w:t>Director</w:t>
            </w:r>
          </w:p>
        </w:tc>
        <w:tc>
          <w:tcPr>
            <w:tcW w:w="1420" w:type="dxa"/>
            <w:vAlign w:val="bottom"/>
            <w:gridSpan w:val="3"/>
          </w:tcPr>
          <w:p>
            <w:pPr>
              <w:jc w:val="center"/>
              <w:ind w:left="208"/>
              <w:spacing w:after="0"/>
              <w:rPr>
                <w:sz w:val="20"/>
                <w:szCs w:val="20"/>
                <w:color w:val="auto"/>
              </w:rPr>
            </w:pPr>
            <w:r>
              <w:rPr>
                <w:rFonts w:ascii="Arial" w:cs="Arial" w:eastAsia="Arial" w:hAnsi="Arial"/>
                <w:sz w:val="14"/>
                <w:szCs w:val="14"/>
                <w:color w:val="auto"/>
                <w:w w:val="92"/>
              </w:rPr>
              <w:t>November 21, 2016</w:t>
            </w:r>
          </w:p>
        </w:tc>
      </w:tr>
      <w:tr>
        <w:trPr>
          <w:trHeight w:val="180"/>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Samuel L. Katz</w:t>
            </w:r>
          </w:p>
        </w:tc>
        <w:tc>
          <w:tcPr>
            <w:tcW w:w="17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88"/>
        </w:trPr>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60" w:type="dxa"/>
            <w:vAlign w:val="bottom"/>
            <w:gridSpan w:val="2"/>
          </w:tcPr>
          <w:p>
            <w:pPr>
              <w:jc w:val="right"/>
              <w:ind w:right="908"/>
              <w:spacing w:after="0"/>
              <w:rPr>
                <w:sz w:val="20"/>
                <w:szCs w:val="20"/>
                <w:color w:val="auto"/>
              </w:rPr>
            </w:pPr>
            <w:r>
              <w:rPr>
                <w:rFonts w:ascii="Arial" w:cs="Arial" w:eastAsia="Arial" w:hAnsi="Arial"/>
                <w:sz w:val="14"/>
                <w:szCs w:val="14"/>
                <w:color w:val="auto"/>
              </w:rPr>
              <w:t>75</w:t>
            </w:r>
          </w:p>
        </w:tc>
        <w:tc>
          <w:tcPr>
            <w:tcW w:w="2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77" w:name="page78"/>
    <w:bookmarkEnd w:id="77"/>
    <w:p>
      <w:pPr>
        <w:jc w:val="right"/>
        <w:spacing w:after="0"/>
        <w:rPr>
          <w:sz w:val="20"/>
          <w:szCs w:val="20"/>
          <w:color w:val="auto"/>
        </w:rPr>
      </w:pPr>
      <w:r>
        <w:rPr>
          <w:rFonts w:ascii="Arial" w:cs="Arial" w:eastAsia="Arial" w:hAnsi="Arial"/>
          <w:sz w:val="14"/>
          <w:szCs w:val="14"/>
          <w:b w:val="1"/>
          <w:bCs w:val="1"/>
          <w:color w:val="auto"/>
        </w:rPr>
        <w:t>EXHIBIT 10.5</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INDEMNIFICATION AGREEMENT</w:t>
      </w:r>
    </w:p>
    <w:p>
      <w:pPr>
        <w:spacing w:after="0" w:line="356" w:lineRule="exact"/>
        <w:rPr>
          <w:sz w:val="20"/>
          <w:szCs w:val="20"/>
          <w:color w:val="auto"/>
        </w:rPr>
      </w:pPr>
    </w:p>
    <w:p>
      <w:pPr>
        <w:ind w:right="20" w:firstLine="562"/>
        <w:spacing w:after="0" w:line="253" w:lineRule="auto"/>
        <w:rPr>
          <w:sz w:val="20"/>
          <w:szCs w:val="20"/>
          <w:color w:val="auto"/>
        </w:rPr>
      </w:pPr>
      <w:r>
        <w:rPr>
          <w:rFonts w:ascii="Arial" w:cs="Arial" w:eastAsia="Arial" w:hAnsi="Arial"/>
          <w:sz w:val="14"/>
          <w:szCs w:val="14"/>
          <w:color w:val="auto"/>
        </w:rPr>
        <w:t>This INDEMNIFICATION AGREEMENT is made this 15th day of November, 2016 (“Agreement”) by and between PennantPark Investment Corporation (the “Company”) and each of the Company’s Directors and/or Officers listed on Schedule A hereto (each, an “Indemnitee”).</w:t>
      </w:r>
    </w:p>
    <w:p>
      <w:pPr>
        <w:spacing w:after="0" w:line="174" w:lineRule="exact"/>
        <w:rPr>
          <w:sz w:val="20"/>
          <w:szCs w:val="20"/>
          <w:color w:val="auto"/>
        </w:rPr>
      </w:pPr>
    </w:p>
    <w:p>
      <w:pPr>
        <w:ind w:right="400" w:firstLine="562"/>
        <w:spacing w:after="0" w:line="253" w:lineRule="auto"/>
        <w:rPr>
          <w:sz w:val="20"/>
          <w:szCs w:val="20"/>
          <w:color w:val="auto"/>
        </w:rPr>
      </w:pPr>
      <w:r>
        <w:rPr>
          <w:rFonts w:ascii="Arial" w:cs="Arial" w:eastAsia="Arial" w:hAnsi="Arial"/>
          <w:sz w:val="14"/>
          <w:szCs w:val="14"/>
          <w:color w:val="auto"/>
        </w:rPr>
        <w:t>WHEREAS, at the request of the Company, Indemnitee currently serves as a Director/Officer and, therefore, may be subjected to claims, suits or proceedings arising as a result of Indemnitee’s service; and</w:t>
      </w:r>
    </w:p>
    <w:p>
      <w:pPr>
        <w:spacing w:after="0" w:line="174" w:lineRule="exact"/>
        <w:rPr>
          <w:sz w:val="20"/>
          <w:szCs w:val="20"/>
          <w:color w:val="auto"/>
        </w:rPr>
      </w:pPr>
    </w:p>
    <w:p>
      <w:pPr>
        <w:ind w:right="280" w:firstLine="562"/>
        <w:spacing w:after="0" w:line="253" w:lineRule="auto"/>
        <w:rPr>
          <w:sz w:val="20"/>
          <w:szCs w:val="20"/>
          <w:color w:val="auto"/>
        </w:rPr>
      </w:pPr>
      <w:r>
        <w:rPr>
          <w:rFonts w:ascii="Arial" w:cs="Arial" w:eastAsia="Arial" w:hAnsi="Arial"/>
          <w:sz w:val="14"/>
          <w:szCs w:val="14"/>
          <w:color w:val="auto"/>
        </w:rPr>
        <w:t>WHEREAS, as an inducement to Indemnitee to continue to serve as such Director/Officer, the Company has agreed to indemnify Indemnitee against expenses and costs incurred by Indemnitee in connection with any such claims, suits or proceedings, to the fullest extent that is lawful; and</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WHEREAS, the parties by this Agreement desire to set forth their agreement regarding indemnification;</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NOW, THEREFORE, in consideration of the premises and the covenants contained herein, the Company and Indemnitee do hereby covenant and agree as follows:</w:t>
      </w:r>
    </w:p>
    <w:p>
      <w:pPr>
        <w:spacing w:after="0" w:line="204" w:lineRule="exact"/>
        <w:rPr>
          <w:sz w:val="20"/>
          <w:szCs w:val="20"/>
          <w:color w:val="auto"/>
        </w:rPr>
      </w:pPr>
    </w:p>
    <w:p>
      <w:pPr>
        <w:ind w:left="560"/>
        <w:spacing w:after="0"/>
        <w:tabs>
          <w:tab w:leader="none" w:pos="1260" w:val="left"/>
        </w:tabs>
        <w:rPr>
          <w:sz w:val="20"/>
          <w:szCs w:val="20"/>
          <w:color w:val="auto"/>
        </w:rPr>
      </w:pPr>
      <w:r>
        <w:rPr>
          <w:rFonts w:ascii="Arial" w:cs="Arial" w:eastAsia="Arial" w:hAnsi="Arial"/>
          <w:sz w:val="14"/>
          <w:szCs w:val="14"/>
          <w:color w:val="auto"/>
        </w:rPr>
        <w:t>Section 1.</w:t>
      </w:r>
      <w:r>
        <w:rPr>
          <w:sz w:val="20"/>
          <w:szCs w:val="20"/>
          <w:color w:val="auto"/>
        </w:rPr>
        <w:tab/>
      </w:r>
      <w:r>
        <w:rPr>
          <w:rFonts w:ascii="Arial" w:cs="Arial" w:eastAsia="Arial" w:hAnsi="Arial"/>
          <w:sz w:val="13"/>
          <w:szCs w:val="13"/>
          <w:u w:val="single" w:color="auto"/>
          <w:color w:val="auto"/>
        </w:rPr>
        <w:t>Definitions</w:t>
      </w:r>
      <w:r>
        <w:rPr>
          <w:rFonts w:ascii="Arial" w:cs="Arial" w:eastAsia="Arial" w:hAnsi="Arial"/>
          <w:sz w:val="13"/>
          <w:szCs w:val="13"/>
          <w:color w:val="auto"/>
        </w:rPr>
        <w:t>. For purposes of this Agreement:</w:t>
      </w:r>
    </w:p>
    <w:p>
      <w:pPr>
        <w:spacing w:after="0" w:line="204" w:lineRule="exact"/>
        <w:rPr>
          <w:sz w:val="20"/>
          <w:szCs w:val="20"/>
          <w:color w:val="auto"/>
        </w:rPr>
      </w:pPr>
    </w:p>
    <w:p>
      <w:pPr>
        <w:ind w:left="1620" w:hanging="489"/>
        <w:spacing w:after="0"/>
        <w:tabs>
          <w:tab w:leader="none" w:pos="16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“Board” means the board of directors of the Company.</w:t>
      </w:r>
    </w:p>
    <w:p>
      <w:pPr>
        <w:spacing w:after="0" w:line="203" w:lineRule="exact"/>
        <w:rPr>
          <w:rFonts w:ascii="Arial" w:cs="Arial" w:eastAsia="Arial" w:hAnsi="Arial"/>
          <w:sz w:val="14"/>
          <w:szCs w:val="14"/>
          <w:color w:val="auto"/>
        </w:rPr>
      </w:pPr>
    </w:p>
    <w:p>
      <w:pPr>
        <w:ind w:left="1620" w:hanging="489"/>
        <w:spacing w:after="0"/>
        <w:tabs>
          <w:tab w:leader="none" w:pos="16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“Corporate Status” means the status of a person as a Director, Officer, employee or agent of the Company.</w:t>
      </w:r>
    </w:p>
    <w:p>
      <w:pPr>
        <w:spacing w:after="0" w:line="203" w:lineRule="exact"/>
        <w:rPr>
          <w:rFonts w:ascii="Arial" w:cs="Arial" w:eastAsia="Arial" w:hAnsi="Arial"/>
          <w:sz w:val="14"/>
          <w:szCs w:val="14"/>
          <w:color w:val="auto"/>
        </w:rPr>
      </w:pPr>
    </w:p>
    <w:p>
      <w:pPr>
        <w:ind w:left="1620" w:hanging="489"/>
        <w:spacing w:after="0"/>
        <w:tabs>
          <w:tab w:leader="none" w:pos="16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“Director” means a director of the Company.</w:t>
      </w:r>
    </w:p>
    <w:p>
      <w:pPr>
        <w:spacing w:after="0" w:line="203" w:lineRule="exact"/>
        <w:rPr>
          <w:rFonts w:ascii="Arial" w:cs="Arial" w:eastAsia="Arial" w:hAnsi="Arial"/>
          <w:sz w:val="14"/>
          <w:szCs w:val="14"/>
          <w:color w:val="auto"/>
        </w:rPr>
      </w:pPr>
    </w:p>
    <w:p>
      <w:pPr>
        <w:ind w:firstLine="1131"/>
        <w:spacing w:after="0" w:line="233" w:lineRule="auto"/>
        <w:tabs>
          <w:tab w:leader="none" w:pos="1614" w:val="left"/>
        </w:tabs>
        <w:numPr>
          <w:ilvl w:val="0"/>
          <w:numId w:val="48"/>
        </w:numPr>
        <w:rPr>
          <w:rFonts w:ascii="Arial" w:cs="Arial" w:eastAsia="Arial" w:hAnsi="Arial"/>
          <w:sz w:val="14"/>
          <w:szCs w:val="14"/>
          <w:color w:val="auto"/>
        </w:rPr>
      </w:pPr>
      <w:r>
        <w:rPr>
          <w:rFonts w:ascii="Arial" w:cs="Arial" w:eastAsia="Arial" w:hAnsi="Arial"/>
          <w:sz w:val="14"/>
          <w:szCs w:val="14"/>
          <w:color w:val="auto"/>
        </w:rPr>
        <w:t>“Disabling Conduct” means willful misfeasance, bad faith, or gross negligence in the performance of Indemnitee’s duties as a Director/Officer, or reckless disregard of Indemnitee’s duties as a Director/Officer. Disabling Conduct also shall mean (i) an act or omission of Indemnitee that is material to the matter giving rise to a Proceeding and was committed in bad faith or was the result of active and deliberate dishonesty, (ii) actual receipt of an improper personal benefit in money, property, or services by Indemnitee, or (iii) in the case of a criminal proceeding, the Indemnitee had reasonable cause to believe that the act or omission was unlawful.</w:t>
      </w:r>
    </w:p>
    <w:p>
      <w:pPr>
        <w:spacing w:after="0" w:line="184" w:lineRule="exact"/>
        <w:rPr>
          <w:rFonts w:ascii="Arial" w:cs="Arial" w:eastAsia="Arial" w:hAnsi="Arial"/>
          <w:sz w:val="14"/>
          <w:szCs w:val="14"/>
          <w:color w:val="auto"/>
        </w:rPr>
      </w:pPr>
    </w:p>
    <w:p>
      <w:pPr>
        <w:ind w:right="220" w:firstLine="1131"/>
        <w:spacing w:after="0" w:line="264" w:lineRule="auto"/>
        <w:tabs>
          <w:tab w:leader="none" w:pos="1606" w:val="left"/>
        </w:tabs>
        <w:numPr>
          <w:ilvl w:val="0"/>
          <w:numId w:val="48"/>
        </w:numPr>
        <w:rPr>
          <w:rFonts w:ascii="Arial" w:cs="Arial" w:eastAsia="Arial" w:hAnsi="Arial"/>
          <w:sz w:val="13"/>
          <w:szCs w:val="13"/>
          <w:color w:val="auto"/>
        </w:rPr>
      </w:pPr>
      <w:r>
        <w:rPr>
          <w:rFonts w:ascii="Arial" w:cs="Arial" w:eastAsia="Arial" w:hAnsi="Arial"/>
          <w:sz w:val="13"/>
          <w:szCs w:val="13"/>
          <w:color w:val="auto"/>
        </w:rPr>
        <w:t>“Expenses” shall include all reasonable attorneys’ fees and all reasonable costs, including, without limitation,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or being or preparing to be a witness in a Proceeding.</w:t>
      </w:r>
    </w:p>
    <w:p>
      <w:pPr>
        <w:spacing w:after="0" w:line="168" w:lineRule="exact"/>
        <w:rPr>
          <w:rFonts w:ascii="Arial" w:cs="Arial" w:eastAsia="Arial" w:hAnsi="Arial"/>
          <w:sz w:val="13"/>
          <w:szCs w:val="13"/>
          <w:color w:val="auto"/>
        </w:rPr>
      </w:pPr>
    </w:p>
    <w:p>
      <w:pPr>
        <w:jc w:val="both"/>
        <w:ind w:right="100" w:firstLine="1131"/>
        <w:spacing w:after="0" w:line="233" w:lineRule="auto"/>
        <w:tabs>
          <w:tab w:leader="none" w:pos="1626"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“Independent Counsel” means counsel that meets all of the following criteria: (i) is “independent legal counsel” within the meaning of Rule 0-1(a)(6) under the Investment Company Act of 1940, as amended (the “1940 Act”), in respect of the Company; (ii) is experienced in matters of the 1940 Act and Maryland corporate law; (iii) is not currently representing, nor in the past two years has been retained to represent, the Company or Indemnitee in any matter material to either such party; and (iv) is not currently representing, nor in the past two years has been retained to represent, any other party</w:t>
      </w:r>
    </w:p>
    <w:p>
      <w:pPr>
        <w:sectPr>
          <w:pgSz w:w="11900" w:h="16838" w:orient="portrait"/>
          <w:cols w:equalWidth="0" w:num="1">
            <w:col w:w="11240"/>
          </w:cols>
          <w:pgMar w:left="320" w:top="118" w:right="339" w:bottom="1440" w:gutter="0" w:footer="0" w:header="0"/>
        </w:sectPr>
      </w:pPr>
    </w:p>
    <w:bookmarkStart w:id="78" w:name="page79"/>
    <w:bookmarkEnd w:id="78"/>
    <w:p>
      <w:pPr>
        <w:ind w:right="60"/>
        <w:spacing w:after="0" w:line="22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Proceeding giving rise to a request for indemnification hereunder, except that the counsel also may represent another Independent Director in the Proceeding. Independent Counsel shall be selected by Indemnitee and approved by the Board (which approval shall not be unreasonably withheld). In the event that the Board does not approve Indemnitee’s selection within 30 days of written notice from Indemnitee of Indemnitee’s selection, Indemnitee may select another counsel from a law firm having 100 or more attorneys and rated “AV” in Martindale-Hubbell Law Directory to act as Independent Counsel for purposes of this Agreement, provided that such other counsel satisfies the criteria in (i) through (iv) in this paragraph. Notwithstanding the foregoing, the term “Independent Counsel” shall not include any person who, under applicable standards of professional conduct, would have a material conflict of interest in representing either the Company or Indemnitee in an action to determine Indemnitee’s rights under this Agreement.</w:t>
      </w:r>
    </w:p>
    <w:p>
      <w:pPr>
        <w:spacing w:after="0" w:line="185" w:lineRule="exact"/>
        <w:rPr>
          <w:sz w:val="20"/>
          <w:szCs w:val="20"/>
          <w:color w:val="auto"/>
        </w:rPr>
      </w:pPr>
    </w:p>
    <w:p>
      <w:pPr>
        <w:ind w:right="260" w:firstLine="1131"/>
        <w:spacing w:after="0" w:line="253" w:lineRule="auto"/>
        <w:tabs>
          <w:tab w:leader="none" w:pos="1614"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“Indemnifiable Amounts” means reasonable Expenses, and any judgment, settlement, penalty or fine actually incurred by Indemnitee or on Indemnitee’s behalf in connection with a Proceeding.</w:t>
      </w:r>
    </w:p>
    <w:p>
      <w:pPr>
        <w:spacing w:after="0" w:line="173" w:lineRule="exact"/>
        <w:rPr>
          <w:rFonts w:ascii="Arial" w:cs="Arial" w:eastAsia="Arial" w:hAnsi="Arial"/>
          <w:sz w:val="14"/>
          <w:szCs w:val="14"/>
          <w:color w:val="auto"/>
        </w:rPr>
      </w:pPr>
    </w:p>
    <w:p>
      <w:pPr>
        <w:ind w:left="1620" w:hanging="489"/>
        <w:spacing w:after="0"/>
        <w:tabs>
          <w:tab w:leader="none" w:pos="16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“Independent Director” means a Director who is not an “interested person” (as defined in the 1940 Act) of the Company.</w:t>
      </w:r>
    </w:p>
    <w:p>
      <w:pPr>
        <w:spacing w:after="0" w:line="203" w:lineRule="exact"/>
        <w:rPr>
          <w:rFonts w:ascii="Arial" w:cs="Arial" w:eastAsia="Arial" w:hAnsi="Arial"/>
          <w:sz w:val="14"/>
          <w:szCs w:val="14"/>
          <w:color w:val="auto"/>
        </w:rPr>
      </w:pPr>
    </w:p>
    <w:p>
      <w:pPr>
        <w:ind w:left="1620" w:hanging="489"/>
        <w:spacing w:after="0"/>
        <w:tabs>
          <w:tab w:leader="none" w:pos="16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“Officer” means an officer of the Company appointed by the Board pursuant to the Company’s governing documents.</w:t>
      </w:r>
    </w:p>
    <w:p>
      <w:pPr>
        <w:spacing w:after="0" w:line="203" w:lineRule="exact"/>
        <w:rPr>
          <w:rFonts w:ascii="Arial" w:cs="Arial" w:eastAsia="Arial" w:hAnsi="Arial"/>
          <w:sz w:val="14"/>
          <w:szCs w:val="14"/>
          <w:color w:val="auto"/>
        </w:rPr>
      </w:pPr>
    </w:p>
    <w:p>
      <w:pPr>
        <w:ind w:right="280" w:firstLine="1131"/>
        <w:spacing w:after="0" w:line="290" w:lineRule="auto"/>
        <w:tabs>
          <w:tab w:leader="none" w:pos="1618" w:val="left"/>
        </w:tabs>
        <w:numPr>
          <w:ilvl w:val="0"/>
          <w:numId w:val="49"/>
        </w:numPr>
        <w:rPr>
          <w:rFonts w:ascii="Arial" w:cs="Arial" w:eastAsia="Arial" w:hAnsi="Arial"/>
          <w:sz w:val="13"/>
          <w:szCs w:val="13"/>
          <w:color w:val="auto"/>
        </w:rPr>
      </w:pPr>
      <w:r>
        <w:rPr>
          <w:rFonts w:ascii="Arial" w:cs="Arial" w:eastAsia="Arial" w:hAnsi="Arial"/>
          <w:sz w:val="13"/>
          <w:szCs w:val="13"/>
          <w:color w:val="auto"/>
        </w:rPr>
        <w:t>“Proceeding” includes any claim, action, suit, arbitration, alternative dispute resolution mechanism, investigation, administrative hearing or any other proceeding, whether civil, criminal, administrative or investigative, except one initiated by an Indemnitee pursuant to Section 7 of this Agreement to enforce Indemnitee’s rights under this Agreement.</w:t>
      </w:r>
    </w:p>
    <w:p>
      <w:pPr>
        <w:spacing w:after="0" w:line="152"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u w:val="single" w:color="auto"/>
          <w:color w:val="auto"/>
        </w:rPr>
        <w:t>Services by Indemnitee</w:t>
      </w:r>
      <w:r>
        <w:rPr>
          <w:rFonts w:ascii="Arial" w:cs="Arial" w:eastAsia="Arial" w:hAnsi="Arial"/>
          <w:sz w:val="14"/>
          <w:szCs w:val="14"/>
          <w:color w:val="auto"/>
        </w:rPr>
        <w:t>. Indemnitee agrees to continue to serve as a Director/Officer but may resign, at any time and for any reason, from such position (subject to any other contractual obligation or any obligation imposed by operation of law). The Company shall have no obligation under this Agreement to continue Indemnitee in such position, but, in the event that Indemnitee ceases to serve as a Director/Officer, Indemnitee shall nevertheless retain all rights provided under this Agreement until its termination. This Agreement shall not be deemed an employment contract between the Company (or any of its subsidiaries) and Indemnitee.</w:t>
      </w:r>
    </w:p>
    <w:p>
      <w:pPr>
        <w:spacing w:after="0" w:line="185" w:lineRule="exact"/>
        <w:rPr>
          <w:sz w:val="20"/>
          <w:szCs w:val="20"/>
          <w:color w:val="auto"/>
        </w:rPr>
      </w:pPr>
    </w:p>
    <w:p>
      <w:pPr>
        <w:ind w:right="200" w:firstLine="562"/>
        <w:spacing w:after="0" w:line="233" w:lineRule="auto"/>
        <w:rPr>
          <w:sz w:val="20"/>
          <w:szCs w:val="20"/>
          <w:color w:val="auto"/>
        </w:rPr>
      </w:pPr>
      <w:r>
        <w:rPr>
          <w:rFonts w:ascii="Arial" w:cs="Arial" w:eastAsia="Arial" w:hAnsi="Arial"/>
          <w:sz w:val="14"/>
          <w:szCs w:val="14"/>
          <w:color w:val="auto"/>
        </w:rPr>
        <w:t xml:space="preserve">Section 3. </w:t>
      </w:r>
      <w:r>
        <w:rPr>
          <w:rFonts w:ascii="Arial" w:cs="Arial" w:eastAsia="Arial" w:hAnsi="Arial"/>
          <w:sz w:val="14"/>
          <w:szCs w:val="14"/>
          <w:u w:val="single" w:color="auto"/>
          <w:color w:val="auto"/>
        </w:rPr>
        <w:t>Indemnification – General</w:t>
      </w:r>
      <w:r>
        <w:rPr>
          <w:rFonts w:ascii="Arial" w:cs="Arial" w:eastAsia="Arial" w:hAnsi="Arial"/>
          <w:sz w:val="14"/>
          <w:szCs w:val="14"/>
          <w:color w:val="auto"/>
        </w:rPr>
        <w:t>. The Company shall indemnify, and advance Expenses to, Indemnitee (a) as specifically provided in this Agreement and the Company’s governing documents and (b) otherwise to the fullest extent permitted by applicable law in effect on the date hereof and as amended from time to time; provided, however, that no change in applicable law shall have the effect of reducing the benefits available to Indemnitee hereunder based on applicable law as in effect on the date hereof. The rights of Indemnitee provided in this Section shall include, but shall not be limited to, all rights set forth in the other Sections of this Agreement.</w:t>
      </w:r>
    </w:p>
    <w:p>
      <w:pPr>
        <w:spacing w:after="0" w:line="185" w:lineRule="exact"/>
        <w:rPr>
          <w:sz w:val="20"/>
          <w:szCs w:val="20"/>
          <w:color w:val="auto"/>
        </w:rPr>
      </w:pPr>
    </w:p>
    <w:p>
      <w:pPr>
        <w:ind w:right="120" w:firstLine="562"/>
        <w:spacing w:after="0" w:line="231" w:lineRule="auto"/>
        <w:rPr>
          <w:sz w:val="20"/>
          <w:szCs w:val="20"/>
          <w:color w:val="auto"/>
        </w:rPr>
      </w:pPr>
      <w:r>
        <w:rPr>
          <w:rFonts w:ascii="Arial" w:cs="Arial" w:eastAsia="Arial" w:hAnsi="Arial"/>
          <w:sz w:val="14"/>
          <w:szCs w:val="14"/>
          <w:color w:val="auto"/>
        </w:rPr>
        <w:t xml:space="preserve">Section 4. </w:t>
      </w:r>
      <w:r>
        <w:rPr>
          <w:rFonts w:ascii="Arial" w:cs="Arial" w:eastAsia="Arial" w:hAnsi="Arial"/>
          <w:sz w:val="14"/>
          <w:szCs w:val="14"/>
          <w:u w:val="single" w:color="auto"/>
          <w:color w:val="auto"/>
        </w:rPr>
        <w:t>Rights of Indemnification; Indemnification of Expenses for a Party</w:t>
      </w:r>
      <w:r>
        <w:rPr>
          <w:rFonts w:ascii="Arial" w:cs="Arial" w:eastAsia="Arial" w:hAnsi="Arial"/>
          <w:sz w:val="14"/>
          <w:szCs w:val="14"/>
          <w:color w:val="auto"/>
        </w:rPr>
        <w:t>. Indemnitee shall be entitled to the rights of indemnification provided in this Section 4 if, by reason of Indemnitee’s Corporate Status, Indemnitee is, or is threatened to be, made a party to or otherwise involved in any pending, actual, completed or threatened Proceeding, whether or not such Proceeding is brought by or in the right of the Company and irrespective of when the conduct that is the subject of the Proceeding occurred. Pursuant to this Section 4, and subject to the procedures contained in Section 6 of this Agreement, Indemnitee shall be indemnified against all Indemnifiable Amounts by reason of Indemnitee’s Corporate Status to the maximum extent permitted by applicable law in effect at the date of this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20"/>
          </w:cols>
          <w:pgMar w:left="320" w:top="269" w:right="359" w:bottom="1440" w:gutter="0" w:footer="0" w:header="0"/>
        </w:sectPr>
      </w:pPr>
    </w:p>
    <w:bookmarkStart w:id="79" w:name="page80"/>
    <w:bookmarkEnd w:id="79"/>
    <w:p>
      <w:pPr>
        <w:spacing w:after="0" w:line="24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Agreement or at the time of the request for indemnification, whichever is greater, </w:t>
      </w:r>
      <w:r>
        <w:rPr>
          <w:rFonts w:ascii="Arial" w:cs="Arial" w:eastAsia="Arial" w:hAnsi="Arial"/>
          <w:sz w:val="13"/>
          <w:szCs w:val="13"/>
          <w:i w:val="1"/>
          <w:iCs w:val="1"/>
          <w:color w:val="auto"/>
        </w:rPr>
        <w:t>provided that</w:t>
      </w:r>
      <w:r>
        <w:rPr>
          <w:rFonts w:ascii="Arial" w:cs="Arial" w:eastAsia="Arial" w:hAnsi="Arial"/>
          <w:sz w:val="13"/>
          <w:szCs w:val="13"/>
          <w:color w:val="auto"/>
        </w:rPr>
        <w:t xml:space="preserve"> Indemnitee shall not be indemnified against Indemnifiable Amounts if Indemnitee is made party in a Proceeding and found liable by reason of Disabling Conduct. Without limiting any other rights of Indemnitee in this Agreement, if Indemnitee is not wholly successful in such Proceeding, but is successful, on the merits or otherwise, as to one or more but less than all claims, issues or matters in such Proceeding, or is not successful as to one or more claims for reasons other than Disabling Conduct, the Company shall indemnify Indemnitee against all Indemnifiable Amounts incurred by Indemnitee or on Indemnitee’s behalf in connection with each claim, issue or matter to the maximum extent permitted by applicable law in effect at the date of this Agreement or at the time of the request for indemnification, whichever is greater. For purposes of this Section and without limitation, subject to the procedures contained in Section 6 of this Agreement, the termination of any claim, issue or matter in any such pending Proceeding by dismissal, with or without prejudice, or by settlement agreement without an admission of liability, shall be deemed to be a successful result as to such claim, issue or matter.</w:t>
      </w:r>
    </w:p>
    <w:p>
      <w:pPr>
        <w:spacing w:after="0" w:line="179" w:lineRule="exact"/>
        <w:rPr>
          <w:sz w:val="20"/>
          <w:szCs w:val="20"/>
          <w:color w:val="auto"/>
        </w:rPr>
      </w:pPr>
    </w:p>
    <w:p>
      <w:pPr>
        <w:ind w:left="560"/>
        <w:spacing w:after="0"/>
        <w:tabs>
          <w:tab w:leader="none" w:pos="1260" w:val="left"/>
        </w:tabs>
        <w:rPr>
          <w:sz w:val="20"/>
          <w:szCs w:val="20"/>
          <w:color w:val="auto"/>
        </w:rPr>
      </w:pPr>
      <w:r>
        <w:rPr>
          <w:rFonts w:ascii="Arial" w:cs="Arial" w:eastAsia="Arial" w:hAnsi="Arial"/>
          <w:sz w:val="14"/>
          <w:szCs w:val="14"/>
          <w:color w:val="auto"/>
        </w:rPr>
        <w:t>Section 5.</w:t>
      </w:r>
      <w:r>
        <w:rPr>
          <w:sz w:val="20"/>
          <w:szCs w:val="20"/>
          <w:color w:val="auto"/>
        </w:rPr>
        <w:tab/>
      </w:r>
      <w:r>
        <w:rPr>
          <w:rFonts w:ascii="Arial" w:cs="Arial" w:eastAsia="Arial" w:hAnsi="Arial"/>
          <w:sz w:val="12"/>
          <w:szCs w:val="12"/>
          <w:u w:val="single" w:color="auto"/>
          <w:color w:val="auto"/>
        </w:rPr>
        <w:t>Advancement of Expenses</w:t>
      </w:r>
      <w:r>
        <w:rPr>
          <w:rFonts w:ascii="Arial" w:cs="Arial" w:eastAsia="Arial" w:hAnsi="Arial"/>
          <w:sz w:val="12"/>
          <w:szCs w:val="12"/>
          <w:color w:val="auto"/>
        </w:rPr>
        <w:t>.</w:t>
      </w:r>
    </w:p>
    <w:p>
      <w:pPr>
        <w:spacing w:after="0" w:line="204" w:lineRule="exact"/>
        <w:rPr>
          <w:sz w:val="20"/>
          <w:szCs w:val="20"/>
          <w:color w:val="auto"/>
        </w:rPr>
      </w:pPr>
    </w:p>
    <w:p>
      <w:pPr>
        <w:ind w:right="120" w:firstLine="1131"/>
        <w:spacing w:after="0" w:line="228" w:lineRule="auto"/>
        <w:tabs>
          <w:tab w:leader="none" w:pos="1606" w:val="left"/>
        </w:tabs>
        <w:numPr>
          <w:ilvl w:val="0"/>
          <w:numId w:val="50"/>
        </w:numPr>
        <w:rPr>
          <w:rFonts w:ascii="Arial" w:cs="Arial" w:eastAsia="Arial" w:hAnsi="Arial"/>
          <w:sz w:val="14"/>
          <w:szCs w:val="14"/>
          <w:color w:val="auto"/>
        </w:rPr>
      </w:pPr>
      <w:r>
        <w:rPr>
          <w:rFonts w:ascii="Arial" w:cs="Arial" w:eastAsia="Arial" w:hAnsi="Arial"/>
          <w:sz w:val="14"/>
          <w:szCs w:val="14"/>
          <w:u w:val="single" w:color="auto"/>
          <w:color w:val="auto"/>
        </w:rPr>
        <w:t>Advancement of Expenses of a Party</w:t>
      </w:r>
      <w:r>
        <w:rPr>
          <w:rFonts w:ascii="Arial" w:cs="Arial" w:eastAsia="Arial" w:hAnsi="Arial"/>
          <w:sz w:val="14"/>
          <w:szCs w:val="14"/>
          <w:color w:val="auto"/>
        </w:rPr>
        <w:t>. The Company shall advance all Expenses incurred by or on behalf of Indemnitee in connection with any Proceeding to which Indemnitee is, or is threatened to be, made a party, within 10 business days after the receipt by the Company of a statement or statements from Indemnitee requesting such advance or advances from time to time, prior to final disposition of such Proceeding. Such statement or statements shall reasonably evidence the Expenses incurred by Indemnitee and shall include or be preceded or accompanied by (a) a written affirmation by Indemnitee of Indemnitee’s good faith belief that Indemnitee has not engaged in Disabling Conduct in connection with the Proceeding and (b) a written undertaking by or on behalf of Indemnitee to repay any Expenses advanced if it shall ultimately be determined that Indemnitee has engaged in Disabling Conduct or if Indemnitee is not successful with respect to a claim, issue or matter by reason of Disabling Conduct, as determined in accordance with Section 4. Furthermore, any such advancement shall be subject to the requirements and limitations of Section 17(h) of the 1940 Act.</w:t>
      </w:r>
    </w:p>
    <w:p>
      <w:pPr>
        <w:spacing w:after="0" w:line="184" w:lineRule="exact"/>
        <w:rPr>
          <w:rFonts w:ascii="Arial" w:cs="Arial" w:eastAsia="Arial" w:hAnsi="Arial"/>
          <w:sz w:val="14"/>
          <w:szCs w:val="14"/>
          <w:color w:val="auto"/>
        </w:rPr>
      </w:pPr>
    </w:p>
    <w:p>
      <w:pPr>
        <w:ind w:firstLine="1131"/>
        <w:spacing w:after="0" w:line="251" w:lineRule="auto"/>
        <w:tabs>
          <w:tab w:leader="none" w:pos="1614" w:val="left"/>
        </w:tabs>
        <w:numPr>
          <w:ilvl w:val="0"/>
          <w:numId w:val="50"/>
        </w:numPr>
        <w:rPr>
          <w:rFonts w:ascii="Arial" w:cs="Arial" w:eastAsia="Arial" w:hAnsi="Arial"/>
          <w:sz w:val="13"/>
          <w:szCs w:val="13"/>
          <w:color w:val="auto"/>
        </w:rPr>
      </w:pPr>
      <w:r>
        <w:rPr>
          <w:rFonts w:ascii="Arial" w:cs="Arial" w:eastAsia="Arial" w:hAnsi="Arial"/>
          <w:sz w:val="13"/>
          <w:szCs w:val="13"/>
          <w:u w:val="single" w:color="auto"/>
          <w:color w:val="auto"/>
        </w:rPr>
        <w:t>Indemnification and Advance of Expenses of a Non-Party</w:t>
      </w:r>
      <w:r>
        <w:rPr>
          <w:rFonts w:ascii="Arial" w:cs="Arial" w:eastAsia="Arial" w:hAnsi="Arial"/>
          <w:sz w:val="13"/>
          <w:szCs w:val="13"/>
          <w:color w:val="auto"/>
        </w:rPr>
        <w:t>. Notwithstanding any other provision of this Agreement, to the extent that Indemnitee is or may be, by reason of Indemnitee’s Corporate Status, made a witness or otherwise asked to participate, or is otherwise involved, in any Proceeding, whether instituted by the Company or any other party, and to which Indemnitee is not a party, Indemnitee shall be advanced all reasonable Expenses and indemnified against all Expenses actually and reasonably incurred by Indemnitee or on Indemnitee’s behalf in connection therewith within 10 days after the receipt by the Company of a statement or statements requesting such advance or advances from time to time, whether prior to or after final disposition of such Proceeding. Such statement or statements shall reasonably evidence the Expenses incurred by Indemnitee.</w:t>
      </w:r>
    </w:p>
    <w:p>
      <w:pPr>
        <w:spacing w:after="0" w:line="177" w:lineRule="exact"/>
        <w:rPr>
          <w:sz w:val="20"/>
          <w:szCs w:val="20"/>
          <w:color w:val="auto"/>
        </w:rPr>
      </w:pPr>
    </w:p>
    <w:p>
      <w:pPr>
        <w:ind w:left="560"/>
        <w:spacing w:after="0"/>
        <w:tabs>
          <w:tab w:leader="none" w:pos="1260" w:val="left"/>
        </w:tabs>
        <w:rPr>
          <w:sz w:val="20"/>
          <w:szCs w:val="20"/>
          <w:color w:val="auto"/>
        </w:rPr>
      </w:pPr>
      <w:r>
        <w:rPr>
          <w:rFonts w:ascii="Arial" w:cs="Arial" w:eastAsia="Arial" w:hAnsi="Arial"/>
          <w:sz w:val="14"/>
          <w:szCs w:val="14"/>
          <w:color w:val="auto"/>
        </w:rPr>
        <w:t>Section 6.</w:t>
      </w:r>
      <w:r>
        <w:rPr>
          <w:sz w:val="20"/>
          <w:szCs w:val="20"/>
          <w:color w:val="auto"/>
        </w:rPr>
        <w:tab/>
      </w:r>
      <w:r>
        <w:rPr>
          <w:rFonts w:ascii="Arial" w:cs="Arial" w:eastAsia="Arial" w:hAnsi="Arial"/>
          <w:sz w:val="13"/>
          <w:szCs w:val="13"/>
          <w:u w:val="single" w:color="auto"/>
          <w:color w:val="auto"/>
        </w:rPr>
        <w:t>Procedure for Determination of Entitlement to Indemnification</w:t>
      </w:r>
      <w:r>
        <w:rPr>
          <w:rFonts w:ascii="Arial" w:cs="Arial" w:eastAsia="Arial" w:hAnsi="Arial"/>
          <w:sz w:val="13"/>
          <w:szCs w:val="13"/>
          <w:color w:val="auto"/>
        </w:rPr>
        <w:t>.</w:t>
      </w:r>
    </w:p>
    <w:p>
      <w:pPr>
        <w:spacing w:after="0" w:line="204" w:lineRule="exact"/>
        <w:rPr>
          <w:sz w:val="20"/>
          <w:szCs w:val="20"/>
          <w:color w:val="auto"/>
        </w:rPr>
      </w:pPr>
    </w:p>
    <w:p>
      <w:pPr>
        <w:ind w:right="200" w:firstLine="1131"/>
        <w:spacing w:after="0" w:line="253" w:lineRule="auto"/>
        <w:tabs>
          <w:tab w:leader="none" w:pos="1604" w:val="left"/>
        </w:tabs>
        <w:numPr>
          <w:ilvl w:val="0"/>
          <w:numId w:val="51"/>
        </w:numPr>
        <w:rPr>
          <w:rFonts w:ascii="Arial" w:cs="Arial" w:eastAsia="Arial" w:hAnsi="Arial"/>
          <w:sz w:val="14"/>
          <w:szCs w:val="14"/>
          <w:color w:val="auto"/>
        </w:rPr>
      </w:pPr>
      <w:r>
        <w:rPr>
          <w:rFonts w:ascii="Arial" w:cs="Arial" w:eastAsia="Arial" w:hAnsi="Arial"/>
          <w:sz w:val="14"/>
          <w:szCs w:val="14"/>
          <w:color w:val="auto"/>
        </w:rPr>
        <w:t>To obtain indemnification under Sections 3 or 4 of this Agreement, Indemnitee shall submit a written request to the Company. The Secretary of the Company shall, promptly upon receipt of such a request for indemnification, advise the Board in writing that Indemnitee has requested indemnification.</w:t>
      </w:r>
    </w:p>
    <w:p>
      <w:pPr>
        <w:spacing w:after="0" w:line="173" w:lineRule="exact"/>
        <w:rPr>
          <w:rFonts w:ascii="Arial" w:cs="Arial" w:eastAsia="Arial" w:hAnsi="Arial"/>
          <w:sz w:val="14"/>
          <w:szCs w:val="14"/>
          <w:color w:val="auto"/>
        </w:rPr>
      </w:pPr>
    </w:p>
    <w:p>
      <w:pPr>
        <w:ind w:right="400" w:firstLine="1131"/>
        <w:spacing w:after="0" w:line="264" w:lineRule="auto"/>
        <w:tabs>
          <w:tab w:leader="none" w:pos="1614" w:val="left"/>
        </w:tabs>
        <w:numPr>
          <w:ilvl w:val="0"/>
          <w:numId w:val="51"/>
        </w:numPr>
        <w:rPr>
          <w:rFonts w:ascii="Arial" w:cs="Arial" w:eastAsia="Arial" w:hAnsi="Arial"/>
          <w:sz w:val="13"/>
          <w:szCs w:val="13"/>
          <w:color w:val="auto"/>
        </w:rPr>
      </w:pPr>
      <w:r>
        <w:rPr>
          <w:rFonts w:ascii="Arial" w:cs="Arial" w:eastAsia="Arial" w:hAnsi="Arial"/>
          <w:sz w:val="13"/>
          <w:szCs w:val="13"/>
          <w:color w:val="auto"/>
        </w:rPr>
        <w:t>Upon written request by Indemnitee for indemnification pursuant to Section 6(a) hereof: (i) if the Indemnitee has been successful, on the merits or otherwise, in defense of the Proceeding at issue (including a decision in an action for which Indemnitee seeks indemnity under this Agreement), then Indemnitee shall be entitled to indemnification for Indemnifiable Amounts, and (ii) if there has been a final non-appealable decision on the merits (including a decision in an action for which Indemnitee</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20"/>
          </w:cols>
          <w:pgMar w:left="320" w:top="269" w:right="359" w:bottom="1440" w:gutter="0" w:footer="0" w:header="0"/>
        </w:sectPr>
      </w:pPr>
    </w:p>
    <w:bookmarkStart w:id="80" w:name="page81"/>
    <w:bookmarkEnd w:id="80"/>
    <w:p>
      <w:pPr>
        <w:ind w:right="40"/>
        <w:spacing w:after="0" w:line="24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seeks indemnity under this Agreement) by a court or other body in the Proceeding at issue or if, at the time of Indemnitee’s written request, there shall have been no final non-appealable decision on the merits by a court or other body, including because the Proceeding at issue has been settled, then Indemnitee shall be entitled to indemnification, for Indemnifiable Amounts, </w:t>
      </w:r>
      <w:r>
        <w:rPr>
          <w:rFonts w:ascii="Arial" w:cs="Arial" w:eastAsia="Arial" w:hAnsi="Arial"/>
          <w:sz w:val="13"/>
          <w:szCs w:val="13"/>
          <w:i w:val="1"/>
          <w:iCs w:val="1"/>
          <w:color w:val="auto"/>
        </w:rPr>
        <w:t>provided that</w:t>
      </w:r>
    </w:p>
    <w:p>
      <w:pPr>
        <w:ind w:right="20" w:firstLine="8"/>
        <w:spacing w:after="0" w:line="258" w:lineRule="auto"/>
        <w:tabs>
          <w:tab w:leader="none" w:pos="196" w:val="left"/>
        </w:tabs>
        <w:numPr>
          <w:ilvl w:val="0"/>
          <w:numId w:val="52"/>
        </w:numPr>
        <w:rPr>
          <w:rFonts w:ascii="Arial" w:cs="Arial" w:eastAsia="Arial" w:hAnsi="Arial"/>
          <w:sz w:val="12"/>
          <w:szCs w:val="12"/>
          <w:color w:val="auto"/>
        </w:rPr>
      </w:pPr>
      <w:r>
        <w:rPr>
          <w:rFonts w:ascii="Arial" w:cs="Arial" w:eastAsia="Arial" w:hAnsi="Arial"/>
          <w:sz w:val="12"/>
          <w:szCs w:val="12"/>
          <w:color w:val="auto"/>
        </w:rPr>
        <w:t>where there has been a final non-appealable decision on the merits, the court or other body adjudicating the Proceeding at issue did not find Indemnitee liable by reason of Disabling Conduct and (b) with respect to the Proceeding at issue, a determination is made that indemnification is permissible under the circumstances because Indemnitee had not engaged in Disabling Conduct, by</w:t>
      </w:r>
    </w:p>
    <w:p>
      <w:pPr>
        <w:spacing w:after="0" w:line="232" w:lineRule="auto"/>
        <w:rPr>
          <w:rFonts w:ascii="Arial" w:cs="Arial" w:eastAsia="Arial" w:hAnsi="Arial"/>
          <w:sz w:val="12"/>
          <w:szCs w:val="12"/>
          <w:color w:val="auto"/>
        </w:rPr>
      </w:pPr>
      <w:r>
        <w:rPr>
          <w:rFonts w:ascii="Arial" w:cs="Arial" w:eastAsia="Arial" w:hAnsi="Arial"/>
          <w:sz w:val="14"/>
          <w:szCs w:val="14"/>
          <w:color w:val="auto"/>
        </w:rPr>
        <w:t>(1) the vote of a majority of the Independent Directors who are not parties to the Proceeding at issue, (2) Independent Counsel in a written opinion, or (3) Company shareholders. Indemnitee shall be afforded a rebuttable presumption that Indemnitee has not engaged in Disabling Conduct, except no such presumption shall be afforded in those cases where a Proceeding is terminated by conviction, or a plea of nolo contendere or its equivalent, or an entry of an order of probation prior to judgment.</w:t>
      </w:r>
    </w:p>
    <w:p>
      <w:pPr>
        <w:spacing w:after="0" w:line="182" w:lineRule="exact"/>
        <w:rPr>
          <w:rFonts w:ascii="Arial" w:cs="Arial" w:eastAsia="Arial" w:hAnsi="Arial"/>
          <w:sz w:val="12"/>
          <w:szCs w:val="12"/>
          <w:color w:val="auto"/>
        </w:rPr>
      </w:pPr>
    </w:p>
    <w:p>
      <w:pPr>
        <w:ind w:right="80" w:firstLine="1131"/>
        <w:spacing w:after="0" w:line="251" w:lineRule="auto"/>
        <w:tabs>
          <w:tab w:leader="none" w:pos="1606" w:val="left"/>
        </w:tabs>
        <w:numPr>
          <w:ilvl w:val="1"/>
          <w:numId w:val="52"/>
        </w:numPr>
        <w:rPr>
          <w:rFonts w:ascii="Arial" w:cs="Arial" w:eastAsia="Arial" w:hAnsi="Arial"/>
          <w:sz w:val="13"/>
          <w:szCs w:val="13"/>
          <w:color w:val="auto"/>
        </w:rPr>
      </w:pPr>
      <w:r>
        <w:rPr>
          <w:rFonts w:ascii="Arial" w:cs="Arial" w:eastAsia="Arial" w:hAnsi="Arial"/>
          <w:sz w:val="13"/>
          <w:szCs w:val="13"/>
          <w:color w:val="auto"/>
        </w:rPr>
        <w:t>If it is determined that Indemnitee is entitled to indemnification under this Agreement, payment to Indemnitee shall be made within 10 business days after such determination. Indemnitee shall cooperate with the person making such determination with respect to Indemnitee’s entitlement to indemnification, including providing to such person upon reasonable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making such determination, in response to a request by such person, shall be borne by the Company (irrespective of the determination as to Indemnitee’s entitlement to indemnification).</w:t>
      </w:r>
    </w:p>
    <w:p>
      <w:pPr>
        <w:spacing w:after="0" w:line="177" w:lineRule="exact"/>
        <w:rPr>
          <w:sz w:val="20"/>
          <w:szCs w:val="20"/>
          <w:color w:val="auto"/>
        </w:rPr>
      </w:pPr>
    </w:p>
    <w:p>
      <w:pPr>
        <w:ind w:left="560"/>
        <w:spacing w:after="0"/>
        <w:tabs>
          <w:tab w:leader="none" w:pos="1260" w:val="left"/>
        </w:tabs>
        <w:rPr>
          <w:sz w:val="20"/>
          <w:szCs w:val="20"/>
          <w:color w:val="auto"/>
        </w:rPr>
      </w:pPr>
      <w:r>
        <w:rPr>
          <w:rFonts w:ascii="Arial" w:cs="Arial" w:eastAsia="Arial" w:hAnsi="Arial"/>
          <w:sz w:val="14"/>
          <w:szCs w:val="14"/>
          <w:color w:val="auto"/>
        </w:rPr>
        <w:t>Section 7.</w:t>
      </w:r>
      <w:r>
        <w:rPr>
          <w:sz w:val="20"/>
          <w:szCs w:val="20"/>
          <w:color w:val="auto"/>
        </w:rPr>
        <w:tab/>
      </w:r>
      <w:r>
        <w:rPr>
          <w:rFonts w:ascii="Arial" w:cs="Arial" w:eastAsia="Arial" w:hAnsi="Arial"/>
          <w:sz w:val="13"/>
          <w:szCs w:val="13"/>
          <w:u w:val="single" w:color="auto"/>
          <w:color w:val="auto"/>
        </w:rPr>
        <w:t>Remedies of Indemnitee</w:t>
      </w:r>
      <w:r>
        <w:rPr>
          <w:rFonts w:ascii="Arial" w:cs="Arial" w:eastAsia="Arial" w:hAnsi="Arial"/>
          <w:sz w:val="13"/>
          <w:szCs w:val="13"/>
          <w:color w:val="auto"/>
        </w:rPr>
        <w:t>.</w:t>
      </w:r>
    </w:p>
    <w:p>
      <w:pPr>
        <w:spacing w:after="0" w:line="204" w:lineRule="exact"/>
        <w:rPr>
          <w:sz w:val="20"/>
          <w:szCs w:val="20"/>
          <w:color w:val="auto"/>
        </w:rPr>
      </w:pPr>
    </w:p>
    <w:p>
      <w:pPr>
        <w:ind w:right="80" w:firstLine="1131"/>
        <w:spacing w:after="0" w:line="228" w:lineRule="auto"/>
        <w:tabs>
          <w:tab w:leader="none" w:pos="1606" w:val="left"/>
        </w:tabs>
        <w:numPr>
          <w:ilvl w:val="0"/>
          <w:numId w:val="53"/>
        </w:numPr>
        <w:rPr>
          <w:rFonts w:ascii="Arial" w:cs="Arial" w:eastAsia="Arial" w:hAnsi="Arial"/>
          <w:sz w:val="14"/>
          <w:szCs w:val="14"/>
          <w:color w:val="auto"/>
        </w:rPr>
      </w:pPr>
      <w:r>
        <w:rPr>
          <w:rFonts w:ascii="Arial" w:cs="Arial" w:eastAsia="Arial" w:hAnsi="Arial"/>
          <w:sz w:val="14"/>
          <w:szCs w:val="14"/>
          <w:color w:val="auto"/>
        </w:rPr>
        <w:t>If (i) a determination is made pursuant to Section 6 of this Agreement that Indemnitee is not entitled to indemnification, (ii) advancement of Expenses is not timely made pursuant to Section 5, (iii) no determination of entitlement to indemnification shall have been made pursuant to Section 6(b) or Section 6(c) within 90 days after receipt by the Company of the request for indemnification, (iv) payment of indemnification is not made pursuant to Section 4 within 10 business days after receipt by the Company of written request therefor pursuant to Section 6, or (v) payment of indemnification is not made within 10 business days after a determination has been made that Indemnitee is entitled to indemnification, Indemnitee shall be entitled to an adjudication in an appropriate court of the state of Maryland, or in any other court of competent jurisdiction, of Indemnitee’s entitlement to such indemnification or advancement of Expenses. Alternatively, Indemnitee may seek an award in arbitration to be conducted by a single arbitrator pursuant to the Commercial Arbitration Rules of the American Arbitration Association.</w:t>
      </w:r>
    </w:p>
    <w:p>
      <w:pPr>
        <w:spacing w:after="0" w:line="184" w:lineRule="exact"/>
        <w:rPr>
          <w:rFonts w:ascii="Arial" w:cs="Arial" w:eastAsia="Arial" w:hAnsi="Arial"/>
          <w:sz w:val="14"/>
          <w:szCs w:val="14"/>
          <w:color w:val="auto"/>
        </w:rPr>
      </w:pPr>
    </w:p>
    <w:p>
      <w:pPr>
        <w:ind w:right="20" w:firstLine="1131"/>
        <w:spacing w:after="0" w:line="251" w:lineRule="auto"/>
        <w:tabs>
          <w:tab w:leader="none" w:pos="1614" w:val="left"/>
        </w:tabs>
        <w:numPr>
          <w:ilvl w:val="0"/>
          <w:numId w:val="53"/>
        </w:numPr>
        <w:rPr>
          <w:rFonts w:ascii="Arial" w:cs="Arial" w:eastAsia="Arial" w:hAnsi="Arial"/>
          <w:sz w:val="13"/>
          <w:szCs w:val="13"/>
          <w:color w:val="auto"/>
        </w:rPr>
      </w:pPr>
      <w:r>
        <w:rPr>
          <w:rFonts w:ascii="Arial" w:cs="Arial" w:eastAsia="Arial" w:hAnsi="Arial"/>
          <w:sz w:val="13"/>
          <w:szCs w:val="13"/>
          <w:color w:val="auto"/>
        </w:rPr>
        <w:t>If Indemnitee, pursuant to Section 7(a), seeks a judicial adjudication or an award in arbitration of Indemnitee’s rights under, or to recover damages for breach of this Agreement, Indemnitee shall be entitled to recover from the Company, and shall be indemnified by the Company against, any and all Expenses actually and reasonably incurred by Indemnitee in such judicial adjudication or arbitration, but only if Indemnitee prevails therein. If it shall be determined in said judicial adjudication or arbitration that Indemnitee is entitled to receive part but not all of the indemnification or advancement of Expenses sought, the Expenses incurred by Indemnitee in connection with such judicial adjudication or arbitration shall be appropriately prorated in the same proportion as the amount of the indemnification or advancement of Expenses awarded in the judicial adjudication or arbitration.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20"/>
          </w:cols>
          <w:pgMar w:left="320" w:top="269" w:right="359" w:bottom="1440" w:gutter="0" w:footer="0" w:header="0"/>
        </w:sectPr>
      </w:pPr>
    </w:p>
    <w:bookmarkStart w:id="81" w:name="page82"/>
    <w:bookmarkEnd w:id="81"/>
    <w:p>
      <w:pPr>
        <w:ind w:left="560"/>
        <w:spacing w:after="0"/>
        <w:tabs>
          <w:tab w:leader="none" w:pos="126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8.</w:t>
      </w:r>
      <w:r>
        <w:rPr>
          <w:sz w:val="20"/>
          <w:szCs w:val="20"/>
          <w:color w:val="auto"/>
        </w:rPr>
        <w:tab/>
      </w:r>
      <w:r>
        <w:rPr>
          <w:rFonts w:ascii="Arial" w:cs="Arial" w:eastAsia="Arial" w:hAnsi="Arial"/>
          <w:sz w:val="13"/>
          <w:szCs w:val="13"/>
          <w:u w:val="single" w:color="auto"/>
          <w:color w:val="auto"/>
        </w:rPr>
        <w:t>Non-Exclusivity; Insurance; Subrogation; Exclusions</w:t>
      </w:r>
      <w:r>
        <w:rPr>
          <w:rFonts w:ascii="Arial" w:cs="Arial" w:eastAsia="Arial" w:hAnsi="Arial"/>
          <w:sz w:val="13"/>
          <w:szCs w:val="13"/>
          <w:color w:val="auto"/>
        </w:rPr>
        <w:t>.</w:t>
      </w:r>
    </w:p>
    <w:p>
      <w:pPr>
        <w:spacing w:after="0" w:line="204" w:lineRule="exact"/>
        <w:rPr>
          <w:sz w:val="20"/>
          <w:szCs w:val="20"/>
          <w:color w:val="auto"/>
        </w:rPr>
      </w:pPr>
    </w:p>
    <w:p>
      <w:pPr>
        <w:ind w:right="140" w:firstLine="1131"/>
        <w:spacing w:after="0" w:line="233" w:lineRule="auto"/>
        <w:tabs>
          <w:tab w:leader="none" w:pos="1604"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rights of indemnification and advance of Expenses as provided by this Agreement shall not be deemed exclusive of any other rights to which Indemnitee may at any time be entitled under applicable law or the Articles of Amendment and Restatement or Bylaws of the Company, any agreement, a vote of shareholders or a resolution of Directors, or otherwise. No amendment, alteration or repeal of this Agreement or of any provision hereof shall limit or restrict any right of Indemnitee under this Agreement in respect of any action taken or omitted by such Indemnitee in Indemnitee’s Corporate Status prior to such amendment, alteration or repeal.</w:t>
      </w:r>
    </w:p>
    <w:p>
      <w:pPr>
        <w:spacing w:after="0" w:line="184" w:lineRule="exact"/>
        <w:rPr>
          <w:rFonts w:ascii="Arial" w:cs="Arial" w:eastAsia="Arial" w:hAnsi="Arial"/>
          <w:sz w:val="14"/>
          <w:szCs w:val="14"/>
          <w:color w:val="auto"/>
        </w:rPr>
      </w:pPr>
    </w:p>
    <w:p>
      <w:pPr>
        <w:ind w:right="120" w:firstLine="1131"/>
        <w:spacing w:after="0" w:line="238" w:lineRule="auto"/>
        <w:tabs>
          <w:tab w:leader="none" w:pos="1614" w:val="left"/>
        </w:tabs>
        <w:numPr>
          <w:ilvl w:val="0"/>
          <w:numId w:val="54"/>
        </w:numPr>
        <w:rPr>
          <w:rFonts w:ascii="Arial" w:cs="Arial" w:eastAsia="Arial" w:hAnsi="Arial"/>
          <w:sz w:val="14"/>
          <w:szCs w:val="14"/>
          <w:color w:val="auto"/>
        </w:rPr>
      </w:pPr>
      <w:r>
        <w:rPr>
          <w:rFonts w:ascii="Arial" w:cs="Arial" w:eastAsia="Arial" w:hAnsi="Arial"/>
          <w:sz w:val="14"/>
          <w:szCs w:val="14"/>
          <w:color w:val="auto"/>
        </w:rPr>
        <w:t>If the Company maintains liability insurance for Directors, Officers, employees, or agents of the Company, Indemnitee shall be covered by such policy or policies in accordance with its or their terms to the maximum extent of the coverage available (including coverage after Indemnitee is no longer serving in a Corporate Status for acts and omissions or alleged acts or omissions while serving in a Corporate Status) for any such Director, Officer, employee or agent under such policy or policies.</w:t>
      </w:r>
    </w:p>
    <w:p>
      <w:pPr>
        <w:spacing w:after="0" w:line="182" w:lineRule="exact"/>
        <w:rPr>
          <w:rFonts w:ascii="Arial" w:cs="Arial" w:eastAsia="Arial" w:hAnsi="Arial"/>
          <w:sz w:val="14"/>
          <w:szCs w:val="14"/>
          <w:color w:val="auto"/>
        </w:rPr>
      </w:pPr>
    </w:p>
    <w:p>
      <w:pPr>
        <w:ind w:right="240" w:firstLine="1131"/>
        <w:spacing w:after="0" w:line="255" w:lineRule="auto"/>
        <w:tabs>
          <w:tab w:leader="none" w:pos="1606"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 the event of any payment under this Agreement, when Indemnitee has been fully and indefeasibly indemnified (hereunder and/or otherwise) in respect of all Expenses, judgments, penalties, fines and amounts paid in settlement actually and reasonably incurred by Indemnitee or on Indemnitee’s behalf in connection with a Proceeding by reason of Indemnitee’s Corporate Status,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74" w:lineRule="exact"/>
        <w:rPr>
          <w:rFonts w:ascii="Arial" w:cs="Arial" w:eastAsia="Arial" w:hAnsi="Arial"/>
          <w:sz w:val="13"/>
          <w:szCs w:val="13"/>
          <w:color w:val="auto"/>
        </w:rPr>
      </w:pPr>
    </w:p>
    <w:p>
      <w:pPr>
        <w:ind w:right="420" w:firstLine="1131"/>
        <w:spacing w:after="0" w:line="253" w:lineRule="auto"/>
        <w:tabs>
          <w:tab w:leader="none" w:pos="1612"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Company shall not be liable under this Agreement to make any payment of amounts otherwise indemnifiable hereunder to the extent Indemnitee otherwise actually has received such payment under any insurance policy, contract, agreement or otherwise.</w:t>
      </w:r>
    </w:p>
    <w:p>
      <w:pPr>
        <w:spacing w:after="0" w:line="173" w:lineRule="exact"/>
        <w:rPr>
          <w:rFonts w:ascii="Arial" w:cs="Arial" w:eastAsia="Arial" w:hAnsi="Arial"/>
          <w:sz w:val="14"/>
          <w:szCs w:val="14"/>
          <w:color w:val="auto"/>
        </w:rPr>
      </w:pPr>
    </w:p>
    <w:p>
      <w:pPr>
        <w:ind w:firstLine="1131"/>
        <w:spacing w:after="0" w:line="253" w:lineRule="auto"/>
        <w:tabs>
          <w:tab w:leader="none" w:pos="1606" w:val="left"/>
        </w:tabs>
        <w:numPr>
          <w:ilvl w:val="0"/>
          <w:numId w:val="54"/>
        </w:numPr>
        <w:rPr>
          <w:rFonts w:ascii="Arial" w:cs="Arial" w:eastAsia="Arial" w:hAnsi="Arial"/>
          <w:sz w:val="14"/>
          <w:szCs w:val="14"/>
          <w:color w:val="auto"/>
        </w:rPr>
      </w:pPr>
      <w:r>
        <w:rPr>
          <w:rFonts w:ascii="Arial" w:cs="Arial" w:eastAsia="Arial" w:hAnsi="Arial"/>
          <w:sz w:val="14"/>
          <w:szCs w:val="14"/>
          <w:color w:val="auto"/>
        </w:rPr>
        <w:t>Notwithstanding any other provision of this Agreement to the contrary, the Company shall not be liable for indemnification or advance of Expenses in connection with any settlement or judgment for insider trading or for disgorgement of profits pursuant to Section 16(b) of the Securities Exchange Act of 1934.</w:t>
      </w:r>
    </w:p>
    <w:p>
      <w:pPr>
        <w:spacing w:after="0" w:line="174"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 xml:space="preserve">Section 9. </w:t>
      </w:r>
      <w:r>
        <w:rPr>
          <w:rFonts w:ascii="Arial" w:cs="Arial" w:eastAsia="Arial" w:hAnsi="Arial"/>
          <w:sz w:val="13"/>
          <w:szCs w:val="13"/>
          <w:u w:val="single" w:color="auto"/>
          <w:color w:val="auto"/>
        </w:rPr>
        <w:t>Duration of Agreement</w:t>
      </w:r>
      <w:r>
        <w:rPr>
          <w:rFonts w:ascii="Arial" w:cs="Arial" w:eastAsia="Arial" w:hAnsi="Arial"/>
          <w:sz w:val="13"/>
          <w:szCs w:val="13"/>
          <w:color w:val="auto"/>
        </w:rPr>
        <w:t>. This Agreement supersedes any and all prior agreements between the Company and Indemnitee with respect to the subject matter hereof. This Agreement shall continue until and terminate 10 years after the date that Indemnitee shall have ceased to serve as a Director, Officer, employee, or agent of the Company, provided, that the rights of Indemnitee hereunder shall continue until the final termination of any proceeding then pending in respect of which Indemnitee is granted rights to indemnification or advancement of Expenses hereunder and of any proceeding commenced by Indemnitee pursuant to Section 7 relating thereto. This Agreement shall be binding upon the Company and its successors and assigns and shall inure to the benefit of Indemnitee and Indemnitee’s heirs, executors and administrators. The Company agrees that it shall not sell, assign or otherwise transfer all or substantially all of its assets, or merge or reorganize with any other entity or series thereof, unless the entity or series to which such sale, assignment or transfer is being made, or that is the survivor of any such merger or reorganization, agrees to assume all of the obligations (whether contingent or otherwise) of the Company hereunder.</w:t>
      </w:r>
    </w:p>
    <w:p>
      <w:pPr>
        <w:spacing w:after="0" w:line="179"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 xml:space="preserve">Section 10. </w:t>
      </w:r>
      <w:r>
        <w:rPr>
          <w:rFonts w:ascii="Arial" w:cs="Arial" w:eastAsia="Arial" w:hAnsi="Arial"/>
          <w:sz w:val="14"/>
          <w:szCs w:val="14"/>
          <w:u w:val="single" w:color="auto"/>
          <w:color w:val="auto"/>
        </w:rPr>
        <w:t>Severability</w:t>
      </w:r>
      <w:r>
        <w:rPr>
          <w:rFonts w:ascii="Arial" w:cs="Arial" w:eastAsia="Arial" w:hAnsi="Arial"/>
          <w:sz w:val="14"/>
          <w:szCs w:val="14"/>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20"/>
          </w:cols>
          <w:pgMar w:left="320" w:top="269" w:right="359" w:bottom="1440" w:gutter="0" w:footer="0" w:header="0"/>
        </w:sectPr>
      </w:pPr>
    </w:p>
    <w:bookmarkStart w:id="82" w:name="page83"/>
    <w:bookmarkEnd w:id="82"/>
    <w:p>
      <w:pPr>
        <w:ind w:right="120"/>
        <w:spacing w:after="0" w:line="23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invalid, illegal or unenforceable) shall not in any way be affected or impaired thereby; and (b)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 xml:space="preserve">Section 11. </w:t>
      </w:r>
      <w:r>
        <w:rPr>
          <w:rFonts w:ascii="Arial" w:cs="Arial" w:eastAsia="Arial" w:hAnsi="Arial"/>
          <w:sz w:val="14"/>
          <w:szCs w:val="14"/>
          <w:u w:val="single" w:color="auto"/>
          <w:color w:val="auto"/>
        </w:rPr>
        <w:t>Exception to Right of Indemnification or Advancement of Expenses</w:t>
      </w:r>
      <w:r>
        <w:rPr>
          <w:rFonts w:ascii="Arial" w:cs="Arial" w:eastAsia="Arial" w:hAnsi="Arial"/>
          <w:sz w:val="14"/>
          <w:szCs w:val="14"/>
          <w:color w:val="auto"/>
        </w:rPr>
        <w:t>.</w:t>
      </w:r>
    </w:p>
    <w:p>
      <w:pPr>
        <w:spacing w:after="0" w:line="204" w:lineRule="exact"/>
        <w:rPr>
          <w:sz w:val="20"/>
          <w:szCs w:val="20"/>
          <w:color w:val="auto"/>
        </w:rPr>
      </w:pPr>
    </w:p>
    <w:p>
      <w:pPr>
        <w:ind w:right="20" w:firstLine="1131"/>
        <w:spacing w:after="0" w:line="238" w:lineRule="auto"/>
        <w:tabs>
          <w:tab w:leader="none" w:pos="1606" w:val="left"/>
        </w:tabs>
        <w:numPr>
          <w:ilvl w:val="0"/>
          <w:numId w:val="55"/>
        </w:numPr>
        <w:rPr>
          <w:rFonts w:ascii="Arial" w:cs="Arial" w:eastAsia="Arial" w:hAnsi="Arial"/>
          <w:sz w:val="14"/>
          <w:szCs w:val="14"/>
          <w:color w:val="auto"/>
        </w:rPr>
      </w:pPr>
      <w:r>
        <w:rPr>
          <w:rFonts w:ascii="Arial" w:cs="Arial" w:eastAsia="Arial" w:hAnsi="Arial"/>
          <w:sz w:val="14"/>
          <w:szCs w:val="14"/>
          <w:color w:val="auto"/>
        </w:rPr>
        <w:t>Notwithstanding any other provision of this Agreement, Indemnitee shall not be entitled to indemnification or advance of Expenses under this Agreement with respect to any Proceeding brought by Indemnitee (other than a Proceeding under Section 7(a) of this Agreement), unless the bringing of such Proceeding or making of such claim shall have been approved by a vote a majority of the members of the Board.</w:t>
      </w:r>
    </w:p>
    <w:p>
      <w:pPr>
        <w:spacing w:after="0" w:line="182" w:lineRule="exact"/>
        <w:rPr>
          <w:rFonts w:ascii="Arial" w:cs="Arial" w:eastAsia="Arial" w:hAnsi="Arial"/>
          <w:sz w:val="14"/>
          <w:szCs w:val="14"/>
          <w:color w:val="auto"/>
        </w:rPr>
      </w:pPr>
    </w:p>
    <w:p>
      <w:pPr>
        <w:ind w:right="600" w:firstLine="1131"/>
        <w:spacing w:after="0" w:line="290" w:lineRule="auto"/>
        <w:tabs>
          <w:tab w:leader="none" w:pos="1614" w:val="left"/>
        </w:tabs>
        <w:numPr>
          <w:ilvl w:val="0"/>
          <w:numId w:val="55"/>
        </w:numPr>
        <w:rPr>
          <w:rFonts w:ascii="Arial" w:cs="Arial" w:eastAsia="Arial" w:hAnsi="Arial"/>
          <w:sz w:val="13"/>
          <w:szCs w:val="13"/>
          <w:color w:val="auto"/>
        </w:rPr>
      </w:pPr>
      <w:r>
        <w:rPr>
          <w:rFonts w:ascii="Arial" w:cs="Arial" w:eastAsia="Arial" w:hAnsi="Arial"/>
          <w:sz w:val="13"/>
          <w:szCs w:val="13"/>
          <w:color w:val="auto"/>
        </w:rPr>
        <w:t>Notwithstanding any other provision of this Agreement, the Company shall not be liable to indemnify Indemnitee against any liability to the Company or its shareholders to which Indemnitee (other than a Proceeding under Section 7(a) of this Agreement) otherwise would be subject by reason of Disabling Conduct.</w:t>
      </w:r>
    </w:p>
    <w:p>
      <w:pPr>
        <w:spacing w:after="0" w:line="151" w:lineRule="exact"/>
        <w:rPr>
          <w:rFonts w:ascii="Arial" w:cs="Arial" w:eastAsia="Arial" w:hAnsi="Arial"/>
          <w:sz w:val="13"/>
          <w:szCs w:val="13"/>
          <w:color w:val="auto"/>
        </w:rPr>
      </w:pPr>
    </w:p>
    <w:p>
      <w:pPr>
        <w:ind w:right="200" w:firstLine="1131"/>
        <w:spacing w:after="0" w:line="238" w:lineRule="auto"/>
        <w:tabs>
          <w:tab w:leader="none" w:pos="1606" w:val="left"/>
        </w:tabs>
        <w:numPr>
          <w:ilvl w:val="0"/>
          <w:numId w:val="55"/>
        </w:numPr>
        <w:rPr>
          <w:rFonts w:ascii="Arial" w:cs="Arial" w:eastAsia="Arial" w:hAnsi="Arial"/>
          <w:sz w:val="14"/>
          <w:szCs w:val="14"/>
          <w:color w:val="auto"/>
        </w:rPr>
      </w:pPr>
      <w:r>
        <w:rPr>
          <w:rFonts w:ascii="Arial" w:cs="Arial" w:eastAsia="Arial" w:hAnsi="Arial"/>
          <w:sz w:val="14"/>
          <w:szCs w:val="14"/>
          <w:color w:val="auto"/>
        </w:rPr>
        <w:t>Notwithstanding any other provision of this Agreement, the Company shall not be liable to indemnify Indemnitee against any liability to the Company or its shareholders arising in connection with a Proceeding by or in the right of the Company in which the Indemnitee shall have been adjudged to be liable to the Company in a final non-appealable decision on the merits by a court or other body.</w:t>
      </w:r>
    </w:p>
    <w:p>
      <w:pPr>
        <w:spacing w:after="0" w:line="183"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 xml:space="preserve">Section 12. </w:t>
      </w:r>
      <w:r>
        <w:rPr>
          <w:rFonts w:ascii="Arial" w:cs="Arial" w:eastAsia="Arial" w:hAnsi="Arial"/>
          <w:sz w:val="14"/>
          <w:szCs w:val="14"/>
          <w:u w:val="single" w:color="auto"/>
          <w:color w:val="auto"/>
        </w:rPr>
        <w:t>Identical Counterparts</w:t>
      </w:r>
      <w:r>
        <w:rPr>
          <w:rFonts w:ascii="Arial" w:cs="Arial" w:eastAsia="Arial" w:hAnsi="Arial"/>
          <w:sz w:val="14"/>
          <w:szCs w:val="14"/>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3" w:lineRule="exact"/>
        <w:rPr>
          <w:sz w:val="20"/>
          <w:szCs w:val="20"/>
          <w:color w:val="auto"/>
        </w:rPr>
      </w:pPr>
    </w:p>
    <w:p>
      <w:pPr>
        <w:ind w:right="220" w:firstLine="562"/>
        <w:spacing w:after="0" w:line="253" w:lineRule="auto"/>
        <w:rPr>
          <w:sz w:val="20"/>
          <w:szCs w:val="20"/>
          <w:color w:val="auto"/>
        </w:rPr>
      </w:pPr>
      <w:r>
        <w:rPr>
          <w:rFonts w:ascii="Arial" w:cs="Arial" w:eastAsia="Arial" w:hAnsi="Arial"/>
          <w:sz w:val="14"/>
          <w:szCs w:val="14"/>
          <w:color w:val="auto"/>
        </w:rPr>
        <w:t xml:space="preserve">Section 13. </w:t>
      </w:r>
      <w:r>
        <w:rPr>
          <w:rFonts w:ascii="Arial" w:cs="Arial" w:eastAsia="Arial" w:hAnsi="Arial"/>
          <w:sz w:val="14"/>
          <w:szCs w:val="14"/>
          <w:u w:val="single" w:color="auto"/>
          <w:color w:val="auto"/>
        </w:rPr>
        <w:t>Headings</w:t>
      </w:r>
      <w:r>
        <w:rPr>
          <w:rFonts w:ascii="Arial" w:cs="Arial" w:eastAsia="Arial" w:hAnsi="Arial"/>
          <w:sz w:val="14"/>
          <w:szCs w:val="14"/>
          <w:color w:val="auto"/>
        </w:rPr>
        <w:t>. The headings of the Sections of this Agreement are inserted for convenience only and shall not be deemed to constitute part of this Agreement or to affect the construction thereof.</w:t>
      </w:r>
    </w:p>
    <w:p>
      <w:pPr>
        <w:spacing w:after="0" w:line="174" w:lineRule="exact"/>
        <w:rPr>
          <w:sz w:val="20"/>
          <w:szCs w:val="20"/>
          <w:color w:val="auto"/>
        </w:rPr>
      </w:pPr>
    </w:p>
    <w:p>
      <w:pPr>
        <w:ind w:firstLine="562"/>
        <w:spacing w:after="0" w:line="290" w:lineRule="auto"/>
        <w:rPr>
          <w:sz w:val="20"/>
          <w:szCs w:val="20"/>
          <w:color w:val="auto"/>
        </w:rPr>
      </w:pPr>
      <w:r>
        <w:rPr>
          <w:rFonts w:ascii="Arial" w:cs="Arial" w:eastAsia="Arial" w:hAnsi="Arial"/>
          <w:sz w:val="13"/>
          <w:szCs w:val="13"/>
          <w:color w:val="auto"/>
        </w:rPr>
        <w:t xml:space="preserve">Section 14. </w:t>
      </w:r>
      <w:r>
        <w:rPr>
          <w:rFonts w:ascii="Arial" w:cs="Arial" w:eastAsia="Arial" w:hAnsi="Arial"/>
          <w:sz w:val="13"/>
          <w:szCs w:val="13"/>
          <w:u w:val="single" w:color="auto"/>
          <w:color w:val="auto"/>
        </w:rPr>
        <w:t>Modification and Waiver</w:t>
      </w:r>
      <w:r>
        <w:rPr>
          <w:rFonts w:ascii="Arial" w:cs="Arial" w:eastAsia="Arial" w:hAnsi="Arial"/>
          <w:sz w:val="13"/>
          <w:szCs w:val="13"/>
          <w:color w:val="auto"/>
        </w:rPr>
        <w:t>. No supplement, modification or amendment shall be binding unless executed in writing by Indemnitee and the Company. No waiver of any of the provisions of this Agreement shall be deemed or shall constitute a waiver of any other provisions hereof (whether or not similar) nor shall such waiver constitute a continuing waiver.</w:t>
      </w:r>
    </w:p>
    <w:p>
      <w:pPr>
        <w:spacing w:after="0" w:line="152" w:lineRule="exact"/>
        <w:rPr>
          <w:sz w:val="20"/>
          <w:szCs w:val="20"/>
          <w:color w:val="auto"/>
        </w:rPr>
      </w:pPr>
    </w:p>
    <w:p>
      <w:pPr>
        <w:ind w:right="80" w:firstLine="562"/>
        <w:spacing w:after="0" w:line="231" w:lineRule="auto"/>
        <w:rPr>
          <w:sz w:val="20"/>
          <w:szCs w:val="20"/>
          <w:color w:val="auto"/>
        </w:rPr>
      </w:pPr>
      <w:r>
        <w:rPr>
          <w:rFonts w:ascii="Arial" w:cs="Arial" w:eastAsia="Arial" w:hAnsi="Arial"/>
          <w:sz w:val="14"/>
          <w:szCs w:val="14"/>
          <w:color w:val="auto"/>
        </w:rPr>
        <w:t xml:space="preserve">Section 15. </w:t>
      </w:r>
      <w:r>
        <w:rPr>
          <w:rFonts w:ascii="Arial" w:cs="Arial" w:eastAsia="Arial" w:hAnsi="Arial"/>
          <w:sz w:val="14"/>
          <w:szCs w:val="14"/>
          <w:u w:val="single" w:color="auto"/>
          <w:color w:val="auto"/>
        </w:rPr>
        <w:t>Notice by Indemnitee</w:t>
      </w:r>
      <w:r>
        <w:rPr>
          <w:rFonts w:ascii="Arial" w:cs="Arial" w:eastAsia="Arial" w:hAnsi="Arial"/>
          <w:sz w:val="14"/>
          <w:szCs w:val="14"/>
          <w:color w:val="auto"/>
        </w:rPr>
        <w:t>. Indemnitee shall promptly notify the Company in writing upon being served with any summons, citation, subpoena, complaint, indictment, information or other document relating to any Proceeding or matter which may be subject to indemnification or advance of Expenses covered hereunder. The failure to give any such notice shall not disqualify Indemnitee from the right, or otherwise affect in any manner any right of Indemnitee, to indemnification or the advance of Expenses under this Agreement unless the Company’s ability to defend in such Proceeding or to obtain proceeds under any insurance policy is materially and adversely prejudiced thereby, and then only to the extent the Company is thereby actually so prejudiced.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20"/>
          </w:cols>
          <w:pgMar w:left="320" w:top="269" w:right="359" w:bottom="1440" w:gutter="0" w:footer="0" w:header="0"/>
        </w:sectPr>
      </w:pPr>
    </w:p>
    <w:bookmarkStart w:id="83" w:name="page84"/>
    <w:bookmarkEnd w:id="83"/>
    <w:p>
      <w:pPr>
        <w:jc w:val="both"/>
        <w:ind w:firstLine="562"/>
        <w:spacing w:after="0" w:line="23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16. </w:t>
      </w:r>
      <w:r>
        <w:rPr>
          <w:rFonts w:ascii="Arial" w:cs="Arial" w:eastAsia="Arial" w:hAnsi="Arial"/>
          <w:sz w:val="14"/>
          <w:szCs w:val="14"/>
          <w:u w:val="single" w:color="auto"/>
          <w:color w:val="auto"/>
        </w:rPr>
        <w:t>Notices</w:t>
      </w:r>
      <w:r>
        <w:rPr>
          <w:rFonts w:ascii="Arial" w:cs="Arial" w:eastAsia="Arial" w:hAnsi="Arial"/>
          <w:sz w:val="14"/>
          <w:szCs w:val="14"/>
          <w:color w:val="auto"/>
        </w:rPr>
        <w:t>. All notices, requests, demands and other communications hereunder shall be in writing and shall be deemed to have been duly given if (i) delivered by hand and receipted for by the party to whom said notice or other communication shall have been directed, or (ii) mailed by certified or registered mail with postage prepaid, on the third business day after the date on which it is mailed:</w:t>
      </w:r>
    </w:p>
    <w:p>
      <w:pPr>
        <w:spacing w:after="0" w:line="183" w:lineRule="exact"/>
        <w:rPr>
          <w:sz w:val="20"/>
          <w:szCs w:val="20"/>
          <w:color w:val="auto"/>
        </w:rPr>
      </w:pPr>
    </w:p>
    <w:p>
      <w:pPr>
        <w:ind w:left="1620" w:hanging="489"/>
        <w:spacing w:after="0"/>
        <w:tabs>
          <w:tab w:leader="none" w:pos="16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If to one or more Indemnitee(s), to:</w:t>
      </w:r>
    </w:p>
    <w:p>
      <w:pPr>
        <w:spacing w:after="0" w:line="203"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the address set forth below Indemnitee’s name at the end</w:t>
      </w:r>
    </w:p>
    <w:p>
      <w:pPr>
        <w:ind w:left="1800"/>
        <w:spacing w:after="0"/>
        <w:rPr>
          <w:sz w:val="20"/>
          <w:szCs w:val="20"/>
          <w:color w:val="auto"/>
        </w:rPr>
      </w:pPr>
      <w:r>
        <w:rPr>
          <w:rFonts w:ascii="Arial" w:cs="Arial" w:eastAsia="Arial" w:hAnsi="Arial"/>
          <w:sz w:val="14"/>
          <w:szCs w:val="14"/>
          <w:color w:val="auto"/>
        </w:rPr>
        <w:t>of this Agreement</w:t>
      </w:r>
    </w:p>
    <w:p>
      <w:pPr>
        <w:spacing w:after="0" w:line="191"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and, in the case of an Indemnitee that is an Independent</w:t>
      </w:r>
    </w:p>
    <w:p>
      <w:pPr>
        <w:ind w:left="1800"/>
        <w:spacing w:after="0" w:line="221" w:lineRule="auto"/>
        <w:rPr>
          <w:sz w:val="20"/>
          <w:szCs w:val="20"/>
          <w:color w:val="auto"/>
        </w:rPr>
      </w:pPr>
      <w:r>
        <w:rPr>
          <w:rFonts w:ascii="Arial" w:cs="Arial" w:eastAsia="Arial" w:hAnsi="Arial"/>
          <w:sz w:val="14"/>
          <w:szCs w:val="14"/>
          <w:color w:val="auto"/>
        </w:rPr>
        <w:t>Director, with copies to:</w:t>
      </w:r>
    </w:p>
    <w:p>
      <w:pPr>
        <w:ind w:left="1800"/>
        <w:spacing w:after="0" w:line="221" w:lineRule="auto"/>
        <w:rPr>
          <w:sz w:val="20"/>
          <w:szCs w:val="20"/>
          <w:color w:val="auto"/>
        </w:rPr>
      </w:pPr>
      <w:r>
        <w:rPr>
          <w:rFonts w:ascii="Arial" w:cs="Arial" w:eastAsia="Arial" w:hAnsi="Arial"/>
          <w:sz w:val="14"/>
          <w:szCs w:val="14"/>
          <w:color w:val="auto"/>
        </w:rPr>
        <w:t>Nicole M. Runyan</w:t>
      </w:r>
    </w:p>
    <w:p>
      <w:pPr>
        <w:ind w:left="1800"/>
        <w:spacing w:after="0" w:line="222" w:lineRule="auto"/>
        <w:rPr>
          <w:sz w:val="20"/>
          <w:szCs w:val="20"/>
          <w:color w:val="auto"/>
        </w:rPr>
      </w:pPr>
      <w:r>
        <w:rPr>
          <w:rFonts w:ascii="Arial" w:cs="Arial" w:eastAsia="Arial" w:hAnsi="Arial"/>
          <w:sz w:val="14"/>
          <w:szCs w:val="14"/>
          <w:color w:val="auto"/>
        </w:rPr>
        <w:t>Stroock &amp; Stroock &amp; Lavan LLP</w:t>
      </w:r>
    </w:p>
    <w:p>
      <w:pPr>
        <w:ind w:left="1800"/>
        <w:spacing w:after="0" w:line="221" w:lineRule="auto"/>
        <w:rPr>
          <w:sz w:val="20"/>
          <w:szCs w:val="20"/>
          <w:color w:val="auto"/>
        </w:rPr>
      </w:pPr>
      <w:r>
        <w:rPr>
          <w:rFonts w:ascii="Arial" w:cs="Arial" w:eastAsia="Arial" w:hAnsi="Arial"/>
          <w:sz w:val="14"/>
          <w:szCs w:val="14"/>
          <w:color w:val="auto"/>
        </w:rPr>
        <w:t>180 Maiden Lane</w:t>
      </w:r>
    </w:p>
    <w:p>
      <w:pPr>
        <w:ind w:left="1800"/>
        <w:spacing w:after="0"/>
        <w:rPr>
          <w:sz w:val="20"/>
          <w:szCs w:val="20"/>
          <w:color w:val="auto"/>
        </w:rPr>
      </w:pPr>
      <w:r>
        <w:rPr>
          <w:rFonts w:ascii="Arial" w:cs="Arial" w:eastAsia="Arial" w:hAnsi="Arial"/>
          <w:sz w:val="14"/>
          <w:szCs w:val="14"/>
          <w:color w:val="auto"/>
        </w:rPr>
        <w:t>New York, New York 10038</w:t>
      </w:r>
    </w:p>
    <w:p>
      <w:pPr>
        <w:spacing w:after="0" w:line="192" w:lineRule="exact"/>
        <w:rPr>
          <w:sz w:val="20"/>
          <w:szCs w:val="20"/>
          <w:color w:val="auto"/>
        </w:rPr>
      </w:pPr>
    </w:p>
    <w:p>
      <w:pPr>
        <w:ind w:left="1620" w:hanging="489"/>
        <w:spacing w:after="0"/>
        <w:tabs>
          <w:tab w:leader="none" w:pos="16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If to the Company, to:</w:t>
      </w:r>
    </w:p>
    <w:p>
      <w:pPr>
        <w:spacing w:after="0" w:line="203"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PennantPark Investment Corporation</w:t>
      </w:r>
    </w:p>
    <w:p>
      <w:pPr>
        <w:ind w:left="1800"/>
        <w:spacing w:after="0" w:line="221" w:lineRule="auto"/>
        <w:rPr>
          <w:sz w:val="20"/>
          <w:szCs w:val="20"/>
          <w:color w:val="auto"/>
        </w:rPr>
      </w:pPr>
      <w:r>
        <w:rPr>
          <w:rFonts w:ascii="Arial" w:cs="Arial" w:eastAsia="Arial" w:hAnsi="Arial"/>
          <w:sz w:val="14"/>
          <w:szCs w:val="14"/>
          <w:color w:val="auto"/>
        </w:rPr>
        <w:t>590 Madison Avenue, 15th Floor</w:t>
      </w:r>
    </w:p>
    <w:p>
      <w:pPr>
        <w:ind w:left="1800"/>
        <w:spacing w:after="0" w:line="221" w:lineRule="auto"/>
        <w:rPr>
          <w:sz w:val="20"/>
          <w:szCs w:val="20"/>
          <w:color w:val="auto"/>
        </w:rPr>
      </w:pPr>
      <w:r>
        <w:rPr>
          <w:rFonts w:ascii="Arial" w:cs="Arial" w:eastAsia="Arial" w:hAnsi="Arial"/>
          <w:sz w:val="14"/>
          <w:szCs w:val="14"/>
          <w:color w:val="auto"/>
        </w:rPr>
        <w:t>New York, New York 10022</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Attention: Chief Financial Officer</w:t>
      </w:r>
    </w:p>
    <w:p>
      <w:pPr>
        <w:spacing w:after="0" w:line="191"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with copies to:</w:t>
      </w:r>
    </w:p>
    <w:p>
      <w:pPr>
        <w:ind w:left="1800"/>
        <w:spacing w:after="0" w:line="221" w:lineRule="auto"/>
        <w:rPr>
          <w:sz w:val="20"/>
          <w:szCs w:val="20"/>
          <w:color w:val="auto"/>
        </w:rPr>
      </w:pPr>
      <w:r>
        <w:rPr>
          <w:rFonts w:ascii="Arial" w:cs="Arial" w:eastAsia="Arial" w:hAnsi="Arial"/>
          <w:sz w:val="14"/>
          <w:szCs w:val="14"/>
          <w:color w:val="auto"/>
        </w:rPr>
        <w:t>Thomas J. Friedmann</w:t>
      </w:r>
    </w:p>
    <w:p>
      <w:pPr>
        <w:ind w:left="1800"/>
        <w:spacing w:after="0" w:line="221" w:lineRule="auto"/>
        <w:rPr>
          <w:sz w:val="20"/>
          <w:szCs w:val="20"/>
          <w:color w:val="auto"/>
        </w:rPr>
      </w:pPr>
      <w:r>
        <w:rPr>
          <w:rFonts w:ascii="Arial" w:cs="Arial" w:eastAsia="Arial" w:hAnsi="Arial"/>
          <w:sz w:val="14"/>
          <w:szCs w:val="14"/>
          <w:color w:val="auto"/>
        </w:rPr>
        <w:t>David J. Harris</w:t>
      </w:r>
    </w:p>
    <w:p>
      <w:pPr>
        <w:ind w:left="1800"/>
        <w:spacing w:after="0" w:line="222" w:lineRule="auto"/>
        <w:rPr>
          <w:sz w:val="20"/>
          <w:szCs w:val="20"/>
          <w:color w:val="auto"/>
        </w:rPr>
      </w:pPr>
      <w:r>
        <w:rPr>
          <w:rFonts w:ascii="Arial" w:cs="Arial" w:eastAsia="Arial" w:hAnsi="Arial"/>
          <w:sz w:val="14"/>
          <w:szCs w:val="14"/>
          <w:color w:val="auto"/>
        </w:rPr>
        <w:t>William J. Tuttle</w:t>
      </w:r>
    </w:p>
    <w:p>
      <w:pPr>
        <w:ind w:left="1800"/>
        <w:spacing w:after="0" w:line="221" w:lineRule="auto"/>
        <w:rPr>
          <w:sz w:val="20"/>
          <w:szCs w:val="20"/>
          <w:color w:val="auto"/>
        </w:rPr>
      </w:pPr>
      <w:r>
        <w:rPr>
          <w:rFonts w:ascii="Arial" w:cs="Arial" w:eastAsia="Arial" w:hAnsi="Arial"/>
          <w:sz w:val="14"/>
          <w:szCs w:val="14"/>
          <w:color w:val="auto"/>
        </w:rPr>
        <w:t>Dechert LLP</w:t>
      </w:r>
    </w:p>
    <w:p>
      <w:pPr>
        <w:ind w:left="1800"/>
        <w:spacing w:after="0" w:line="221" w:lineRule="auto"/>
        <w:rPr>
          <w:sz w:val="20"/>
          <w:szCs w:val="20"/>
          <w:color w:val="auto"/>
        </w:rPr>
      </w:pPr>
      <w:r>
        <w:rPr>
          <w:rFonts w:ascii="Arial" w:cs="Arial" w:eastAsia="Arial" w:hAnsi="Arial"/>
          <w:sz w:val="14"/>
          <w:szCs w:val="14"/>
          <w:color w:val="auto"/>
        </w:rPr>
        <w:t>1900 K Street, N.W.</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Washington, District of Columbia 20006</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or to such other address as may have been furnished to Indemnitee by the Company or to the Company by Indemnitee, as the case may be.</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 xml:space="preserve">Section 17. </w:t>
      </w:r>
      <w:r>
        <w:rPr>
          <w:rFonts w:ascii="Arial" w:cs="Arial" w:eastAsia="Arial" w:hAnsi="Arial"/>
          <w:sz w:val="13"/>
          <w:szCs w:val="13"/>
          <w:u w:val="single" w:color="auto"/>
          <w:color w:val="auto"/>
        </w:rPr>
        <w:t>Governing Law</w:t>
      </w:r>
      <w:r>
        <w:rPr>
          <w:rFonts w:ascii="Arial" w:cs="Arial" w:eastAsia="Arial" w:hAnsi="Arial"/>
          <w:sz w:val="13"/>
          <w:szCs w:val="13"/>
          <w:color w:val="auto"/>
        </w:rPr>
        <w:t>. The parties agree that this Agreement shall be governed by, and construed and enforced in accordance with, the laws of the state of Maryland.</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 WITNESS WHEREOF, the parties hereto have executed this Agreement on the day and year first above written.</w:t>
      </w:r>
    </w:p>
    <w:p>
      <w:pPr>
        <w:spacing w:after="0" w:line="231" w:lineRule="exact"/>
        <w:rPr>
          <w:sz w:val="20"/>
          <w:szCs w:val="20"/>
          <w:color w:val="auto"/>
        </w:rPr>
      </w:pPr>
    </w:p>
    <w:p>
      <w:pPr>
        <w:ind w:left="4280"/>
        <w:spacing w:after="0"/>
        <w:rPr>
          <w:sz w:val="20"/>
          <w:szCs w:val="20"/>
          <w:color w:val="auto"/>
        </w:rPr>
      </w:pPr>
      <w:r>
        <w:rPr>
          <w:rFonts w:ascii="Arial" w:cs="Arial" w:eastAsia="Arial" w:hAnsi="Arial"/>
          <w:sz w:val="14"/>
          <w:szCs w:val="14"/>
          <w:color w:val="auto"/>
        </w:rPr>
        <w:t>PENNANTPARK INVESTMENT CORPORATION</w:t>
      </w:r>
    </w:p>
    <w:p>
      <w:pPr>
        <w:spacing w:after="0" w:line="352" w:lineRule="exact"/>
        <w:rPr>
          <w:sz w:val="20"/>
          <w:szCs w:val="20"/>
          <w:color w:val="auto"/>
        </w:rPr>
      </w:pPr>
    </w:p>
    <w:p>
      <w:pPr>
        <w:ind w:left="4280"/>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-3810</wp:posOffset>
            </wp:positionV>
            <wp:extent cx="17887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88795" cy="8890"/>
                    </a:xfrm>
                    <a:prstGeom prst="rect">
                      <a:avLst/>
                    </a:prstGeom>
                    <a:noFill/>
                  </pic:spPr>
                </pic:pic>
              </a:graphicData>
            </a:graphic>
          </wp:anchor>
        </w:drawing>
      </w:r>
    </w:p>
    <w:p>
      <w:pPr>
        <w:ind w:left="4280"/>
        <w:spacing w:after="0"/>
        <w:tabs>
          <w:tab w:leader="none" w:pos="46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Arthur H. Penn</w:t>
      </w:r>
    </w:p>
    <w:p>
      <w:pPr>
        <w:jc w:val="center"/>
        <w:ind w:right="-39"/>
        <w:spacing w:after="0"/>
        <w:rPr>
          <w:sz w:val="20"/>
          <w:szCs w:val="20"/>
          <w:color w:val="auto"/>
        </w:rPr>
      </w:pPr>
      <w:r>
        <w:rPr>
          <w:rFonts w:ascii="Arial" w:cs="Arial" w:eastAsia="Arial" w:hAnsi="Arial"/>
          <w:sz w:val="14"/>
          <w:szCs w:val="14"/>
          <w:color w:val="auto"/>
        </w:rPr>
        <w:t>Title: Chairman and Chief Executive Officer</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120"/>
          </w:cols>
          <w:pgMar w:left="320" w:top="269" w:right="459" w:bottom="1440" w:gutter="0" w:footer="0" w:header="0"/>
        </w:sectPr>
      </w:pPr>
    </w:p>
    <w:bookmarkStart w:id="84" w:name="page85"/>
    <w:bookmarkEnd w:id="84"/>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AGREED TO AND ACCEPTED BY:</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/s/ Adam K. Bernstein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Name:</w:t>
            </w:r>
          </w:p>
        </w:tc>
        <w:tc>
          <w:tcPr>
            <w:tcW w:w="392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auto"/>
              </w:rPr>
              <w:t>Adam K. Bernstein</w:t>
            </w:r>
          </w:p>
        </w:tc>
      </w:tr>
      <w:tr>
        <w:trPr>
          <w:trHeight w:val="662"/>
        </w:trPr>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Marshall S. Brozost</w:t>
            </w:r>
          </w:p>
        </w:tc>
      </w:tr>
      <w:tr>
        <w:trPr>
          <w:trHeight w:val="176"/>
        </w:trPr>
        <w:tc>
          <w:tcPr>
            <w:tcW w:w="560" w:type="dxa"/>
            <w:vAlign w:val="bottom"/>
          </w:tcPr>
          <w:p>
            <w:pPr>
              <w:spacing w:after="0"/>
              <w:rPr>
                <w:sz w:val="20"/>
                <w:szCs w:val="20"/>
                <w:color w:val="auto"/>
              </w:rPr>
            </w:pPr>
            <w:r>
              <w:rPr>
                <w:rFonts w:ascii="Arial" w:cs="Arial" w:eastAsia="Arial" w:hAnsi="Arial"/>
                <w:sz w:val="14"/>
                <w:szCs w:val="14"/>
                <w:color w:val="auto"/>
              </w:rPr>
              <w:t>Name:</w:t>
            </w:r>
          </w:p>
        </w:tc>
        <w:tc>
          <w:tcPr>
            <w:tcW w:w="3920" w:type="dxa"/>
            <w:vAlign w:val="bottom"/>
          </w:tcPr>
          <w:p>
            <w:pPr>
              <w:ind w:left="160"/>
              <w:spacing w:after="0"/>
              <w:rPr>
                <w:sz w:val="20"/>
                <w:szCs w:val="20"/>
                <w:color w:val="auto"/>
              </w:rPr>
            </w:pPr>
            <w:r>
              <w:rPr>
                <w:rFonts w:ascii="Arial" w:cs="Arial" w:eastAsia="Arial" w:hAnsi="Arial"/>
                <w:sz w:val="14"/>
                <w:szCs w:val="14"/>
                <w:color w:val="auto"/>
              </w:rPr>
              <w:t>Marshall S. Brozost</w:t>
            </w:r>
          </w:p>
        </w:tc>
      </w:tr>
      <w:tr>
        <w:trPr>
          <w:trHeight w:val="668"/>
        </w:trPr>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Jeffrey Flug</w:t>
            </w:r>
          </w:p>
        </w:tc>
      </w:tr>
      <w:tr>
        <w:trPr>
          <w:trHeight w:val="176"/>
        </w:trPr>
        <w:tc>
          <w:tcPr>
            <w:tcW w:w="560" w:type="dxa"/>
            <w:vAlign w:val="bottom"/>
          </w:tcPr>
          <w:p>
            <w:pPr>
              <w:spacing w:after="0"/>
              <w:rPr>
                <w:sz w:val="20"/>
                <w:szCs w:val="20"/>
                <w:color w:val="auto"/>
              </w:rPr>
            </w:pPr>
            <w:r>
              <w:rPr>
                <w:rFonts w:ascii="Arial" w:cs="Arial" w:eastAsia="Arial" w:hAnsi="Arial"/>
                <w:sz w:val="14"/>
                <w:szCs w:val="14"/>
                <w:color w:val="auto"/>
              </w:rPr>
              <w:t>Name:</w:t>
            </w:r>
          </w:p>
        </w:tc>
        <w:tc>
          <w:tcPr>
            <w:tcW w:w="3920" w:type="dxa"/>
            <w:vAlign w:val="bottom"/>
          </w:tcPr>
          <w:p>
            <w:pPr>
              <w:ind w:left="160"/>
              <w:spacing w:after="0"/>
              <w:rPr>
                <w:sz w:val="20"/>
                <w:szCs w:val="20"/>
                <w:color w:val="auto"/>
              </w:rPr>
            </w:pPr>
            <w:r>
              <w:rPr>
                <w:rFonts w:ascii="Arial" w:cs="Arial" w:eastAsia="Arial" w:hAnsi="Arial"/>
                <w:sz w:val="14"/>
                <w:szCs w:val="14"/>
                <w:color w:val="auto"/>
              </w:rPr>
              <w:t>Jeffrey Flug</w:t>
            </w:r>
          </w:p>
        </w:tc>
      </w:tr>
      <w:tr>
        <w:trPr>
          <w:trHeight w:val="668"/>
        </w:trPr>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Samuel L. Katz</w:t>
            </w:r>
          </w:p>
        </w:tc>
      </w:tr>
      <w:tr>
        <w:trPr>
          <w:trHeight w:val="176"/>
        </w:trPr>
        <w:tc>
          <w:tcPr>
            <w:tcW w:w="560" w:type="dxa"/>
            <w:vAlign w:val="bottom"/>
          </w:tcPr>
          <w:p>
            <w:pPr>
              <w:spacing w:after="0"/>
              <w:rPr>
                <w:sz w:val="20"/>
                <w:szCs w:val="20"/>
                <w:color w:val="auto"/>
              </w:rPr>
            </w:pPr>
            <w:r>
              <w:rPr>
                <w:rFonts w:ascii="Arial" w:cs="Arial" w:eastAsia="Arial" w:hAnsi="Arial"/>
                <w:sz w:val="14"/>
                <w:szCs w:val="14"/>
                <w:color w:val="auto"/>
              </w:rPr>
              <w:t>Name:</w:t>
            </w:r>
          </w:p>
        </w:tc>
        <w:tc>
          <w:tcPr>
            <w:tcW w:w="3920" w:type="dxa"/>
            <w:vAlign w:val="bottom"/>
          </w:tcPr>
          <w:p>
            <w:pPr>
              <w:ind w:left="160"/>
              <w:spacing w:after="0"/>
              <w:rPr>
                <w:sz w:val="20"/>
                <w:szCs w:val="20"/>
                <w:color w:val="auto"/>
              </w:rPr>
            </w:pPr>
            <w:r>
              <w:rPr>
                <w:rFonts w:ascii="Arial" w:cs="Arial" w:eastAsia="Arial" w:hAnsi="Arial"/>
                <w:sz w:val="14"/>
                <w:szCs w:val="14"/>
                <w:color w:val="auto"/>
              </w:rPr>
              <w:t>Samuel L. Katz</w:t>
            </w:r>
          </w:p>
        </w:tc>
      </w:tr>
      <w:tr>
        <w:trPr>
          <w:trHeight w:val="668"/>
        </w:trPr>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Arthur H. Penn</w:t>
            </w:r>
          </w:p>
        </w:tc>
      </w:tr>
      <w:tr>
        <w:trPr>
          <w:trHeight w:val="176"/>
        </w:trPr>
        <w:tc>
          <w:tcPr>
            <w:tcW w:w="560" w:type="dxa"/>
            <w:vAlign w:val="bottom"/>
          </w:tcPr>
          <w:p>
            <w:pPr>
              <w:spacing w:after="0"/>
              <w:rPr>
                <w:sz w:val="20"/>
                <w:szCs w:val="20"/>
                <w:color w:val="auto"/>
              </w:rPr>
            </w:pPr>
            <w:r>
              <w:rPr>
                <w:rFonts w:ascii="Arial" w:cs="Arial" w:eastAsia="Arial" w:hAnsi="Arial"/>
                <w:sz w:val="14"/>
                <w:szCs w:val="14"/>
                <w:color w:val="auto"/>
              </w:rPr>
              <w:t>Name:</w:t>
            </w:r>
          </w:p>
        </w:tc>
        <w:tc>
          <w:tcPr>
            <w:tcW w:w="3920" w:type="dxa"/>
            <w:vAlign w:val="bottom"/>
          </w:tcPr>
          <w:p>
            <w:pPr>
              <w:ind w:left="160"/>
              <w:spacing w:after="0"/>
              <w:rPr>
                <w:sz w:val="20"/>
                <w:szCs w:val="20"/>
                <w:color w:val="auto"/>
              </w:rPr>
            </w:pPr>
            <w:r>
              <w:rPr>
                <w:rFonts w:ascii="Arial" w:cs="Arial" w:eastAsia="Arial" w:hAnsi="Arial"/>
                <w:sz w:val="14"/>
                <w:szCs w:val="14"/>
                <w:color w:val="auto"/>
              </w:rPr>
              <w:t>Arthur H. Penn</w:t>
            </w:r>
          </w:p>
        </w:tc>
      </w:tr>
      <w:tr>
        <w:trPr>
          <w:trHeight w:val="668"/>
        </w:trPr>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Aviv Efrat</w:t>
            </w:r>
          </w:p>
        </w:tc>
      </w:tr>
      <w:tr>
        <w:trPr>
          <w:trHeight w:val="176"/>
        </w:trPr>
        <w:tc>
          <w:tcPr>
            <w:tcW w:w="560" w:type="dxa"/>
            <w:vAlign w:val="bottom"/>
          </w:tcPr>
          <w:p>
            <w:pPr>
              <w:spacing w:after="0"/>
              <w:rPr>
                <w:sz w:val="20"/>
                <w:szCs w:val="20"/>
                <w:color w:val="auto"/>
              </w:rPr>
            </w:pPr>
            <w:r>
              <w:rPr>
                <w:rFonts w:ascii="Arial" w:cs="Arial" w:eastAsia="Arial" w:hAnsi="Arial"/>
                <w:sz w:val="14"/>
                <w:szCs w:val="14"/>
                <w:color w:val="auto"/>
              </w:rPr>
              <w:t>Name:</w:t>
            </w:r>
          </w:p>
        </w:tc>
        <w:tc>
          <w:tcPr>
            <w:tcW w:w="3920" w:type="dxa"/>
            <w:vAlign w:val="bottom"/>
          </w:tcPr>
          <w:p>
            <w:pPr>
              <w:ind w:left="160"/>
              <w:spacing w:after="0"/>
              <w:rPr>
                <w:sz w:val="20"/>
                <w:szCs w:val="20"/>
                <w:color w:val="auto"/>
              </w:rPr>
            </w:pPr>
            <w:r>
              <w:rPr>
                <w:rFonts w:ascii="Arial" w:cs="Arial" w:eastAsia="Arial" w:hAnsi="Arial"/>
                <w:sz w:val="14"/>
                <w:szCs w:val="14"/>
                <w:color w:val="auto"/>
              </w:rPr>
              <w:t>Aviv Efrat</w:t>
            </w:r>
          </w:p>
        </w:tc>
      </w:tr>
      <w:tr>
        <w:trPr>
          <w:trHeight w:val="668"/>
        </w:trPr>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Guy F. Talarico</w:t>
            </w:r>
          </w:p>
        </w:tc>
      </w:tr>
      <w:tr>
        <w:trPr>
          <w:trHeight w:val="176"/>
        </w:trPr>
        <w:tc>
          <w:tcPr>
            <w:tcW w:w="560" w:type="dxa"/>
            <w:vAlign w:val="bottom"/>
          </w:tcPr>
          <w:p>
            <w:pPr>
              <w:spacing w:after="0"/>
              <w:rPr>
                <w:sz w:val="20"/>
                <w:szCs w:val="20"/>
                <w:color w:val="auto"/>
              </w:rPr>
            </w:pPr>
            <w:r>
              <w:rPr>
                <w:rFonts w:ascii="Arial" w:cs="Arial" w:eastAsia="Arial" w:hAnsi="Arial"/>
                <w:sz w:val="14"/>
                <w:szCs w:val="14"/>
                <w:color w:val="auto"/>
              </w:rPr>
              <w:t>Name:</w:t>
            </w:r>
          </w:p>
        </w:tc>
        <w:tc>
          <w:tcPr>
            <w:tcW w:w="3920" w:type="dxa"/>
            <w:vAlign w:val="bottom"/>
          </w:tcPr>
          <w:p>
            <w:pPr>
              <w:ind w:left="160"/>
              <w:spacing w:after="0"/>
              <w:rPr>
                <w:sz w:val="20"/>
                <w:szCs w:val="20"/>
                <w:color w:val="auto"/>
              </w:rPr>
            </w:pPr>
            <w:r>
              <w:rPr>
                <w:rFonts w:ascii="Arial" w:cs="Arial" w:eastAsia="Arial" w:hAnsi="Arial"/>
                <w:sz w:val="14"/>
                <w:szCs w:val="14"/>
                <w:color w:val="auto"/>
              </w:rPr>
              <w:t>Guy F. Talarico</w:t>
            </w:r>
          </w:p>
        </w:tc>
      </w:tr>
    </w:tbl>
    <w:p>
      <w:pPr>
        <w:spacing w:after="0" w:line="110"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139"/>
          </w:cols>
          <w:pgMar w:left="320" w:top="269" w:right="1440" w:bottom="1440" w:gutter="0" w:footer="0" w:header="0"/>
        </w:sectPr>
      </w:pPr>
    </w:p>
    <w:bookmarkStart w:id="85" w:name="page86"/>
    <w:bookmarkEnd w:id="85"/>
    <w:p>
      <w:pPr>
        <w:jc w:val="right"/>
        <w:ind w:right="4179"/>
        <w:spacing w:after="0"/>
        <w:rPr>
          <w:sz w:val="20"/>
          <w:szCs w:val="20"/>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Directors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Adam K. Bernstein</w:t>
      </w:r>
    </w:p>
    <w:p>
      <w:pPr>
        <w:spacing w:after="0" w:line="221" w:lineRule="auto"/>
        <w:rPr>
          <w:sz w:val="20"/>
          <w:szCs w:val="20"/>
          <w:color w:val="auto"/>
        </w:rPr>
      </w:pPr>
      <w:r>
        <w:rPr>
          <w:rFonts w:ascii="Arial" w:cs="Arial" w:eastAsia="Arial" w:hAnsi="Arial"/>
          <w:sz w:val="14"/>
          <w:szCs w:val="14"/>
          <w:color w:val="auto"/>
        </w:rPr>
        <w:t>Marshall Brozost</w:t>
      </w:r>
    </w:p>
    <w:p>
      <w:pPr>
        <w:spacing w:after="0" w:line="221" w:lineRule="auto"/>
        <w:rPr>
          <w:sz w:val="20"/>
          <w:szCs w:val="20"/>
          <w:color w:val="auto"/>
        </w:rPr>
      </w:pPr>
      <w:r>
        <w:rPr>
          <w:rFonts w:ascii="Arial" w:cs="Arial" w:eastAsia="Arial" w:hAnsi="Arial"/>
          <w:sz w:val="14"/>
          <w:szCs w:val="14"/>
          <w:color w:val="auto"/>
        </w:rPr>
        <w:t>Jeffrey Flug</w:t>
      </w:r>
    </w:p>
    <w:p>
      <w:pPr>
        <w:spacing w:after="0" w:line="222" w:lineRule="auto"/>
        <w:rPr>
          <w:sz w:val="20"/>
          <w:szCs w:val="20"/>
          <w:color w:val="auto"/>
        </w:rPr>
      </w:pPr>
      <w:r>
        <w:rPr>
          <w:rFonts w:ascii="Arial" w:cs="Arial" w:eastAsia="Arial" w:hAnsi="Arial"/>
          <w:sz w:val="14"/>
          <w:szCs w:val="14"/>
          <w:color w:val="auto"/>
        </w:rPr>
        <w:t>Samuel L. Katz</w:t>
      </w:r>
    </w:p>
    <w:p>
      <w:pPr>
        <w:spacing w:after="0"/>
        <w:rPr>
          <w:sz w:val="20"/>
          <w:szCs w:val="20"/>
          <w:color w:val="auto"/>
        </w:rPr>
      </w:pPr>
      <w:r>
        <w:rPr>
          <w:rFonts w:ascii="Arial" w:cs="Arial" w:eastAsia="Arial" w:hAnsi="Arial"/>
          <w:sz w:val="14"/>
          <w:szCs w:val="14"/>
          <w:color w:val="auto"/>
        </w:rPr>
        <w:t>Arthur H. Penn</w:t>
      </w:r>
      <w:r>
        <w:rPr>
          <w:rFonts w:ascii="Arial" w:cs="Arial" w:eastAsia="Arial" w:hAnsi="Arial"/>
          <w:sz w:val="12"/>
          <w:szCs w:val="12"/>
          <w:color w:val="auto"/>
        </w:rPr>
        <w:t>1</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Officers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Aviv Efrat</w:t>
      </w:r>
    </w:p>
    <w:p>
      <w:pPr>
        <w:spacing w:after="0"/>
        <w:rPr>
          <w:sz w:val="20"/>
          <w:szCs w:val="20"/>
          <w:color w:val="auto"/>
        </w:rPr>
      </w:pPr>
      <w:r>
        <w:rPr>
          <w:rFonts w:ascii="Arial" w:cs="Arial" w:eastAsia="Arial" w:hAnsi="Arial"/>
          <w:sz w:val="14"/>
          <w:szCs w:val="14"/>
          <w:color w:val="auto"/>
        </w:rPr>
        <w:t>Guy F. Talarico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5808345</wp:posOffset>
            </wp:positionV>
            <wp:extent cx="19970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1"/>
          <w:szCs w:val="11"/>
          <w:color w:val="auto"/>
        </w:rPr>
      </w:pPr>
      <w:r>
        <w:rPr>
          <w:rFonts w:ascii="Arial" w:cs="Arial" w:eastAsia="Arial" w:hAnsi="Arial"/>
          <w:sz w:val="13"/>
          <w:szCs w:val="13"/>
          <w:color w:val="auto"/>
        </w:rPr>
        <w:t>Mr. Penn is Chief Executive Officer and Chairman of the Board of Directors of the Company.</w:t>
      </w:r>
    </w:p>
    <w:p>
      <w:pPr>
        <w:sectPr>
          <w:pgSz w:w="11900" w:h="16838" w:orient="portrait"/>
          <w:cols w:equalWidth="0" w:num="1">
            <w:col w:w="10139"/>
          </w:cols>
          <w:pgMar w:left="320" w:top="269" w:right="1440" w:bottom="1440" w:gutter="0" w:footer="0" w:header="0"/>
        </w:sectPr>
      </w:pPr>
    </w:p>
    <w:bookmarkStart w:id="86" w:name="page87"/>
    <w:bookmarkEnd w:id="86"/>
    <w:p>
      <w:pPr>
        <w:jc w:val="right"/>
        <w:spacing w:after="0"/>
        <w:rPr>
          <w:sz w:val="20"/>
          <w:szCs w:val="20"/>
          <w:color w:val="auto"/>
        </w:rPr>
      </w:pPr>
      <w:r>
        <w:rPr>
          <w:rFonts w:ascii="Arial" w:cs="Arial" w:eastAsia="Arial" w:hAnsi="Arial"/>
          <w:sz w:val="14"/>
          <w:szCs w:val="14"/>
          <w:b w:val="1"/>
          <w:bCs w:val="1"/>
          <w:color w:val="auto"/>
        </w:rPr>
        <w:t>EXHIBIT 14.1</w:t>
      </w:r>
    </w:p>
    <w:p>
      <w:pPr>
        <w:jc w:val="center"/>
        <w:spacing w:after="0" w:line="225" w:lineRule="auto"/>
        <w:rPr>
          <w:sz w:val="20"/>
          <w:szCs w:val="20"/>
          <w:color w:val="auto"/>
        </w:rPr>
      </w:pPr>
      <w:r>
        <w:rPr>
          <w:rFonts w:ascii="Arial" w:cs="Arial" w:eastAsia="Arial" w:hAnsi="Arial"/>
          <w:sz w:val="14"/>
          <w:szCs w:val="14"/>
          <w:b w:val="1"/>
          <w:bCs w:val="1"/>
          <w:color w:val="auto"/>
        </w:rPr>
        <w:t>JOINT CODE OF ETHICS</w:t>
      </w:r>
    </w:p>
    <w:p>
      <w:pPr>
        <w:jc w:val="center"/>
        <w:spacing w:after="0" w:line="221" w:lineRule="auto"/>
        <w:rPr>
          <w:sz w:val="20"/>
          <w:szCs w:val="20"/>
          <w:color w:val="auto"/>
        </w:rPr>
      </w:pPr>
      <w:r>
        <w:rPr>
          <w:rFonts w:ascii="Arial" w:cs="Arial" w:eastAsia="Arial" w:hAnsi="Arial"/>
          <w:sz w:val="14"/>
          <w:szCs w:val="14"/>
          <w:b w:val="1"/>
          <w:bCs w:val="1"/>
          <w:color w:val="auto"/>
        </w:rPr>
        <w:t>FOR</w:t>
      </w:r>
    </w:p>
    <w:p>
      <w:pPr>
        <w:jc w:val="center"/>
        <w:spacing w:after="0" w:line="222" w:lineRule="auto"/>
        <w:rPr>
          <w:sz w:val="20"/>
          <w:szCs w:val="20"/>
          <w:color w:val="auto"/>
        </w:rPr>
      </w:pPr>
      <w:r>
        <w:rPr>
          <w:rFonts w:ascii="Arial" w:cs="Arial" w:eastAsia="Arial" w:hAnsi="Arial"/>
          <w:sz w:val="14"/>
          <w:szCs w:val="14"/>
          <w:b w:val="1"/>
          <w:bCs w:val="1"/>
          <w:color w:val="auto"/>
        </w:rPr>
        <w:t>PENNANTPARK INVESTMENT CORPORATION</w:t>
      </w:r>
    </w:p>
    <w:p>
      <w:pPr>
        <w:jc w:val="center"/>
        <w:spacing w:after="0" w:line="221" w:lineRule="auto"/>
        <w:rPr>
          <w:sz w:val="20"/>
          <w:szCs w:val="20"/>
          <w:color w:val="auto"/>
        </w:rPr>
      </w:pPr>
      <w:r>
        <w:rPr>
          <w:rFonts w:ascii="Arial" w:cs="Arial" w:eastAsia="Arial" w:hAnsi="Arial"/>
          <w:sz w:val="14"/>
          <w:szCs w:val="14"/>
          <w:b w:val="1"/>
          <w:bCs w:val="1"/>
          <w:color w:val="auto"/>
        </w:rPr>
        <w:t>PENNANTPARK FLOATING RATE CAPITAL LTD.</w:t>
      </w:r>
    </w:p>
    <w:p>
      <w:pPr>
        <w:jc w:val="center"/>
        <w:spacing w:after="0"/>
        <w:rPr>
          <w:sz w:val="20"/>
          <w:szCs w:val="20"/>
          <w:color w:val="auto"/>
        </w:rPr>
      </w:pPr>
      <w:r>
        <w:rPr>
          <w:rFonts w:ascii="Arial" w:cs="Arial" w:eastAsia="Arial" w:hAnsi="Arial"/>
          <w:sz w:val="14"/>
          <w:szCs w:val="14"/>
          <w:b w:val="1"/>
          <w:bCs w:val="1"/>
          <w:color w:val="auto"/>
        </w:rPr>
        <w:t>PENNANTPARK INVESTMENT ADVISERS, LLC</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 Statement of General Fiduciary Principles</w:t>
      </w:r>
    </w:p>
    <w:p>
      <w:pPr>
        <w:spacing w:after="0" w:line="167" w:lineRule="exact"/>
        <w:rPr>
          <w:sz w:val="20"/>
          <w:szCs w:val="20"/>
          <w:color w:val="auto"/>
        </w:rPr>
      </w:pPr>
    </w:p>
    <w:p>
      <w:pPr>
        <w:ind w:right="80" w:firstLine="562"/>
        <w:spacing w:after="0" w:line="228" w:lineRule="auto"/>
        <w:rPr>
          <w:sz w:val="20"/>
          <w:szCs w:val="20"/>
          <w:color w:val="auto"/>
        </w:rPr>
      </w:pPr>
      <w:r>
        <w:rPr>
          <w:rFonts w:ascii="Arial" w:cs="Arial" w:eastAsia="Arial" w:hAnsi="Arial"/>
          <w:sz w:val="14"/>
          <w:szCs w:val="14"/>
          <w:color w:val="auto"/>
        </w:rPr>
        <w:t>This Joint Code of Ethics (the “Code”) has been adopted by each of PennantPark Investment Corporation, PennantPark Floating Rate Capital, Ltd. (each individually,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Corporations may abuse their fiduciary duty to the Corporations, and otherwise to deal with the types of conflict of interest situations to which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158" w:lineRule="exact"/>
        <w:rPr>
          <w:sz w:val="20"/>
          <w:szCs w:val="20"/>
          <w:color w:val="auto"/>
        </w:rPr>
      </w:pPr>
    </w:p>
    <w:p>
      <w:pPr>
        <w:ind w:right="60" w:firstLine="562"/>
        <w:spacing w:after="0" w:line="251" w:lineRule="auto"/>
        <w:rPr>
          <w:sz w:val="20"/>
          <w:szCs w:val="20"/>
          <w:color w:val="auto"/>
        </w:rPr>
      </w:pPr>
      <w:r>
        <w:rPr>
          <w:rFonts w:ascii="Arial" w:cs="Arial" w:eastAsia="Arial" w:hAnsi="Arial"/>
          <w:sz w:val="13"/>
          <w:szCs w:val="13"/>
          <w:color w:val="auto"/>
        </w:rPr>
        <w:t>The Code is based on the principle that the directors and officers of the Corporations, and the managers, partners, officers and employees of the Adviser, who provide services to the Corporations, owe a fiduciary duty to the Corporations to conduct their personal securities transactions in a manner that does not interfere with the Corporations’ transactions or otherwise take unfair advantage of their relationship with the Corporations. All directors, managers, partners, officers and employees of the Corporations,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136" w:lineRule="exact"/>
        <w:rPr>
          <w:sz w:val="20"/>
          <w:szCs w:val="20"/>
          <w:color w:val="auto"/>
        </w:rPr>
      </w:pPr>
    </w:p>
    <w:p>
      <w:pPr>
        <w:jc w:val="both"/>
        <w:ind w:right="80" w:firstLine="562"/>
        <w:spacing w:after="0" w:line="238" w:lineRule="auto"/>
        <w:rPr>
          <w:sz w:val="20"/>
          <w:szCs w:val="20"/>
          <w:color w:val="auto"/>
        </w:rPr>
      </w:pPr>
      <w:r>
        <w:rPr>
          <w:rFonts w:ascii="Arial" w:cs="Arial" w:eastAsia="Arial" w:hAnsi="Arial"/>
          <w:sz w:val="14"/>
          <w:szCs w:val="14"/>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All Covered Personnel must read and retain this Code.</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II Definitions</w:t>
      </w:r>
    </w:p>
    <w:p>
      <w:pPr>
        <w:spacing w:after="0" w:line="207" w:lineRule="exact"/>
        <w:rPr>
          <w:sz w:val="20"/>
          <w:szCs w:val="20"/>
          <w:color w:val="auto"/>
        </w:rPr>
      </w:pPr>
    </w:p>
    <w:p>
      <w:pPr>
        <w:ind w:left="900" w:hanging="447"/>
        <w:spacing w:after="0"/>
        <w:tabs>
          <w:tab w:leader="none" w:pos="9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“Access Person” means any director, officer, general partner or Advisory Person (as defined below) of the Corporations or the Adviser.</w:t>
      </w:r>
    </w:p>
    <w:p>
      <w:pPr>
        <w:ind w:left="900" w:right="80" w:hanging="447"/>
        <w:spacing w:after="0" w:line="227" w:lineRule="auto"/>
        <w:tabs>
          <w:tab w:leader="none" w:pos="9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50" w:lineRule="exact"/>
        <w:rPr>
          <w:rFonts w:ascii="Arial" w:cs="Arial" w:eastAsia="Arial" w:hAnsi="Arial"/>
          <w:sz w:val="14"/>
          <w:szCs w:val="14"/>
          <w:color w:val="auto"/>
        </w:rPr>
      </w:pPr>
    </w:p>
    <w:p>
      <w:pPr>
        <w:ind w:left="900" w:right="420" w:hanging="447"/>
        <w:spacing w:after="0" w:line="253" w:lineRule="auto"/>
        <w:tabs>
          <w:tab w:leader="none" w:pos="9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38" w:lineRule="exact"/>
        <w:rPr>
          <w:rFonts w:ascii="Arial" w:cs="Arial" w:eastAsia="Arial" w:hAnsi="Arial"/>
          <w:sz w:val="14"/>
          <w:szCs w:val="14"/>
          <w:color w:val="auto"/>
        </w:rPr>
      </w:pPr>
    </w:p>
    <w:p>
      <w:pPr>
        <w:ind w:left="900" w:right="80" w:hanging="447"/>
        <w:spacing w:after="0" w:line="253" w:lineRule="auto"/>
        <w:tabs>
          <w:tab w:leader="none" w:pos="9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“Chief Compliance Officer” means the Chief Compliance Officer of the Corporation (who also may serve as the compliance officer of the Adviser and/or one or more affiliates of the Adviser).</w:t>
      </w:r>
    </w:p>
    <w:p>
      <w:pPr>
        <w:spacing w:after="0" w:line="38" w:lineRule="exact"/>
        <w:rPr>
          <w:rFonts w:ascii="Arial" w:cs="Arial" w:eastAsia="Arial" w:hAnsi="Arial"/>
          <w:sz w:val="14"/>
          <w:szCs w:val="14"/>
          <w:color w:val="auto"/>
        </w:rPr>
      </w:pPr>
    </w:p>
    <w:p>
      <w:pPr>
        <w:ind w:left="900" w:hanging="447"/>
        <w:spacing w:after="0"/>
        <w:tabs>
          <w:tab w:leader="none" w:pos="9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“Control” shall have the same meaning as that set forth in Section 2(a)(9) of the Act.</w:t>
      </w:r>
    </w:p>
    <w:p>
      <w:pPr>
        <w:spacing w:after="0" w:line="68" w:lineRule="exact"/>
        <w:rPr>
          <w:rFonts w:ascii="Arial" w:cs="Arial" w:eastAsia="Arial" w:hAnsi="Arial"/>
          <w:sz w:val="14"/>
          <w:szCs w:val="14"/>
          <w:color w:val="auto"/>
        </w:rPr>
      </w:pPr>
    </w:p>
    <w:p>
      <w:pPr>
        <w:ind w:left="900" w:right="100" w:hanging="447"/>
        <w:spacing w:after="0" w:line="248" w:lineRule="auto"/>
        <w:tabs>
          <w:tab w:leader="none" w:pos="9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112" w:lineRule="exact"/>
        <w:rPr>
          <w:rFonts w:ascii="Arial" w:cs="Arial" w:eastAsia="Arial" w:hAnsi="Arial"/>
          <w:sz w:val="13"/>
          <w:szCs w:val="13"/>
          <w:color w:val="auto"/>
        </w:rPr>
      </w:pPr>
    </w:p>
    <w:p>
      <w:pPr>
        <w:ind w:left="900" w:right="60"/>
        <w:spacing w:after="0" w:line="227" w:lineRule="auto"/>
        <w:rPr>
          <w:rFonts w:ascii="Arial" w:cs="Arial" w:eastAsia="Arial" w:hAnsi="Arial"/>
          <w:sz w:val="13"/>
          <w:szCs w:val="13"/>
          <w:color w:val="auto"/>
        </w:rPr>
      </w:pPr>
      <w:r>
        <w:rPr>
          <w:rFonts w:ascii="Arial" w:cs="Arial" w:eastAsia="Arial" w:hAnsi="Arial"/>
          <w:sz w:val="14"/>
          <w:szCs w:val="14"/>
          <w:color w:val="auto"/>
        </w:rPr>
        <w:t>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212" w:lineRule="exact"/>
        <w:rPr>
          <w:rFonts w:ascii="Arial" w:cs="Arial" w:eastAsia="Arial" w:hAnsi="Arial"/>
          <w:sz w:val="13"/>
          <w:szCs w:val="13"/>
          <w:color w:val="auto"/>
        </w:rPr>
      </w:pPr>
    </w:p>
    <w:p>
      <w:pPr>
        <w:ind w:left="900" w:hanging="447"/>
        <w:spacing w:after="0"/>
        <w:tabs>
          <w:tab w:leader="none" w:pos="9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“Independent Director” means a director of the Corporation who is not an “interested person” of the Corporation within the meaning of Section 2(a)(19) of the Act.</w:t>
      </w:r>
    </w:p>
    <w:p>
      <w:pPr>
        <w:spacing w:after="0" w:line="68" w:lineRule="exact"/>
        <w:rPr>
          <w:rFonts w:ascii="Arial" w:cs="Arial" w:eastAsia="Arial" w:hAnsi="Arial"/>
          <w:sz w:val="14"/>
          <w:szCs w:val="14"/>
          <w:color w:val="auto"/>
        </w:rPr>
      </w:pPr>
    </w:p>
    <w:p>
      <w:pPr>
        <w:ind w:left="900" w:right="60" w:hanging="447"/>
        <w:spacing w:after="0" w:line="253" w:lineRule="auto"/>
        <w:tabs>
          <w:tab w:leader="none" w:pos="9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“Initial Public Offering” means an offering of securities registered under the Securities Act of 1933 (the “1933 Act”), the issuer of which, immediately before the registration, was not subject to the reporting requirements of Sections 13 or 15(d) of the 1934 Act.</w:t>
      </w:r>
    </w:p>
    <w:p>
      <w:pPr>
        <w:spacing w:after="0" w:line="38" w:lineRule="exact"/>
        <w:rPr>
          <w:rFonts w:ascii="Arial" w:cs="Arial" w:eastAsia="Arial" w:hAnsi="Arial"/>
          <w:sz w:val="14"/>
          <w:szCs w:val="14"/>
          <w:color w:val="auto"/>
        </w:rPr>
      </w:pPr>
    </w:p>
    <w:p>
      <w:pPr>
        <w:ind w:left="900" w:right="220" w:hanging="447"/>
        <w:spacing w:after="0" w:line="253" w:lineRule="auto"/>
        <w:tabs>
          <w:tab w:leader="none" w:pos="9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“Limited Offering” means an offering that is exempt from registration under the 1933 Act pursuant to Section 4(2) or Section 4(6) thereof or pursuant to Rule 504, Rule 505, or Rule 506 thereunder.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18" w:right="339" w:bottom="1440" w:gutter="0" w:footer="0" w:header="0"/>
        </w:sectPr>
      </w:pPr>
    </w:p>
    <w:bookmarkStart w:id="87" w:name="page88"/>
    <w:bookmarkEnd w:id="87"/>
    <w:p>
      <w:pPr>
        <w:ind w:left="900" w:right="200" w:hanging="447"/>
        <w:spacing w:after="0" w:line="253" w:lineRule="auto"/>
        <w:tabs>
          <w:tab w:leader="none" w:pos="900" w:val="left"/>
        </w:tabs>
        <w:numPr>
          <w:ilvl w:val="0"/>
          <w:numId w:val="6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“Restricted List” means the “Pipeline” report of potential investments combined with the current holdings of the clients. PennantPark Access Persons are restricted from trading any security on the Restricted List.</w:t>
      </w:r>
    </w:p>
    <w:p>
      <w:pPr>
        <w:spacing w:after="0" w:line="38" w:lineRule="exact"/>
        <w:rPr>
          <w:rFonts w:ascii="Arial" w:cs="Arial" w:eastAsia="Arial" w:hAnsi="Arial"/>
          <w:sz w:val="14"/>
          <w:szCs w:val="14"/>
          <w:color w:val="auto"/>
        </w:rPr>
      </w:pPr>
    </w:p>
    <w:p>
      <w:pPr>
        <w:ind w:left="900" w:right="60" w:hanging="447"/>
        <w:spacing w:after="0" w:line="238" w:lineRule="auto"/>
        <w:tabs>
          <w:tab w:leader="none" w:pos="9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“Security Held or to be Acquired” by the Corporation means: (i) any Covered Security which, within the most recent 15 days: (A) is or has been held by the Corporation; or (B) is being or has been considered by the Corporation or the Adviser for purchase by the Corporation; and (ii) any option to purchase or sell, and any security convertible into or exchangeable for, a Covered Security described in Section II (K)(i).</w:t>
      </w:r>
    </w:p>
    <w:p>
      <w:pPr>
        <w:spacing w:after="0" w:line="47" w:lineRule="exact"/>
        <w:rPr>
          <w:rFonts w:ascii="Arial" w:cs="Arial" w:eastAsia="Arial" w:hAnsi="Arial"/>
          <w:sz w:val="14"/>
          <w:szCs w:val="14"/>
          <w:color w:val="auto"/>
        </w:rPr>
      </w:pPr>
    </w:p>
    <w:p>
      <w:pPr>
        <w:ind w:left="900" w:hanging="447"/>
        <w:spacing w:after="0"/>
        <w:tabs>
          <w:tab w:leader="none" w:pos="9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“17j-1 Organization” means the Corporation or the Adviser, as the context requires.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III Objective and General Prohibitions</w:t>
      </w:r>
    </w:p>
    <w:p>
      <w:pPr>
        <w:spacing w:after="0" w:line="181"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142" w:lineRule="exact"/>
        <w:rPr>
          <w:sz w:val="20"/>
          <w:szCs w:val="20"/>
          <w:color w:val="auto"/>
        </w:rPr>
      </w:pPr>
    </w:p>
    <w:p>
      <w:pPr>
        <w:jc w:val="both"/>
        <w:ind w:right="180" w:firstLine="562"/>
        <w:spacing w:after="0" w:line="264" w:lineRule="auto"/>
        <w:rPr>
          <w:sz w:val="20"/>
          <w:szCs w:val="20"/>
          <w:color w:val="auto"/>
        </w:rPr>
      </w:pPr>
      <w:r>
        <w:rPr>
          <w:rFonts w:ascii="Arial" w:cs="Arial" w:eastAsia="Arial" w:hAnsi="Arial"/>
          <w:sz w:val="13"/>
          <w:szCs w:val="13"/>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168" w:lineRule="exact"/>
        <w:rPr>
          <w:sz w:val="20"/>
          <w:szCs w:val="20"/>
          <w:color w:val="auto"/>
        </w:rPr>
      </w:pPr>
    </w:p>
    <w:p>
      <w:pPr>
        <w:ind w:left="880" w:hanging="319"/>
        <w:spacing w:after="0"/>
        <w:tabs>
          <w:tab w:leader="none" w:pos="8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employ any device, scheme or artifice to defraud the Corporation;</w:t>
      </w:r>
    </w:p>
    <w:p>
      <w:pPr>
        <w:spacing w:after="0" w:line="28" w:lineRule="exact"/>
        <w:rPr>
          <w:rFonts w:ascii="Arial" w:cs="Arial" w:eastAsia="Arial" w:hAnsi="Arial"/>
          <w:sz w:val="14"/>
          <w:szCs w:val="14"/>
          <w:color w:val="auto"/>
        </w:rPr>
      </w:pPr>
    </w:p>
    <w:p>
      <w:pPr>
        <w:ind w:left="880" w:right="220" w:hanging="319"/>
        <w:spacing w:after="0" w:line="251" w:lineRule="auto"/>
        <w:tabs>
          <w:tab w:leader="none" w:pos="8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make any untrue statement of a material fact to the Corporation or omit to state to the Corporation a material fact necessary in order to make the statements made, in light of the circumstances under which they are made, not misleading;</w:t>
      </w:r>
    </w:p>
    <w:p>
      <w:pPr>
        <w:ind w:left="880" w:hanging="319"/>
        <w:spacing w:after="0"/>
        <w:tabs>
          <w:tab w:leader="none" w:pos="8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engage in any act, practice or course of business that operates or would operate as a fraud or deceit upon the Corporation; or</w:t>
      </w:r>
    </w:p>
    <w:p>
      <w:pPr>
        <w:spacing w:after="0" w:line="28" w:lineRule="exact"/>
        <w:rPr>
          <w:rFonts w:ascii="Arial" w:cs="Arial" w:eastAsia="Arial" w:hAnsi="Arial"/>
          <w:sz w:val="14"/>
          <w:szCs w:val="14"/>
          <w:color w:val="auto"/>
        </w:rPr>
      </w:pPr>
    </w:p>
    <w:p>
      <w:pPr>
        <w:ind w:left="880" w:hanging="319"/>
        <w:spacing w:after="0"/>
        <w:tabs>
          <w:tab w:leader="none" w:pos="8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engage in any manipulative practice with respect to the Corporation.</w:t>
      </w:r>
    </w:p>
    <w:p>
      <w:pPr>
        <w:spacing w:after="0" w:line="163" w:lineRule="exact"/>
        <w:rPr>
          <w:sz w:val="20"/>
          <w:szCs w:val="20"/>
          <w:color w:val="auto"/>
        </w:rPr>
      </w:pPr>
    </w:p>
    <w:p>
      <w:pPr>
        <w:ind w:right="860" w:firstLine="562"/>
        <w:spacing w:after="0" w:line="253" w:lineRule="auto"/>
        <w:rPr>
          <w:sz w:val="20"/>
          <w:szCs w:val="20"/>
          <w:color w:val="auto"/>
        </w:rPr>
      </w:pPr>
      <w:r>
        <w:rPr>
          <w:rFonts w:ascii="Arial" w:cs="Arial" w:eastAsia="Arial" w:hAnsi="Arial"/>
          <w:sz w:val="14"/>
          <w:szCs w:val="14"/>
          <w:color w:val="auto"/>
        </w:rPr>
        <w:t>Covered Personnel should also recognize that a violation of this Code or of Rule 17j-1 may result in the imposition of: (1) sanctions as provided by Section VIII below; or (2) administrative, civil and, in certain cases, criminal fines, sanctions or penalties.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IV Pre-Clearance of Personal Account Transactions; Window Period to Trade PennantPark shares</w:t>
      </w:r>
    </w:p>
    <w:p>
      <w:pPr>
        <w:spacing w:after="0" w:line="167" w:lineRule="exact"/>
        <w:rPr>
          <w:sz w:val="20"/>
          <w:szCs w:val="20"/>
          <w:color w:val="auto"/>
        </w:rPr>
      </w:pPr>
    </w:p>
    <w:p>
      <w:pPr>
        <w:ind w:right="180" w:firstLine="562"/>
        <w:spacing w:after="0" w:line="255" w:lineRule="auto"/>
        <w:rPr>
          <w:sz w:val="20"/>
          <w:szCs w:val="20"/>
          <w:color w:val="auto"/>
        </w:rPr>
      </w:pPr>
      <w:r>
        <w:rPr>
          <w:rFonts w:ascii="Arial" w:cs="Arial" w:eastAsia="Arial" w:hAnsi="Arial"/>
          <w:sz w:val="13"/>
          <w:szCs w:val="13"/>
          <w:color w:val="auto"/>
        </w:rPr>
        <w:t>Except as noted below, all Access Persons must obtain the prior written approval of the Managing Member (or such person as the Managing Member may designate) (“Approving Officer”) before engaging in any transaction in his or her Personal Account. The Approving Officer may approve the transaction if he concludes that the transaction would comply with the provisions of this Code of Ethics and is not likely to have any adverse economic impact on clients. A request for preclearance must be made by email, with a copy to the Compliance Officer, in advance of the contemplated transaction. No particular form is required, but the email must include sufficient detail for the Approving Officer to decide if a trade is permissible.</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Any approval given under this paragraph will be provided by email and will remain in effect for 72 hours.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4"/>
          <w:szCs w:val="14"/>
          <w:u w:val="single" w:color="auto"/>
          <w:color w:val="auto"/>
        </w:rPr>
        <w:t>Exceptions to the Pre-Clearance Requirement Policy</w:t>
      </w:r>
      <w:r>
        <w:rPr>
          <w:rFonts w:ascii="Arial" w:cs="Arial" w:eastAsia="Arial" w:hAnsi="Arial"/>
          <w:sz w:val="14"/>
          <w:szCs w:val="14"/>
          <w:color w:val="auto"/>
        </w:rPr>
        <w:t>,</w:t>
      </w:r>
    </w:p>
    <w:p>
      <w:pPr>
        <w:spacing w:after="0" w:line="163" w:lineRule="exact"/>
        <w:rPr>
          <w:sz w:val="20"/>
          <w:szCs w:val="20"/>
          <w:color w:val="auto"/>
        </w:rPr>
      </w:pPr>
    </w:p>
    <w:p>
      <w:pPr>
        <w:ind w:right="100" w:firstLine="562"/>
        <w:spacing w:after="0" w:line="251" w:lineRule="auto"/>
        <w:rPr>
          <w:sz w:val="20"/>
          <w:szCs w:val="20"/>
          <w:color w:val="auto"/>
        </w:rPr>
      </w:pPr>
      <w:r>
        <w:rPr>
          <w:rFonts w:ascii="Arial" w:cs="Arial" w:eastAsia="Arial" w:hAnsi="Arial"/>
          <w:sz w:val="13"/>
          <w:szCs w:val="13"/>
          <w:color w:val="auto"/>
        </w:rPr>
        <w:t>Access Persons will be allowed to trade securities of the Corporations during a “window period” that may be announced following the release of Corporations’ earnings release. If the window is opened for trading, it will begin no earlier than the second business day after a Corporation publicly releases quarterly or annual financial results and extends no later than 30 calendar days after the release of results (29 calendar days in all). Note that the ability of an officer, director or other Access Person to engage in transactions in the securities of a Corporation during a window period is not automatic or absolute because no trades may be made even during a window period by an individual who possesses material, nonpublic information. Further, the window period may not open in a particular quarter, and it may be closed prior to the expiration of 30 days, as events require.</w:t>
      </w:r>
    </w:p>
    <w:p>
      <w:pPr>
        <w:spacing w:after="0" w:line="136" w:lineRule="exact"/>
        <w:rPr>
          <w:sz w:val="20"/>
          <w:szCs w:val="20"/>
          <w:color w:val="auto"/>
        </w:rPr>
      </w:pPr>
    </w:p>
    <w:p>
      <w:pPr>
        <w:ind w:right="340" w:firstLine="562"/>
        <w:spacing w:after="0" w:line="253" w:lineRule="auto"/>
        <w:rPr>
          <w:sz w:val="20"/>
          <w:szCs w:val="20"/>
          <w:color w:val="auto"/>
        </w:rPr>
      </w:pPr>
      <w:r>
        <w:rPr>
          <w:rFonts w:ascii="Arial" w:cs="Arial" w:eastAsia="Arial" w:hAnsi="Arial"/>
          <w:sz w:val="14"/>
          <w:szCs w:val="14"/>
          <w:color w:val="auto"/>
        </w:rPr>
        <w:t>Additionally, Independent Directors are not required to seek preapproval for any transactions other than those which would trigger reporting requirements as set forth in Section VI (C) of this Code below.</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 Prohibited Transactions</w:t>
      </w:r>
    </w:p>
    <w:p>
      <w:pPr>
        <w:spacing w:after="0" w:line="113" w:lineRule="exact"/>
        <w:rPr>
          <w:sz w:val="20"/>
          <w:szCs w:val="20"/>
          <w:color w:val="auto"/>
        </w:rPr>
      </w:pPr>
    </w:p>
    <w:p>
      <w:pPr>
        <w:ind w:left="900" w:right="160" w:hanging="447"/>
        <w:spacing w:after="0" w:line="251" w:lineRule="auto"/>
        <w:tabs>
          <w:tab w:leader="none" w:pos="9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An Access Person may not purchase or otherwise acquire direct or indirect Beneficial Ownership of any Covered Security on the Restricted List, and may not sell or otherwise dispose of any Covered Security on the Restricted List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82" w:lineRule="exact"/>
        <w:rPr>
          <w:rFonts w:ascii="Arial" w:cs="Arial" w:eastAsia="Arial" w:hAnsi="Arial"/>
          <w:sz w:val="13"/>
          <w:szCs w:val="13"/>
          <w:color w:val="auto"/>
        </w:rPr>
      </w:pPr>
    </w:p>
    <w:p>
      <w:pPr>
        <w:ind w:left="900" w:right="140" w:hanging="447"/>
        <w:spacing w:after="0" w:line="238" w:lineRule="auto"/>
        <w:tabs>
          <w:tab w:leader="none" w:pos="9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88" w:lineRule="exact"/>
        <w:rPr>
          <w:rFonts w:ascii="Arial" w:cs="Arial" w:eastAsia="Arial" w:hAnsi="Arial"/>
          <w:sz w:val="14"/>
          <w:szCs w:val="14"/>
          <w:color w:val="auto"/>
        </w:rPr>
      </w:pPr>
    </w:p>
    <w:p>
      <w:pPr>
        <w:jc w:val="both"/>
        <w:ind w:left="900" w:right="100" w:hanging="447"/>
        <w:spacing w:after="0" w:line="233" w:lineRule="auto"/>
        <w:tabs>
          <w:tab w:leader="none" w:pos="9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 Reports by Access Persons</w:t>
      </w:r>
    </w:p>
    <w:p>
      <w:pPr>
        <w:spacing w:after="0" w:line="208" w:lineRule="exact"/>
        <w:rPr>
          <w:sz w:val="20"/>
          <w:szCs w:val="20"/>
          <w:color w:val="auto"/>
        </w:rPr>
      </w:pPr>
    </w:p>
    <w:p>
      <w:pPr>
        <w:ind w:left="900" w:hanging="447"/>
        <w:spacing w:after="0"/>
        <w:tabs>
          <w:tab w:leader="none" w:pos="9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Personal Securities Holdings Reports.</w:t>
      </w:r>
    </w:p>
    <w:p>
      <w:pPr>
        <w:spacing w:after="0" w:line="163"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 “Personal Securities Holdings Report,” is attached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269" w:right="339" w:bottom="1440" w:gutter="0" w:footer="0" w:header="0"/>
        </w:sectPr>
      </w:pPr>
    </w:p>
    <w:bookmarkStart w:id="88" w:name="page89"/>
    <w:bookmarkEnd w:id="88"/>
    <w:p>
      <w:pPr>
        <w:ind w:left="900" w:hanging="447"/>
        <w:spacing w:after="0"/>
        <w:tabs>
          <w:tab w:leader="none" w:pos="900" w:val="left"/>
        </w:tabs>
        <w:numPr>
          <w:ilvl w:val="0"/>
          <w:numId w:val="6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Quarterly Transaction Reports.</w:t>
      </w:r>
    </w:p>
    <w:p>
      <w:pPr>
        <w:spacing w:after="0" w:line="163" w:lineRule="exact"/>
        <w:rPr>
          <w:sz w:val="20"/>
          <w:szCs w:val="20"/>
          <w:color w:val="auto"/>
        </w:rPr>
      </w:pPr>
    </w:p>
    <w:p>
      <w:pPr>
        <w:ind w:right="260" w:firstLine="562"/>
        <w:spacing w:after="0" w:line="290" w:lineRule="auto"/>
        <w:rPr>
          <w:sz w:val="20"/>
          <w:szCs w:val="20"/>
          <w:color w:val="auto"/>
        </w:rPr>
      </w:pPr>
      <w:r>
        <w:rPr>
          <w:rFonts w:ascii="Arial" w:cs="Arial" w:eastAsia="Arial" w:hAnsi="Arial"/>
          <w:sz w:val="13"/>
          <w:szCs w:val="13"/>
          <w:color w:val="auto"/>
        </w:rPr>
        <w:t>Within 30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as Schedule B.</w:t>
      </w:r>
    </w:p>
    <w:p>
      <w:pPr>
        <w:spacing w:after="0" w:line="152" w:lineRule="exact"/>
        <w:rPr>
          <w:sz w:val="20"/>
          <w:szCs w:val="20"/>
          <w:color w:val="auto"/>
        </w:rPr>
      </w:pPr>
    </w:p>
    <w:p>
      <w:pPr>
        <w:ind w:right="100" w:firstLine="562"/>
        <w:spacing w:after="0" w:line="253" w:lineRule="auto"/>
        <w:rPr>
          <w:sz w:val="20"/>
          <w:szCs w:val="20"/>
          <w:color w:val="auto"/>
        </w:rPr>
      </w:pPr>
      <w:r>
        <w:rPr>
          <w:rFonts w:ascii="Arial" w:cs="Arial" w:eastAsia="Arial" w:hAnsi="Arial"/>
          <w:sz w:val="14"/>
          <w:szCs w:val="14"/>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147" w:lineRule="exact"/>
        <w:rPr>
          <w:sz w:val="20"/>
          <w:szCs w:val="20"/>
          <w:color w:val="auto"/>
        </w:rPr>
      </w:pPr>
    </w:p>
    <w:p>
      <w:pPr>
        <w:ind w:left="780" w:hanging="210"/>
        <w:spacing w:after="0"/>
        <w:tabs>
          <w:tab w:leader="none" w:pos="780" w:val="left"/>
        </w:tabs>
        <w:numPr>
          <w:ilvl w:val="1"/>
          <w:numId w:val="65"/>
        </w:numPr>
        <w:rPr>
          <w:rFonts w:ascii="Arial" w:cs="Arial" w:eastAsia="Arial" w:hAnsi="Arial"/>
          <w:sz w:val="14"/>
          <w:szCs w:val="14"/>
          <w:color w:val="auto"/>
        </w:rPr>
      </w:pPr>
      <w:r>
        <w:rPr>
          <w:rFonts w:ascii="Arial" w:cs="Arial" w:eastAsia="Arial" w:hAnsi="Arial"/>
          <w:sz w:val="14"/>
          <w:szCs w:val="14"/>
          <w:color w:val="auto"/>
        </w:rPr>
        <w:t>Date and nature of the transaction (purchase, sale or any other type of acquisition or disposition);</w:t>
      </w:r>
    </w:p>
    <w:p>
      <w:pPr>
        <w:spacing w:after="0" w:line="163" w:lineRule="exact"/>
        <w:rPr>
          <w:rFonts w:ascii="Arial" w:cs="Arial" w:eastAsia="Arial" w:hAnsi="Arial"/>
          <w:sz w:val="14"/>
          <w:szCs w:val="14"/>
          <w:color w:val="auto"/>
        </w:rPr>
      </w:pPr>
    </w:p>
    <w:p>
      <w:pPr>
        <w:ind w:right="260" w:firstLine="570"/>
        <w:spacing w:after="0" w:line="253" w:lineRule="auto"/>
        <w:tabs>
          <w:tab w:leader="none" w:pos="799" w:val="left"/>
        </w:tabs>
        <w:numPr>
          <w:ilvl w:val="1"/>
          <w:numId w:val="65"/>
        </w:numPr>
        <w:rPr>
          <w:rFonts w:ascii="Arial" w:cs="Arial" w:eastAsia="Arial" w:hAnsi="Arial"/>
          <w:sz w:val="14"/>
          <w:szCs w:val="14"/>
          <w:color w:val="auto"/>
        </w:rPr>
      </w:pPr>
      <w:r>
        <w:rPr>
          <w:rFonts w:ascii="Arial" w:cs="Arial" w:eastAsia="Arial" w:hAnsi="Arial"/>
          <w:sz w:val="14"/>
          <w:szCs w:val="14"/>
          <w:color w:val="auto"/>
        </w:rPr>
        <w:t>Title, interest rate and maturity date (if applicable), number of shares and principal amount of each Covered Security involved and the price of the Covered Security at which the transaction was effected;</w:t>
      </w:r>
    </w:p>
    <w:p>
      <w:pPr>
        <w:spacing w:after="0" w:line="133" w:lineRule="exact"/>
        <w:rPr>
          <w:rFonts w:ascii="Arial" w:cs="Arial" w:eastAsia="Arial" w:hAnsi="Arial"/>
          <w:sz w:val="14"/>
          <w:szCs w:val="14"/>
          <w:color w:val="auto"/>
        </w:rPr>
      </w:pPr>
    </w:p>
    <w:p>
      <w:pPr>
        <w:ind w:left="780" w:hanging="210"/>
        <w:spacing w:after="0"/>
        <w:tabs>
          <w:tab w:leader="none" w:pos="780" w:val="left"/>
        </w:tabs>
        <w:numPr>
          <w:ilvl w:val="1"/>
          <w:numId w:val="65"/>
        </w:numPr>
        <w:rPr>
          <w:rFonts w:ascii="Arial" w:cs="Arial" w:eastAsia="Arial" w:hAnsi="Arial"/>
          <w:sz w:val="14"/>
          <w:szCs w:val="14"/>
          <w:color w:val="auto"/>
        </w:rPr>
      </w:pPr>
      <w:r>
        <w:rPr>
          <w:rFonts w:ascii="Arial" w:cs="Arial" w:eastAsia="Arial" w:hAnsi="Arial"/>
          <w:sz w:val="14"/>
          <w:szCs w:val="14"/>
          <w:color w:val="auto"/>
        </w:rPr>
        <w:t>Name of the broker, dealer or bank with or through whom the transaction was effected; and</w:t>
      </w:r>
    </w:p>
    <w:p>
      <w:pPr>
        <w:spacing w:after="0" w:line="176" w:lineRule="exact"/>
        <w:rPr>
          <w:rFonts w:ascii="Arial" w:cs="Arial" w:eastAsia="Arial" w:hAnsi="Arial"/>
          <w:sz w:val="14"/>
          <w:szCs w:val="14"/>
          <w:color w:val="auto"/>
        </w:rPr>
      </w:pPr>
    </w:p>
    <w:p>
      <w:pPr>
        <w:ind w:left="780" w:hanging="210"/>
        <w:spacing w:after="0"/>
        <w:tabs>
          <w:tab w:leader="none" w:pos="780" w:val="left"/>
        </w:tabs>
        <w:numPr>
          <w:ilvl w:val="1"/>
          <w:numId w:val="65"/>
        </w:numPr>
        <w:rPr>
          <w:rFonts w:ascii="Arial" w:cs="Arial" w:eastAsia="Arial" w:hAnsi="Arial"/>
          <w:sz w:val="14"/>
          <w:szCs w:val="14"/>
          <w:color w:val="auto"/>
        </w:rPr>
      </w:pPr>
      <w:r>
        <w:rPr>
          <w:rFonts w:ascii="Arial" w:cs="Arial" w:eastAsia="Arial" w:hAnsi="Arial"/>
          <w:sz w:val="14"/>
          <w:szCs w:val="14"/>
          <w:color w:val="auto"/>
        </w:rPr>
        <w:t>The date the report is submitted by the Access Person.</w:t>
      </w:r>
    </w:p>
    <w:p>
      <w:pPr>
        <w:spacing w:after="0" w:line="203" w:lineRule="exact"/>
        <w:rPr>
          <w:rFonts w:ascii="Arial" w:cs="Arial" w:eastAsia="Arial" w:hAnsi="Arial"/>
          <w:sz w:val="14"/>
          <w:szCs w:val="14"/>
          <w:color w:val="auto"/>
        </w:rPr>
      </w:pPr>
    </w:p>
    <w:p>
      <w:pPr>
        <w:ind w:left="900" w:hanging="447"/>
        <w:spacing w:after="0"/>
        <w:tabs>
          <w:tab w:leader="none" w:pos="9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Independent Directors.</w:t>
      </w:r>
    </w:p>
    <w:p>
      <w:pPr>
        <w:spacing w:after="0" w:line="163" w:lineRule="exact"/>
        <w:rPr>
          <w:sz w:val="20"/>
          <w:szCs w:val="20"/>
          <w:color w:val="auto"/>
        </w:rPr>
      </w:pPr>
    </w:p>
    <w:p>
      <w:pPr>
        <w:ind w:right="40" w:firstLine="562"/>
        <w:spacing w:after="0" w:line="251" w:lineRule="auto"/>
        <w:rPr>
          <w:sz w:val="20"/>
          <w:szCs w:val="20"/>
          <w:color w:val="auto"/>
        </w:rPr>
      </w:pPr>
      <w:r>
        <w:rPr>
          <w:rFonts w:ascii="Arial" w:cs="Arial" w:eastAsia="Arial" w:hAnsi="Arial"/>
          <w:sz w:val="13"/>
          <w:szCs w:val="13"/>
          <w:color w:val="auto"/>
        </w:rPr>
        <w:t>Notwithstanding the reporting requirements set forth in this Section V, an Independent Director who would be required to make a report under this 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177" w:lineRule="exact"/>
        <w:rPr>
          <w:sz w:val="20"/>
          <w:szCs w:val="20"/>
          <w:color w:val="auto"/>
        </w:rPr>
      </w:pPr>
    </w:p>
    <w:p>
      <w:pPr>
        <w:ind w:left="900" w:hanging="447"/>
        <w:spacing w:after="0"/>
        <w:tabs>
          <w:tab w:leader="none" w:pos="9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Access Persons of the Adviser.</w:t>
      </w:r>
    </w:p>
    <w:p>
      <w:pPr>
        <w:spacing w:after="0" w:line="163" w:lineRule="exact"/>
        <w:rPr>
          <w:sz w:val="20"/>
          <w:szCs w:val="20"/>
          <w:color w:val="auto"/>
        </w:rPr>
      </w:pPr>
    </w:p>
    <w:p>
      <w:pPr>
        <w:ind w:right="220" w:firstLine="562"/>
        <w:spacing w:after="0" w:line="253" w:lineRule="auto"/>
        <w:rPr>
          <w:sz w:val="20"/>
          <w:szCs w:val="20"/>
          <w:color w:val="auto"/>
        </w:rPr>
      </w:pPr>
      <w:r>
        <w:rPr>
          <w:rFonts w:ascii="Arial" w:cs="Arial" w:eastAsia="Arial" w:hAnsi="Arial"/>
          <w:sz w:val="14"/>
          <w:szCs w:val="14"/>
          <w:color w:val="auto"/>
        </w:rPr>
        <w:t>An Access Person of the Adviser need not make a Quarterly Transaction Report if all of the information in the report would duplicate information required to be recorded pursuant to Rules 204-2(a)(12) or (13) under the Investment Advisers Act of 1940, as amended.</w:t>
      </w:r>
    </w:p>
    <w:p>
      <w:pPr>
        <w:spacing w:after="0" w:line="174" w:lineRule="exact"/>
        <w:rPr>
          <w:sz w:val="20"/>
          <w:szCs w:val="20"/>
          <w:color w:val="auto"/>
        </w:rPr>
      </w:pPr>
    </w:p>
    <w:p>
      <w:pPr>
        <w:ind w:left="900" w:hanging="447"/>
        <w:spacing w:after="0"/>
        <w:tabs>
          <w:tab w:leader="none" w:pos="9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Brokerage Accounts and Statements.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Access Persons, except Independent Directors, shall:</w:t>
      </w:r>
    </w:p>
    <w:p>
      <w:pPr>
        <w:spacing w:after="0" w:line="163" w:lineRule="exact"/>
        <w:rPr>
          <w:sz w:val="20"/>
          <w:szCs w:val="20"/>
          <w:color w:val="auto"/>
        </w:rPr>
      </w:pPr>
    </w:p>
    <w:p>
      <w:pPr>
        <w:ind w:right="20" w:firstLine="570"/>
        <w:spacing w:after="0" w:line="238" w:lineRule="auto"/>
        <w:tabs>
          <w:tab w:leader="none" w:pos="765" w:val="left"/>
        </w:tabs>
        <w:numPr>
          <w:ilvl w:val="1"/>
          <w:numId w:val="69"/>
        </w:numPr>
        <w:rPr>
          <w:rFonts w:ascii="Arial" w:cs="Arial" w:eastAsia="Arial" w:hAnsi="Arial"/>
          <w:sz w:val="14"/>
          <w:szCs w:val="14"/>
          <w:color w:val="auto"/>
        </w:rPr>
      </w:pPr>
      <w:r>
        <w:rPr>
          <w:rFonts w:ascii="Arial" w:cs="Arial" w:eastAsia="Arial" w:hAnsi="Arial"/>
          <w:sz w:val="14"/>
          <w:szCs w:val="14"/>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142" w:lineRule="exact"/>
        <w:rPr>
          <w:rFonts w:ascii="Arial" w:cs="Arial" w:eastAsia="Arial" w:hAnsi="Arial"/>
          <w:sz w:val="14"/>
          <w:szCs w:val="14"/>
          <w:color w:val="auto"/>
        </w:rPr>
      </w:pPr>
    </w:p>
    <w:p>
      <w:pPr>
        <w:ind w:left="780" w:hanging="210"/>
        <w:spacing w:after="0"/>
        <w:tabs>
          <w:tab w:leader="none" w:pos="780" w:val="left"/>
        </w:tabs>
        <w:numPr>
          <w:ilvl w:val="1"/>
          <w:numId w:val="69"/>
        </w:numPr>
        <w:rPr>
          <w:rFonts w:ascii="Arial" w:cs="Arial" w:eastAsia="Arial" w:hAnsi="Arial"/>
          <w:sz w:val="14"/>
          <w:szCs w:val="14"/>
          <w:color w:val="auto"/>
        </w:rPr>
      </w:pPr>
      <w:r>
        <w:rPr>
          <w:rFonts w:ascii="Arial" w:cs="Arial" w:eastAsia="Arial" w:hAnsi="Arial"/>
          <w:sz w:val="14"/>
          <w:szCs w:val="14"/>
          <w:color w:val="auto"/>
        </w:rPr>
        <w:t>instruct the brokers, dealers or banks with whom they maintain such an account to provide duplicate account statements to the Chief Compliance Officer.</w:t>
      </w:r>
    </w:p>
    <w:p>
      <w:pPr>
        <w:spacing w:after="0" w:line="176" w:lineRule="exact"/>
        <w:rPr>
          <w:rFonts w:ascii="Arial" w:cs="Arial" w:eastAsia="Arial" w:hAnsi="Arial"/>
          <w:sz w:val="14"/>
          <w:szCs w:val="14"/>
          <w:color w:val="auto"/>
        </w:rPr>
      </w:pPr>
    </w:p>
    <w:p>
      <w:pPr>
        <w:ind w:left="780" w:hanging="210"/>
        <w:spacing w:after="0"/>
        <w:tabs>
          <w:tab w:leader="none" w:pos="780" w:val="left"/>
        </w:tabs>
        <w:numPr>
          <w:ilvl w:val="1"/>
          <w:numId w:val="69"/>
        </w:numPr>
        <w:rPr>
          <w:rFonts w:ascii="Arial" w:cs="Arial" w:eastAsia="Arial" w:hAnsi="Arial"/>
          <w:sz w:val="14"/>
          <w:szCs w:val="14"/>
          <w:color w:val="auto"/>
        </w:rPr>
      </w:pPr>
      <w:r>
        <w:rPr>
          <w:rFonts w:ascii="Arial" w:cs="Arial" w:eastAsia="Arial" w:hAnsi="Arial"/>
          <w:sz w:val="14"/>
          <w:szCs w:val="14"/>
          <w:color w:val="auto"/>
        </w:rPr>
        <w:t>on an annual basis, certify that they have complied with the requirements of (1) and (2) above.</w:t>
      </w:r>
    </w:p>
    <w:p>
      <w:pPr>
        <w:spacing w:after="0" w:line="203" w:lineRule="exact"/>
        <w:rPr>
          <w:rFonts w:ascii="Arial" w:cs="Arial" w:eastAsia="Arial" w:hAnsi="Arial"/>
          <w:sz w:val="14"/>
          <w:szCs w:val="14"/>
          <w:color w:val="auto"/>
        </w:rPr>
      </w:pPr>
    </w:p>
    <w:p>
      <w:pPr>
        <w:ind w:left="900" w:hanging="447"/>
        <w:spacing w:after="0"/>
        <w:tabs>
          <w:tab w:leader="none" w:pos="9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Form of Reports.</w:t>
      </w:r>
    </w:p>
    <w:p>
      <w:pPr>
        <w:spacing w:after="0" w:line="163"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174" w:lineRule="exact"/>
        <w:rPr>
          <w:sz w:val="20"/>
          <w:szCs w:val="20"/>
          <w:color w:val="auto"/>
        </w:rPr>
      </w:pPr>
    </w:p>
    <w:p>
      <w:pPr>
        <w:ind w:left="900" w:hanging="447"/>
        <w:spacing w:after="0"/>
        <w:tabs>
          <w:tab w:leader="none" w:pos="9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Responsibility to Report.</w:t>
      </w:r>
    </w:p>
    <w:p>
      <w:pPr>
        <w:spacing w:after="0" w:line="163" w:lineRule="exact"/>
        <w:rPr>
          <w:sz w:val="20"/>
          <w:szCs w:val="20"/>
          <w:color w:val="auto"/>
        </w:rPr>
      </w:pPr>
    </w:p>
    <w:p>
      <w:pPr>
        <w:jc w:val="both"/>
        <w:ind w:right="20" w:firstLine="562"/>
        <w:spacing w:after="0" w:line="238" w:lineRule="auto"/>
        <w:rPr>
          <w:sz w:val="20"/>
          <w:szCs w:val="20"/>
          <w:color w:val="auto"/>
        </w:rPr>
      </w:pPr>
      <w:r>
        <w:rPr>
          <w:rFonts w:ascii="Arial" w:cs="Arial" w:eastAsia="Arial" w:hAnsi="Arial"/>
          <w:sz w:val="14"/>
          <w:szCs w:val="14"/>
          <w:color w:val="auto"/>
        </w:rPr>
        <w:t>It is the responsibility of each Access Person to take the initiative to comply with the requirements of this Section V.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183" w:lineRule="exact"/>
        <w:rPr>
          <w:sz w:val="20"/>
          <w:szCs w:val="20"/>
          <w:color w:val="auto"/>
        </w:rPr>
      </w:pPr>
    </w:p>
    <w:p>
      <w:pPr>
        <w:ind w:left="900" w:hanging="447"/>
        <w:spacing w:after="0"/>
        <w:tabs>
          <w:tab w:leader="none" w:pos="9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Where to File Reports.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All Quarterly Securities Transaction Reports and Personal Securities Holdings Reports must be filed with the Chief Compliance Officer.</w:t>
      </w:r>
    </w:p>
    <w:p>
      <w:pPr>
        <w:spacing w:after="0" w:line="204" w:lineRule="exact"/>
        <w:rPr>
          <w:sz w:val="20"/>
          <w:szCs w:val="20"/>
          <w:color w:val="auto"/>
        </w:rPr>
      </w:pPr>
    </w:p>
    <w:p>
      <w:pPr>
        <w:ind w:left="900" w:hanging="447"/>
        <w:spacing w:after="0"/>
        <w:tabs>
          <w:tab w:leader="none" w:pos="9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Disclaimers.</w:t>
      </w:r>
    </w:p>
    <w:p>
      <w:pPr>
        <w:spacing w:after="0" w:line="163" w:lineRule="exact"/>
        <w:rPr>
          <w:sz w:val="20"/>
          <w:szCs w:val="20"/>
          <w:color w:val="auto"/>
        </w:rPr>
      </w:pPr>
    </w:p>
    <w:p>
      <w:pPr>
        <w:ind w:right="620" w:firstLine="562"/>
        <w:spacing w:after="0" w:line="253" w:lineRule="auto"/>
        <w:rPr>
          <w:sz w:val="20"/>
          <w:szCs w:val="20"/>
          <w:color w:val="auto"/>
        </w:rPr>
      </w:pPr>
      <w:r>
        <w:rPr>
          <w:rFonts w:ascii="Arial" w:cs="Arial" w:eastAsia="Arial" w:hAnsi="Arial"/>
          <w:sz w:val="14"/>
          <w:szCs w:val="14"/>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pacing w:after="0" w:line="174" w:lineRule="exact"/>
        <w:rPr>
          <w:sz w:val="20"/>
          <w:szCs w:val="20"/>
          <w:color w:val="auto"/>
        </w:rPr>
      </w:pPr>
    </w:p>
    <w:p>
      <w:pPr>
        <w:ind w:left="900" w:hanging="447"/>
        <w:spacing w:after="0"/>
        <w:tabs>
          <w:tab w:leader="none" w:pos="9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Exceptions from Reporting Requirements.</w:t>
      </w:r>
    </w:p>
    <w:p>
      <w:pPr>
        <w:spacing w:after="0" w:line="163" w:lineRule="exact"/>
        <w:rPr>
          <w:sz w:val="20"/>
          <w:szCs w:val="20"/>
          <w:color w:val="auto"/>
        </w:rPr>
      </w:pPr>
    </w:p>
    <w:p>
      <w:pPr>
        <w:ind w:right="160" w:firstLine="562"/>
        <w:spacing w:after="0" w:line="231" w:lineRule="auto"/>
        <w:rPr>
          <w:sz w:val="20"/>
          <w:szCs w:val="20"/>
          <w:color w:val="auto"/>
        </w:rPr>
      </w:pPr>
      <w:r>
        <w:rPr>
          <w:rFonts w:ascii="Arial" w:cs="Arial" w:eastAsia="Arial" w:hAnsi="Arial"/>
          <w:sz w:val="14"/>
          <w:szCs w:val="14"/>
          <w:color w:val="auto"/>
        </w:rPr>
        <w:t>Reports are not required: (1) with respect to securities held in accounts over which the access person has no direct or indirect influence or control as determined by the CCO in accordance with applicable guidance, a “Third Party Managed Account”; (2) with respect to transactions effected pursuant to an automatic investment plan; or (3) which would duplicate information contained in broker trade confirmations or account statements provided the adviser receives such confirmations or statements within 30 days after the end of the applicable calendar quarter and holds them in its books and records. PennantPark allows, but does not require, Access Persons to direct their brokers to provide duplicate statements and confirmations for this purpose.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269" w:right="339" w:bottom="1440" w:gutter="0" w:footer="0" w:header="0"/>
        </w:sectPr>
      </w:pPr>
    </w:p>
    <w:bookmarkStart w:id="89" w:name="page90"/>
    <w:bookmarkEnd w:id="89"/>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(K) Blind Trusts and other Third Party Managed Accounts.</w:t>
      </w:r>
    </w:p>
    <w:p>
      <w:pPr>
        <w:spacing w:after="0" w:line="163" w:lineRule="exact"/>
        <w:rPr>
          <w:sz w:val="20"/>
          <w:szCs w:val="20"/>
          <w:color w:val="auto"/>
        </w:rPr>
      </w:pPr>
    </w:p>
    <w:p>
      <w:pPr>
        <w:ind w:right="140" w:firstLine="432"/>
        <w:spacing w:after="0" w:line="247" w:lineRule="auto"/>
        <w:rPr>
          <w:sz w:val="20"/>
          <w:szCs w:val="20"/>
          <w:color w:val="auto"/>
        </w:rPr>
      </w:pPr>
      <w:r>
        <w:rPr>
          <w:rFonts w:ascii="Arial" w:cs="Arial" w:eastAsia="Arial" w:hAnsi="Arial"/>
          <w:sz w:val="13"/>
          <w:szCs w:val="13"/>
          <w:color w:val="auto"/>
        </w:rPr>
        <w:t>Rule 204A-1(b)(3)(i) provides that an access person is not required “to submit . . .. any report [(i.e., initial and annual holdings reports and quarterly transaction reports)] with respect to securities held in accounts over which the access person has no direct or indirect influence or control.” Examples of such accounts include “Blind Trusts” where the access person has no knowledge of specific actions taken by the Trustee with respect to Trust investments and no right to intervene in the trustee’s management. Additionally, accounts with similar features that limit the access person’s involvement, including other types of trusts and accounts managed by an unaffiliated manager with discretionary authority. However, the mere retention of a trustee or manager to advise an access person’s account on a discretionary basis is not, by itself, sufficient to allow for a conclusion that the access person has no direct or indirect influence or control. Rather, under the Guidance, the adviser must make a reasonable determination, based on reasonably designed policies and procedures, whether “the access person actually had direct or indirect influence or control over the trust or account, rather than whether the third-party manager had discretionary or non-discretionary investment authority.”</w:t>
      </w:r>
    </w:p>
    <w:p>
      <w:pPr>
        <w:spacing w:after="0" w:line="152"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Access persons who wish to rely on this exception with respect to any account which otherwise would be reportable must register the account with the CCO who will determine, based on relevant facts and circumstances (including the terms of the account), whether the access person has direct or indirect influence or control over the account. An access person would have direct or indirect influence or control over an account where the access person (i) has the ability to suggest or direct purchases or sales; (ii) consults with the trustee or manager as to the particular allocation of investments to be made in the account; or (iii) engages in regular and substantive discussions with the trustee or manager with respect to account holdings. However, the following activities would not preclude the CCO from determining that an account is a Third Party Managed Account: (i) the access person provides information about his or her investment objectives and reasonable restrictions; (ii) the trustee or manager provides summary descriptions or explanations (whether written or oral) regarding account activity to the access person, provided that the access person does not provide suggestions or directions to the trustee or manager; and (iii) the access person is able to make contributions to and withdrawals from the account, provided that the access person may not instruct the trustee or manager as to specific securities or types of securities which should be purchased or liquidated in connection with the contribution or withdrawal.</w:t>
      </w:r>
    </w:p>
    <w:p>
      <w:pPr>
        <w:spacing w:after="0" w:line="143" w:lineRule="exact"/>
        <w:rPr>
          <w:sz w:val="20"/>
          <w:szCs w:val="20"/>
          <w:color w:val="auto"/>
        </w:rPr>
      </w:pPr>
    </w:p>
    <w:p>
      <w:pPr>
        <w:ind w:right="220" w:firstLine="562"/>
        <w:spacing w:after="0" w:line="290" w:lineRule="auto"/>
        <w:rPr>
          <w:sz w:val="20"/>
          <w:szCs w:val="20"/>
          <w:color w:val="auto"/>
        </w:rPr>
      </w:pPr>
      <w:r>
        <w:rPr>
          <w:rFonts w:ascii="Arial" w:cs="Arial" w:eastAsia="Arial" w:hAnsi="Arial"/>
          <w:sz w:val="13"/>
          <w:szCs w:val="13"/>
          <w:color w:val="auto"/>
        </w:rPr>
        <w:t>No account shall be treated as a Third Party Managed Account until the CCO determines and informs the access person that the account meets the relevant requirements. In making a determination that an account meets the requirements to be treated as a Third Party Managed Account, the CCO may consider, as he or she determines relevant under the circumstances:</w:t>
      </w:r>
    </w:p>
    <w:p>
      <w:pPr>
        <w:spacing w:after="0" w:line="152" w:lineRule="exact"/>
        <w:rPr>
          <w:sz w:val="20"/>
          <w:szCs w:val="20"/>
          <w:color w:val="auto"/>
        </w:rPr>
      </w:pPr>
    </w:p>
    <w:p>
      <w:pPr>
        <w:ind w:left="880" w:hanging="319"/>
        <w:spacing w:after="0"/>
        <w:tabs>
          <w:tab w:leader="none" w:pos="8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terms of the account or trust documentation, including the advisory agreement;</w:t>
      </w:r>
    </w:p>
    <w:p>
      <w:pPr>
        <w:spacing w:after="0" w:line="203" w:lineRule="exact"/>
        <w:rPr>
          <w:rFonts w:ascii="Arial" w:cs="Arial" w:eastAsia="Arial" w:hAnsi="Arial"/>
          <w:sz w:val="14"/>
          <w:szCs w:val="14"/>
          <w:color w:val="auto"/>
        </w:rPr>
      </w:pPr>
    </w:p>
    <w:p>
      <w:pPr>
        <w:ind w:left="880" w:right="360" w:hanging="319"/>
        <w:spacing w:after="0" w:line="253" w:lineRule="auto"/>
        <w:tabs>
          <w:tab w:leader="none" w:pos="8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Information obtained from the access person as to the nature of the access person’s relationship with the trustee or manager (e.g., whether the trustee or manager is a friend or relative of the access person; whether the advisory firm is affiliated with PennantPark);</w:t>
      </w:r>
    </w:p>
    <w:p>
      <w:pPr>
        <w:spacing w:after="0" w:line="173" w:lineRule="exact"/>
        <w:rPr>
          <w:rFonts w:ascii="Arial" w:cs="Arial" w:eastAsia="Arial" w:hAnsi="Arial"/>
          <w:sz w:val="14"/>
          <w:szCs w:val="14"/>
          <w:color w:val="auto"/>
        </w:rPr>
      </w:pPr>
    </w:p>
    <w:p>
      <w:pPr>
        <w:ind w:left="880" w:right="260" w:hanging="319"/>
        <w:spacing w:after="0" w:line="253" w:lineRule="auto"/>
        <w:tabs>
          <w:tab w:leader="none" w:pos="8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Specific periodic certifications from the access person, trustee and/or manager, as to the nature of the account and whether the access person has sought to exercise influence or control over the trustee or manager;</w:t>
      </w:r>
    </w:p>
    <w:p>
      <w:pPr>
        <w:spacing w:after="0" w:line="173" w:lineRule="exact"/>
        <w:rPr>
          <w:rFonts w:ascii="Arial" w:cs="Arial" w:eastAsia="Arial" w:hAnsi="Arial"/>
          <w:sz w:val="14"/>
          <w:szCs w:val="14"/>
          <w:color w:val="auto"/>
        </w:rPr>
      </w:pPr>
    </w:p>
    <w:p>
      <w:pPr>
        <w:ind w:left="880" w:right="80" w:hanging="319"/>
        <w:spacing w:after="0" w:line="253" w:lineRule="auto"/>
        <w:tabs>
          <w:tab w:leader="none" w:pos="8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Certification or representation from the access person that he or she has reviewed the Code, including this section defining the exception and describing the relevant determinative factors as to concluding that the access person does not exercise direct or indirect influence or control; and</w:t>
      </w:r>
    </w:p>
    <w:p>
      <w:pPr>
        <w:spacing w:after="0" w:line="173" w:lineRule="exact"/>
        <w:rPr>
          <w:rFonts w:ascii="Arial" w:cs="Arial" w:eastAsia="Arial" w:hAnsi="Arial"/>
          <w:sz w:val="14"/>
          <w:szCs w:val="14"/>
          <w:color w:val="auto"/>
        </w:rPr>
      </w:pPr>
    </w:p>
    <w:p>
      <w:pPr>
        <w:ind w:left="880" w:hanging="319"/>
        <w:spacing w:after="0"/>
        <w:tabs>
          <w:tab w:leader="none" w:pos="8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Any other information that the CCO believes necessary or appropriate to determine whether the account meets the standards set forth herein.</w:t>
      </w:r>
    </w:p>
    <w:p>
      <w:pPr>
        <w:spacing w:after="0" w:line="163" w:lineRule="exact"/>
        <w:rPr>
          <w:sz w:val="20"/>
          <w:szCs w:val="20"/>
          <w:color w:val="auto"/>
        </w:rPr>
      </w:pPr>
    </w:p>
    <w:p>
      <w:pPr>
        <w:ind w:right="20" w:firstLine="562"/>
        <w:spacing w:after="0" w:line="251" w:lineRule="auto"/>
        <w:rPr>
          <w:sz w:val="20"/>
          <w:szCs w:val="20"/>
          <w:color w:val="auto"/>
        </w:rPr>
      </w:pPr>
      <w:r>
        <w:rPr>
          <w:rFonts w:ascii="Arial" w:cs="Arial" w:eastAsia="Arial" w:hAnsi="Arial"/>
          <w:sz w:val="13"/>
          <w:szCs w:val="13"/>
          <w:color w:val="auto"/>
        </w:rPr>
        <w:t>The CCO will document, in writing, his or her conclusion as to whether the account meets the requirements to be treated as a Third Party Managed Account to rely on the reporting exception and will periodically review such determination with the access person. The CCO may require that the access person (and, where appropriate, the manager/trustee) provide additional or renewed certifications or information about the account. Additionally, the CCO may require that the access person provide reports on a sample basis as to account holdings and/or transactions. The CCO will review any such reports to determine whether transactions in the account would have been inconsistent with this Code absent reliance on the reporting exception. The CCO will keep relevant records to document these reviews and support his or her conclusions as to the status of the relevant account(s).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VII Additional Prohibitions</w:t>
      </w:r>
    </w:p>
    <w:p>
      <w:pPr>
        <w:spacing w:after="0" w:line="208" w:lineRule="exact"/>
        <w:rPr>
          <w:sz w:val="20"/>
          <w:szCs w:val="20"/>
          <w:color w:val="auto"/>
        </w:rPr>
      </w:pPr>
    </w:p>
    <w:p>
      <w:pPr>
        <w:ind w:left="900" w:hanging="447"/>
        <w:spacing w:after="0"/>
        <w:tabs>
          <w:tab w:leader="none" w:pos="9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Confidentiality of the Corporation’s Transactions.</w:t>
      </w:r>
    </w:p>
    <w:p>
      <w:pPr>
        <w:spacing w:after="0" w:line="163" w:lineRule="exact"/>
        <w:rPr>
          <w:sz w:val="20"/>
          <w:szCs w:val="20"/>
          <w:color w:val="auto"/>
        </w:rPr>
      </w:pPr>
    </w:p>
    <w:p>
      <w:pPr>
        <w:ind w:right="240" w:firstLine="562"/>
        <w:spacing w:after="0" w:line="238" w:lineRule="auto"/>
        <w:rPr>
          <w:sz w:val="20"/>
          <w:szCs w:val="20"/>
          <w:color w:val="auto"/>
        </w:rPr>
      </w:pPr>
      <w:r>
        <w:rPr>
          <w:rFonts w:ascii="Arial" w:cs="Arial" w:eastAsia="Arial" w:hAnsi="Arial"/>
          <w:sz w:val="14"/>
          <w:szCs w:val="14"/>
          <w:color w:val="auto"/>
        </w:rPr>
        <w:t>Until disclosed in a public report to shareholders or to the Securities and Exchange Commission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183" w:lineRule="exact"/>
        <w:rPr>
          <w:sz w:val="20"/>
          <w:szCs w:val="20"/>
          <w:color w:val="auto"/>
        </w:rPr>
      </w:pPr>
    </w:p>
    <w:p>
      <w:pPr>
        <w:ind w:left="900" w:hanging="447"/>
        <w:spacing w:after="0"/>
        <w:tabs>
          <w:tab w:leader="none" w:pos="9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Outside Business Activities and Directorships.</w:t>
      </w:r>
    </w:p>
    <w:p>
      <w:pPr>
        <w:spacing w:after="0" w:line="163"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183" w:lineRule="exact"/>
        <w:rPr>
          <w:sz w:val="20"/>
          <w:szCs w:val="20"/>
          <w:color w:val="auto"/>
        </w:rPr>
      </w:pPr>
    </w:p>
    <w:p>
      <w:pPr>
        <w:ind w:left="900" w:hanging="447"/>
        <w:spacing w:after="0"/>
        <w:tabs>
          <w:tab w:leader="none" w:pos="9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Gratuities.</w:t>
      </w:r>
    </w:p>
    <w:p>
      <w:pPr>
        <w:spacing w:after="0" w:line="177" w:lineRule="exact"/>
        <w:rPr>
          <w:sz w:val="20"/>
          <w:szCs w:val="20"/>
          <w:color w:val="auto"/>
        </w:rPr>
      </w:pPr>
    </w:p>
    <w:p>
      <w:pPr>
        <w:jc w:val="both"/>
        <w:ind w:right="20" w:firstLine="562"/>
        <w:spacing w:after="0" w:line="253" w:lineRule="auto"/>
        <w:rPr>
          <w:sz w:val="20"/>
          <w:szCs w:val="20"/>
          <w:color w:val="auto"/>
        </w:rPr>
      </w:pPr>
      <w:r>
        <w:rPr>
          <w:rFonts w:ascii="Arial" w:cs="Arial" w:eastAsia="Arial" w:hAnsi="Arial"/>
          <w:sz w:val="14"/>
          <w:szCs w:val="14"/>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VIII Prohibition Against Insider Trading</w:t>
      </w:r>
    </w:p>
    <w:p>
      <w:pPr>
        <w:spacing w:after="0" w:line="167"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269" w:right="339" w:bottom="1440" w:gutter="0" w:footer="0" w:header="0"/>
        </w:sectPr>
      </w:pPr>
    </w:p>
    <w:bookmarkStart w:id="90" w:name="page91"/>
    <w:bookmarkEnd w:id="90"/>
    <w:p>
      <w:pPr>
        <w:jc w:val="both"/>
        <w:ind w:left="900" w:right="660" w:hanging="447"/>
        <w:spacing w:after="0" w:line="290" w:lineRule="auto"/>
        <w:tabs>
          <w:tab w:leader="none" w:pos="900" w:val="left"/>
        </w:tabs>
        <w:numPr>
          <w:ilvl w:val="0"/>
          <w:numId w:val="79"/>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16" w:lineRule="exact"/>
        <w:rPr>
          <w:rFonts w:ascii="Arial" w:cs="Arial" w:eastAsia="Arial" w:hAnsi="Arial"/>
          <w:sz w:val="13"/>
          <w:szCs w:val="13"/>
          <w:color w:val="auto"/>
        </w:rPr>
      </w:pPr>
    </w:p>
    <w:p>
      <w:pPr>
        <w:ind w:left="900" w:right="20" w:hanging="447"/>
        <w:spacing w:after="0" w:line="228" w:lineRule="auto"/>
        <w:tabs>
          <w:tab w:leader="none" w:pos="9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pacing w:after="0" w:line="49" w:lineRule="exact"/>
        <w:rPr>
          <w:rFonts w:ascii="Arial" w:cs="Arial" w:eastAsia="Arial" w:hAnsi="Arial"/>
          <w:sz w:val="14"/>
          <w:szCs w:val="14"/>
          <w:color w:val="auto"/>
        </w:rPr>
      </w:pPr>
    </w:p>
    <w:p>
      <w:pPr>
        <w:ind w:left="900" w:right="180" w:hanging="447"/>
        <w:spacing w:after="0" w:line="238" w:lineRule="auto"/>
        <w:tabs>
          <w:tab w:leader="none" w:pos="9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 xml:space="preserve">Information is “public” when it has been disseminated broadly to investors in the marketplace. For example, information is public after it has become available to the general public through a public filing with the SEC or some other government agency, the Dow Jones “tape” or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or some other publication of general circulation, and after sufficient time has passed so that the information has been disseminated widely.</w:t>
      </w:r>
    </w:p>
    <w:p>
      <w:pPr>
        <w:spacing w:after="0" w:line="47" w:lineRule="exact"/>
        <w:rPr>
          <w:rFonts w:ascii="Arial" w:cs="Arial" w:eastAsia="Arial" w:hAnsi="Arial"/>
          <w:sz w:val="14"/>
          <w:szCs w:val="14"/>
          <w:color w:val="auto"/>
        </w:rPr>
      </w:pPr>
    </w:p>
    <w:p>
      <w:pPr>
        <w:ind w:left="900" w:right="120" w:hanging="447"/>
        <w:spacing w:after="0" w:line="227" w:lineRule="auto"/>
        <w:tabs>
          <w:tab w:leader="none" w:pos="9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An Advisory Person, before executing any trade for himself or herself, or others, including the Corporation or other accounts managed by the Adviser or by a stockholder of the Adviser, or any affiliate of the stockholder (“Client Accounts”), must determine whether he or she has material, non-public information. Any Advisory Person who believes he or she is in possession of material, non-public information must take the following steps:</w:t>
      </w:r>
    </w:p>
    <w:p>
      <w:pPr>
        <w:ind w:left="1240" w:hanging="341"/>
        <w:spacing w:after="0" w:line="221" w:lineRule="auto"/>
        <w:tabs>
          <w:tab w:leader="none" w:pos="1240" w:val="left"/>
        </w:tabs>
        <w:numPr>
          <w:ilvl w:val="1"/>
          <w:numId w:val="79"/>
        </w:numPr>
        <w:rPr>
          <w:rFonts w:ascii="Arial" w:cs="Arial" w:eastAsia="Arial" w:hAnsi="Arial"/>
          <w:sz w:val="14"/>
          <w:szCs w:val="14"/>
          <w:color w:val="auto"/>
        </w:rPr>
      </w:pPr>
      <w:r>
        <w:rPr>
          <w:rFonts w:ascii="Arial" w:cs="Arial" w:eastAsia="Arial" w:hAnsi="Arial"/>
          <w:sz w:val="14"/>
          <w:szCs w:val="14"/>
          <w:color w:val="auto"/>
        </w:rPr>
        <w:t>Report the information and proposed trade immediately to the Chief Compliance Officer.</w:t>
      </w:r>
    </w:p>
    <w:p>
      <w:pPr>
        <w:ind w:left="1240" w:hanging="341"/>
        <w:spacing w:after="0" w:line="221" w:lineRule="auto"/>
        <w:tabs>
          <w:tab w:leader="none" w:pos="1240" w:val="left"/>
        </w:tabs>
        <w:numPr>
          <w:ilvl w:val="1"/>
          <w:numId w:val="79"/>
        </w:numPr>
        <w:rPr>
          <w:rFonts w:ascii="Arial" w:cs="Arial" w:eastAsia="Arial" w:hAnsi="Arial"/>
          <w:sz w:val="14"/>
          <w:szCs w:val="14"/>
          <w:color w:val="auto"/>
        </w:rPr>
      </w:pPr>
      <w:r>
        <w:rPr>
          <w:rFonts w:ascii="Arial" w:cs="Arial" w:eastAsia="Arial" w:hAnsi="Arial"/>
          <w:sz w:val="14"/>
          <w:szCs w:val="14"/>
          <w:color w:val="auto"/>
        </w:rPr>
        <w:t>Do not purchase or sell the securities on behalf of anyone, including Client Accounts.</w:t>
      </w:r>
    </w:p>
    <w:p>
      <w:pPr>
        <w:ind w:left="1240" w:hanging="341"/>
        <w:spacing w:after="0"/>
        <w:tabs>
          <w:tab w:leader="none" w:pos="1240" w:val="left"/>
        </w:tabs>
        <w:numPr>
          <w:ilvl w:val="1"/>
          <w:numId w:val="79"/>
        </w:numPr>
        <w:rPr>
          <w:rFonts w:ascii="Arial" w:cs="Arial" w:eastAsia="Arial" w:hAnsi="Arial"/>
          <w:sz w:val="14"/>
          <w:szCs w:val="14"/>
          <w:color w:val="auto"/>
        </w:rPr>
      </w:pPr>
      <w:r>
        <w:rPr>
          <w:rFonts w:ascii="Arial" w:cs="Arial" w:eastAsia="Arial" w:hAnsi="Arial"/>
          <w:sz w:val="14"/>
          <w:szCs w:val="14"/>
          <w:color w:val="auto"/>
        </w:rPr>
        <w:t>Do not communicate the information to any person, other than to the Chief Compliance Officer.</w:t>
      </w:r>
    </w:p>
    <w:p>
      <w:pPr>
        <w:spacing w:after="0" w:line="151" w:lineRule="exact"/>
        <w:rPr>
          <w:sz w:val="20"/>
          <w:szCs w:val="20"/>
          <w:color w:val="auto"/>
        </w:rPr>
      </w:pPr>
    </w:p>
    <w:p>
      <w:pPr>
        <w:jc w:val="both"/>
        <w:ind w:right="160" w:firstLine="562"/>
        <w:spacing w:after="0" w:line="238" w:lineRule="auto"/>
        <w:rPr>
          <w:sz w:val="20"/>
          <w:szCs w:val="20"/>
          <w:color w:val="auto"/>
        </w:rPr>
      </w:pPr>
      <w:r>
        <w:rPr>
          <w:rFonts w:ascii="Arial" w:cs="Arial" w:eastAsia="Arial" w:hAnsi="Arial"/>
          <w:sz w:val="14"/>
          <w:szCs w:val="14"/>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183" w:lineRule="exact"/>
        <w:rPr>
          <w:sz w:val="20"/>
          <w:szCs w:val="20"/>
          <w:color w:val="auto"/>
        </w:rPr>
      </w:pPr>
    </w:p>
    <w:p>
      <w:pPr>
        <w:ind w:left="900" w:hanging="447"/>
        <w:spacing w:after="0" w:line="223" w:lineRule="auto"/>
        <w:tabs>
          <w:tab w:leader="none" w:pos="9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 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4" w:lineRule="exact"/>
        <w:rPr>
          <w:rFonts w:ascii="Arial" w:cs="Arial" w:eastAsia="Arial" w:hAnsi="Arial"/>
          <w:sz w:val="14"/>
          <w:szCs w:val="14"/>
          <w:color w:val="auto"/>
        </w:rPr>
      </w:pPr>
    </w:p>
    <w:p>
      <w:pPr>
        <w:ind w:left="900" w:right="20" w:hanging="447"/>
        <w:spacing w:after="0" w:line="226" w:lineRule="auto"/>
        <w:tabs>
          <w:tab w:leader="none" w:pos="9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IX Annual Certification</w:t>
      </w:r>
    </w:p>
    <w:p>
      <w:pPr>
        <w:spacing w:after="0" w:line="208" w:lineRule="exact"/>
        <w:rPr>
          <w:sz w:val="20"/>
          <w:szCs w:val="20"/>
          <w:color w:val="auto"/>
        </w:rPr>
      </w:pPr>
    </w:p>
    <w:p>
      <w:pPr>
        <w:ind w:left="900" w:hanging="447"/>
        <w:spacing w:after="0"/>
        <w:tabs>
          <w:tab w:leader="none" w:pos="9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Access Persons.</w:t>
      </w:r>
    </w:p>
    <w:p>
      <w:pPr>
        <w:spacing w:after="0" w:line="163" w:lineRule="exact"/>
        <w:rPr>
          <w:sz w:val="20"/>
          <w:szCs w:val="20"/>
          <w:color w:val="auto"/>
        </w:rPr>
      </w:pPr>
    </w:p>
    <w:p>
      <w:pPr>
        <w:ind w:right="280" w:firstLine="562"/>
        <w:spacing w:after="0" w:line="290" w:lineRule="auto"/>
        <w:rPr>
          <w:sz w:val="20"/>
          <w:szCs w:val="20"/>
          <w:color w:val="auto"/>
        </w:rPr>
      </w:pPr>
      <w:r>
        <w:rPr>
          <w:rFonts w:ascii="Arial" w:cs="Arial" w:eastAsia="Arial" w:hAnsi="Arial"/>
          <w:sz w:val="13"/>
          <w:szCs w:val="13"/>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152" w:lineRule="exact"/>
        <w:rPr>
          <w:sz w:val="20"/>
          <w:szCs w:val="20"/>
          <w:color w:val="auto"/>
        </w:rPr>
      </w:pPr>
    </w:p>
    <w:p>
      <w:pPr>
        <w:ind w:left="900" w:hanging="447"/>
        <w:spacing w:after="0"/>
        <w:tabs>
          <w:tab w:leader="none" w:pos="9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Board Review.</w:t>
      </w:r>
    </w:p>
    <w:p>
      <w:pPr>
        <w:spacing w:after="0" w:line="163" w:lineRule="exact"/>
        <w:rPr>
          <w:sz w:val="20"/>
          <w:szCs w:val="20"/>
          <w:color w:val="auto"/>
        </w:rPr>
      </w:pPr>
    </w:p>
    <w:p>
      <w:pPr>
        <w:ind w:right="140" w:firstLine="562"/>
        <w:spacing w:after="0" w:line="233" w:lineRule="auto"/>
        <w:rPr>
          <w:sz w:val="20"/>
          <w:szCs w:val="20"/>
          <w:color w:val="auto"/>
        </w:rPr>
      </w:pPr>
      <w:r>
        <w:rPr>
          <w:rFonts w:ascii="Arial" w:cs="Arial" w:eastAsia="Arial" w:hAnsi="Arial"/>
          <w:sz w:val="14"/>
          <w:szCs w:val="14"/>
          <w:color w:val="auto"/>
        </w:rPr>
        <w:t>No less frequently than annually, the Corporation and the Adviser must furnish to the Corporation’s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or the Adviser, as applicable, has adopted procedures reasonably necessary to prevent Access Persons from violating the Code.</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X Sanctions</w:t>
      </w:r>
    </w:p>
    <w:p>
      <w:pPr>
        <w:spacing w:after="0" w:line="167" w:lineRule="exact"/>
        <w:rPr>
          <w:sz w:val="20"/>
          <w:szCs w:val="20"/>
          <w:color w:val="auto"/>
        </w:rPr>
      </w:pPr>
    </w:p>
    <w:p>
      <w:pPr>
        <w:ind w:right="40" w:firstLine="562"/>
        <w:spacing w:after="0" w:line="251" w:lineRule="auto"/>
        <w:rPr>
          <w:sz w:val="20"/>
          <w:szCs w:val="20"/>
          <w:color w:val="auto"/>
        </w:rPr>
      </w:pPr>
      <w:r>
        <w:rPr>
          <w:rFonts w:ascii="Arial" w:cs="Arial" w:eastAsia="Arial" w:hAnsi="Arial"/>
          <w:sz w:val="13"/>
          <w:szCs w:val="13"/>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XI Administration and Construction</w:t>
      </w:r>
    </w:p>
    <w:p>
      <w:pPr>
        <w:spacing w:after="0" w:line="207" w:lineRule="exact"/>
        <w:rPr>
          <w:sz w:val="20"/>
          <w:szCs w:val="20"/>
          <w:color w:val="auto"/>
        </w:rPr>
      </w:pPr>
    </w:p>
    <w:p>
      <w:pPr>
        <w:ind w:left="900" w:hanging="447"/>
        <w:spacing w:after="0"/>
        <w:tabs>
          <w:tab w:leader="none" w:pos="9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administration of this Code shall be the responsibility of the Chief Compliance Officer.</w:t>
      </w:r>
    </w:p>
    <w:p>
      <w:pPr>
        <w:ind w:left="900" w:hanging="447"/>
        <w:spacing w:after="0"/>
        <w:tabs>
          <w:tab w:leader="none" w:pos="9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duties of the Chief Compliance Officer are as follows:</w:t>
      </w:r>
    </w:p>
    <w:p>
      <w:pPr>
        <w:spacing w:after="0" w:line="164" w:lineRule="exact"/>
        <w:rPr>
          <w:rFonts w:ascii="Arial" w:cs="Arial" w:eastAsia="Arial" w:hAnsi="Arial"/>
          <w:sz w:val="14"/>
          <w:szCs w:val="14"/>
          <w:color w:val="auto"/>
        </w:rPr>
      </w:pPr>
    </w:p>
    <w:p>
      <w:pPr>
        <w:ind w:right="240" w:firstLine="570"/>
        <w:spacing w:after="0" w:line="290" w:lineRule="auto"/>
        <w:tabs>
          <w:tab w:leader="none" w:pos="765" w:val="left"/>
        </w:tabs>
        <w:numPr>
          <w:ilvl w:val="1"/>
          <w:numId w:val="83"/>
        </w:numPr>
        <w:rPr>
          <w:rFonts w:ascii="Arial" w:cs="Arial" w:eastAsia="Arial" w:hAnsi="Arial"/>
          <w:sz w:val="13"/>
          <w:szCs w:val="13"/>
          <w:color w:val="auto"/>
        </w:rPr>
      </w:pPr>
      <w:r>
        <w:rPr>
          <w:rFonts w:ascii="Arial" w:cs="Arial" w:eastAsia="Arial" w:hAnsi="Arial"/>
          <w:sz w:val="13"/>
          <w:szCs w:val="13"/>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111" w:lineRule="exact"/>
        <w:rPr>
          <w:rFonts w:ascii="Arial" w:cs="Arial" w:eastAsia="Arial" w:hAnsi="Arial"/>
          <w:sz w:val="13"/>
          <w:szCs w:val="13"/>
          <w:color w:val="auto"/>
        </w:rPr>
      </w:pPr>
    </w:p>
    <w:p>
      <w:pPr>
        <w:ind w:right="180" w:firstLine="570"/>
        <w:spacing w:after="0" w:line="253" w:lineRule="auto"/>
        <w:tabs>
          <w:tab w:leader="none" w:pos="765" w:val="left"/>
        </w:tabs>
        <w:numPr>
          <w:ilvl w:val="1"/>
          <w:numId w:val="83"/>
        </w:numPr>
        <w:rPr>
          <w:rFonts w:ascii="Arial" w:cs="Arial" w:eastAsia="Arial" w:hAnsi="Arial"/>
          <w:sz w:val="14"/>
          <w:szCs w:val="14"/>
          <w:color w:val="auto"/>
        </w:rPr>
      </w:pPr>
      <w:r>
        <w:rPr>
          <w:rFonts w:ascii="Arial" w:cs="Arial" w:eastAsia="Arial" w:hAnsi="Arial"/>
          <w:sz w:val="14"/>
          <w:szCs w:val="14"/>
          <w:color w:val="auto"/>
        </w:rPr>
        <w:t>On an annual basis, providing all Covered Personnel a copy of this Code and informing such persons of their duties and obligations hereunder including any supplemental training that may be required from time to time;</w:t>
      </w:r>
    </w:p>
    <w:p>
      <w:pPr>
        <w:spacing w:after="0" w:line="133" w:lineRule="exact"/>
        <w:rPr>
          <w:rFonts w:ascii="Arial" w:cs="Arial" w:eastAsia="Arial" w:hAnsi="Arial"/>
          <w:sz w:val="14"/>
          <w:szCs w:val="14"/>
          <w:color w:val="auto"/>
        </w:rPr>
      </w:pPr>
    </w:p>
    <w:p>
      <w:pPr>
        <w:ind w:left="780" w:hanging="210"/>
        <w:spacing w:after="0"/>
        <w:tabs>
          <w:tab w:leader="none" w:pos="780" w:val="left"/>
        </w:tabs>
        <w:numPr>
          <w:ilvl w:val="1"/>
          <w:numId w:val="83"/>
        </w:numPr>
        <w:rPr>
          <w:rFonts w:ascii="Arial" w:cs="Arial" w:eastAsia="Arial" w:hAnsi="Arial"/>
          <w:sz w:val="14"/>
          <w:szCs w:val="14"/>
          <w:color w:val="auto"/>
        </w:rPr>
      </w:pPr>
      <w:r>
        <w:rPr>
          <w:rFonts w:ascii="Arial" w:cs="Arial" w:eastAsia="Arial" w:hAnsi="Arial"/>
          <w:sz w:val="14"/>
          <w:szCs w:val="14"/>
          <w:color w:val="auto"/>
        </w:rPr>
        <w:t>Maintaining or supervising the maintenance of all records and reports required by this Code;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269" w:right="339" w:bottom="1440" w:gutter="0" w:footer="0" w:header="0"/>
        </w:sectPr>
      </w:pPr>
    </w:p>
    <w:bookmarkStart w:id="91" w:name="page92"/>
    <w:bookmarkEnd w:id="91"/>
    <w:p>
      <w:pPr>
        <w:ind w:right="80" w:firstLine="570"/>
        <w:spacing w:after="0" w:line="253" w:lineRule="auto"/>
        <w:tabs>
          <w:tab w:leader="none" w:pos="765" w:val="left"/>
        </w:tabs>
        <w:numPr>
          <w:ilvl w:val="1"/>
          <w:numId w:val="8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133" w:lineRule="exact"/>
        <w:rPr>
          <w:rFonts w:ascii="Arial" w:cs="Arial" w:eastAsia="Arial" w:hAnsi="Arial"/>
          <w:sz w:val="14"/>
          <w:szCs w:val="14"/>
          <w:color w:val="auto"/>
        </w:rPr>
      </w:pPr>
    </w:p>
    <w:p>
      <w:pPr>
        <w:ind w:left="780" w:hanging="210"/>
        <w:spacing w:after="0"/>
        <w:tabs>
          <w:tab w:leader="none" w:pos="780" w:val="left"/>
        </w:tabs>
        <w:numPr>
          <w:ilvl w:val="1"/>
          <w:numId w:val="84"/>
        </w:numPr>
        <w:rPr>
          <w:rFonts w:ascii="Arial" w:cs="Arial" w:eastAsia="Arial" w:hAnsi="Arial"/>
          <w:sz w:val="12"/>
          <w:szCs w:val="12"/>
          <w:color w:val="auto"/>
        </w:rPr>
      </w:pPr>
      <w:r>
        <w:rPr>
          <w:rFonts w:ascii="Arial" w:cs="Arial" w:eastAsia="Arial" w:hAnsi="Arial"/>
          <w:sz w:val="12"/>
          <w:szCs w:val="12"/>
          <w:color w:val="auto"/>
        </w:rPr>
        <w:t>Issuance either personally or with the assistance of counsel as may be appropriate, of any interpretation of this Code that may appear consistent with the objectives of Rule 17j-1 and</w:t>
      </w:r>
    </w:p>
    <w:p>
      <w:pPr>
        <w:spacing w:after="0" w:line="2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this Code;</w:t>
      </w:r>
    </w:p>
    <w:p>
      <w:pPr>
        <w:spacing w:after="0" w:line="164" w:lineRule="exact"/>
        <w:rPr>
          <w:rFonts w:ascii="Arial" w:cs="Arial" w:eastAsia="Arial" w:hAnsi="Arial"/>
          <w:sz w:val="12"/>
          <w:szCs w:val="12"/>
          <w:color w:val="auto"/>
        </w:rPr>
      </w:pPr>
    </w:p>
    <w:p>
      <w:pPr>
        <w:ind w:right="40" w:firstLine="570"/>
        <w:spacing w:after="0" w:line="253" w:lineRule="auto"/>
        <w:tabs>
          <w:tab w:leader="none" w:pos="765" w:val="left"/>
        </w:tabs>
        <w:numPr>
          <w:ilvl w:val="1"/>
          <w:numId w:val="84"/>
        </w:numPr>
        <w:rPr>
          <w:rFonts w:ascii="Arial" w:cs="Arial" w:eastAsia="Arial" w:hAnsi="Arial"/>
          <w:sz w:val="14"/>
          <w:szCs w:val="14"/>
          <w:color w:val="auto"/>
        </w:rPr>
      </w:pPr>
      <w:r>
        <w:rPr>
          <w:rFonts w:ascii="Arial" w:cs="Arial" w:eastAsia="Arial" w:hAnsi="Arial"/>
          <w:sz w:val="14"/>
          <w:szCs w:val="14"/>
          <w:color w:val="auto"/>
        </w:rPr>
        <w:t>Conduct such inspections or investigations as shall reasonably be required to detect and report, with recommendations, any apparent violations of this Code to the board of directors of the Corporation;</w:t>
      </w:r>
    </w:p>
    <w:p>
      <w:pPr>
        <w:spacing w:after="0" w:line="133" w:lineRule="exact"/>
        <w:rPr>
          <w:rFonts w:ascii="Arial" w:cs="Arial" w:eastAsia="Arial" w:hAnsi="Arial"/>
          <w:sz w:val="14"/>
          <w:szCs w:val="14"/>
          <w:color w:val="auto"/>
        </w:rPr>
      </w:pPr>
    </w:p>
    <w:p>
      <w:pPr>
        <w:ind w:right="180" w:firstLine="570"/>
        <w:spacing w:after="0" w:line="253" w:lineRule="auto"/>
        <w:tabs>
          <w:tab w:leader="none" w:pos="765" w:val="left"/>
        </w:tabs>
        <w:numPr>
          <w:ilvl w:val="1"/>
          <w:numId w:val="84"/>
        </w:numPr>
        <w:rPr>
          <w:rFonts w:ascii="Arial" w:cs="Arial" w:eastAsia="Arial" w:hAnsi="Arial"/>
          <w:sz w:val="14"/>
          <w:szCs w:val="14"/>
          <w:color w:val="auto"/>
        </w:rPr>
      </w:pPr>
      <w:r>
        <w:rPr>
          <w:rFonts w:ascii="Arial" w:cs="Arial" w:eastAsia="Arial" w:hAnsi="Arial"/>
          <w:sz w:val="14"/>
          <w:szCs w:val="14"/>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VII (B); and</w:t>
      </w:r>
    </w:p>
    <w:p>
      <w:pPr>
        <w:spacing w:after="0" w:line="173" w:lineRule="exact"/>
        <w:rPr>
          <w:rFonts w:ascii="Arial" w:cs="Arial" w:eastAsia="Arial" w:hAnsi="Arial"/>
          <w:sz w:val="14"/>
          <w:szCs w:val="14"/>
          <w:color w:val="auto"/>
        </w:rPr>
      </w:pPr>
    </w:p>
    <w:p>
      <w:pPr>
        <w:ind w:left="900" w:right="360" w:hanging="447"/>
        <w:spacing w:after="0" w:line="253" w:lineRule="auto"/>
        <w:tabs>
          <w:tab w:leader="none" w:pos="9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Chief Financial Officer shall maintain and cause to be maintained in an easily accessible place at the principal place of business of the 17j-1 Organization, the following records:</w:t>
      </w:r>
    </w:p>
    <w:p>
      <w:pPr>
        <w:spacing w:after="0" w:line="133" w:lineRule="exact"/>
        <w:rPr>
          <w:rFonts w:ascii="Arial" w:cs="Arial" w:eastAsia="Arial" w:hAnsi="Arial"/>
          <w:sz w:val="14"/>
          <w:szCs w:val="14"/>
          <w:color w:val="auto"/>
        </w:rPr>
      </w:pPr>
    </w:p>
    <w:p>
      <w:pPr>
        <w:ind w:right="180" w:firstLine="570"/>
        <w:spacing w:after="0" w:line="253" w:lineRule="auto"/>
        <w:tabs>
          <w:tab w:leader="none" w:pos="765" w:val="left"/>
        </w:tabs>
        <w:numPr>
          <w:ilvl w:val="1"/>
          <w:numId w:val="85"/>
        </w:numPr>
        <w:rPr>
          <w:rFonts w:ascii="Arial" w:cs="Arial" w:eastAsia="Arial" w:hAnsi="Arial"/>
          <w:sz w:val="14"/>
          <w:szCs w:val="14"/>
          <w:color w:val="auto"/>
        </w:rPr>
      </w:pPr>
      <w:r>
        <w:rPr>
          <w:rFonts w:ascii="Arial" w:cs="Arial" w:eastAsia="Arial" w:hAnsi="Arial"/>
          <w:sz w:val="14"/>
          <w:szCs w:val="14"/>
          <w:color w:val="auto"/>
        </w:rPr>
        <w:t>A copy of all codes of ethics adopted by the Corporation or the Adviser and its affiliates, as the case may be, pursuant to Rule 17j-1 that have been in effect at any time during the past five (5) years;</w:t>
      </w:r>
    </w:p>
    <w:p>
      <w:pPr>
        <w:spacing w:after="0" w:line="146" w:lineRule="exact"/>
        <w:rPr>
          <w:rFonts w:ascii="Arial" w:cs="Arial" w:eastAsia="Arial" w:hAnsi="Arial"/>
          <w:sz w:val="14"/>
          <w:szCs w:val="14"/>
          <w:color w:val="auto"/>
        </w:rPr>
      </w:pPr>
    </w:p>
    <w:p>
      <w:pPr>
        <w:ind w:left="780" w:hanging="210"/>
        <w:spacing w:after="0"/>
        <w:tabs>
          <w:tab w:leader="none" w:pos="780" w:val="left"/>
        </w:tabs>
        <w:numPr>
          <w:ilvl w:val="1"/>
          <w:numId w:val="85"/>
        </w:numPr>
        <w:rPr>
          <w:rFonts w:ascii="Arial" w:cs="Arial" w:eastAsia="Arial" w:hAnsi="Arial"/>
          <w:sz w:val="13"/>
          <w:szCs w:val="13"/>
          <w:color w:val="auto"/>
        </w:rPr>
      </w:pPr>
      <w:r>
        <w:rPr>
          <w:rFonts w:ascii="Arial" w:cs="Arial" w:eastAsia="Arial" w:hAnsi="Arial"/>
          <w:sz w:val="13"/>
          <w:szCs w:val="13"/>
          <w:color w:val="auto"/>
        </w:rPr>
        <w:t>A record of each violation of such codes of ethics and of any action taken as a result of such violation for at least five (5) years after the end of the fiscal year in which the violation</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occurs;</w:t>
      </w:r>
    </w:p>
    <w:p>
      <w:pPr>
        <w:spacing w:after="0" w:line="151" w:lineRule="exact"/>
        <w:rPr>
          <w:rFonts w:ascii="Arial" w:cs="Arial" w:eastAsia="Arial" w:hAnsi="Arial"/>
          <w:sz w:val="13"/>
          <w:szCs w:val="13"/>
          <w:color w:val="auto"/>
        </w:rPr>
      </w:pPr>
    </w:p>
    <w:p>
      <w:pPr>
        <w:ind w:right="80" w:firstLine="570"/>
        <w:spacing w:after="0" w:line="253" w:lineRule="auto"/>
        <w:tabs>
          <w:tab w:leader="none" w:pos="765" w:val="left"/>
        </w:tabs>
        <w:numPr>
          <w:ilvl w:val="1"/>
          <w:numId w:val="85"/>
        </w:numPr>
        <w:rPr>
          <w:rFonts w:ascii="Arial" w:cs="Arial" w:eastAsia="Arial" w:hAnsi="Arial"/>
          <w:sz w:val="14"/>
          <w:szCs w:val="14"/>
          <w:color w:val="auto"/>
        </w:rPr>
      </w:pPr>
      <w:r>
        <w:rPr>
          <w:rFonts w:ascii="Arial" w:cs="Arial" w:eastAsia="Arial" w:hAnsi="Arial"/>
          <w:sz w:val="14"/>
          <w:szCs w:val="14"/>
          <w:color w:val="auto"/>
        </w:rPr>
        <w:t>A copy of each report made by an Access Person for at least two (2) years after the end of the fiscal year in which the report is made, and for an additional three (3) years in a place that need not be easily accessible;</w:t>
      </w:r>
    </w:p>
    <w:p>
      <w:pPr>
        <w:spacing w:after="0" w:line="173" w:lineRule="exact"/>
        <w:rPr>
          <w:rFonts w:ascii="Arial" w:cs="Arial" w:eastAsia="Arial" w:hAnsi="Arial"/>
          <w:sz w:val="14"/>
          <w:szCs w:val="14"/>
          <w:color w:val="auto"/>
        </w:rPr>
      </w:pPr>
    </w:p>
    <w:p>
      <w:pPr>
        <w:ind w:right="260" w:firstLine="570"/>
        <w:spacing w:after="0" w:line="253" w:lineRule="auto"/>
        <w:tabs>
          <w:tab w:leader="none" w:pos="765" w:val="left"/>
        </w:tabs>
        <w:numPr>
          <w:ilvl w:val="1"/>
          <w:numId w:val="85"/>
        </w:numPr>
        <w:rPr>
          <w:rFonts w:ascii="Arial" w:cs="Arial" w:eastAsia="Arial" w:hAnsi="Arial"/>
          <w:sz w:val="14"/>
          <w:szCs w:val="14"/>
          <w:color w:val="auto"/>
        </w:rPr>
      </w:pPr>
      <w:r>
        <w:rPr>
          <w:rFonts w:ascii="Arial" w:cs="Arial" w:eastAsia="Arial" w:hAnsi="Arial"/>
          <w:sz w:val="14"/>
          <w:szCs w:val="14"/>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133" w:lineRule="exact"/>
        <w:rPr>
          <w:rFonts w:ascii="Arial" w:cs="Arial" w:eastAsia="Arial" w:hAnsi="Arial"/>
          <w:sz w:val="14"/>
          <w:szCs w:val="14"/>
          <w:color w:val="auto"/>
        </w:rPr>
      </w:pPr>
    </w:p>
    <w:p>
      <w:pPr>
        <w:ind w:right="200" w:firstLine="570"/>
        <w:spacing w:after="0" w:line="253" w:lineRule="auto"/>
        <w:tabs>
          <w:tab w:leader="none" w:pos="765" w:val="left"/>
        </w:tabs>
        <w:numPr>
          <w:ilvl w:val="1"/>
          <w:numId w:val="85"/>
        </w:numPr>
        <w:rPr>
          <w:rFonts w:ascii="Arial" w:cs="Arial" w:eastAsia="Arial" w:hAnsi="Arial"/>
          <w:sz w:val="14"/>
          <w:szCs w:val="14"/>
          <w:color w:val="auto"/>
        </w:rPr>
      </w:pPr>
      <w:r>
        <w:rPr>
          <w:rFonts w:ascii="Arial" w:cs="Arial" w:eastAsia="Arial" w:hAnsi="Arial"/>
          <w:sz w:val="14"/>
          <w:szCs w:val="14"/>
          <w:color w:val="auto"/>
        </w:rPr>
        <w:t>A list of all persons who are, or within the past five (5) years have been, required to make reports pursuant to the Rule and this Code of Ethics, or who are or were responsible for reviewing such reports;</w:t>
      </w:r>
    </w:p>
    <w:p>
      <w:pPr>
        <w:spacing w:after="0" w:line="146" w:lineRule="exact"/>
        <w:rPr>
          <w:rFonts w:ascii="Arial" w:cs="Arial" w:eastAsia="Arial" w:hAnsi="Arial"/>
          <w:sz w:val="14"/>
          <w:szCs w:val="14"/>
          <w:color w:val="auto"/>
        </w:rPr>
      </w:pPr>
    </w:p>
    <w:p>
      <w:pPr>
        <w:ind w:right="260" w:firstLine="570"/>
        <w:spacing w:after="0" w:line="253" w:lineRule="auto"/>
        <w:tabs>
          <w:tab w:leader="none" w:pos="765" w:val="left"/>
        </w:tabs>
        <w:numPr>
          <w:ilvl w:val="1"/>
          <w:numId w:val="85"/>
        </w:numPr>
        <w:rPr>
          <w:rFonts w:ascii="Arial" w:cs="Arial" w:eastAsia="Arial" w:hAnsi="Arial"/>
          <w:sz w:val="14"/>
          <w:szCs w:val="14"/>
          <w:color w:val="auto"/>
        </w:rPr>
      </w:pPr>
      <w:r>
        <w:rPr>
          <w:rFonts w:ascii="Arial" w:cs="Arial" w:eastAsia="Arial" w:hAnsi="Arial"/>
          <w:sz w:val="14"/>
          <w:szCs w:val="14"/>
          <w:color w:val="auto"/>
        </w:rPr>
        <w:t>A copy of each report required by Section VII (B) for at least two (2) years after the end of the fiscal year in which it is made, and for an additional three (3) years in a place that need not be easily accessible; and</w:t>
      </w:r>
    </w:p>
    <w:p>
      <w:pPr>
        <w:spacing w:after="0" w:line="133" w:lineRule="exact"/>
        <w:rPr>
          <w:rFonts w:ascii="Arial" w:cs="Arial" w:eastAsia="Arial" w:hAnsi="Arial"/>
          <w:sz w:val="14"/>
          <w:szCs w:val="14"/>
          <w:color w:val="auto"/>
        </w:rPr>
      </w:pPr>
    </w:p>
    <w:p>
      <w:pPr>
        <w:ind w:firstLine="570"/>
        <w:spacing w:after="0" w:line="253" w:lineRule="auto"/>
        <w:tabs>
          <w:tab w:leader="none" w:pos="765" w:val="left"/>
        </w:tabs>
        <w:numPr>
          <w:ilvl w:val="1"/>
          <w:numId w:val="85"/>
        </w:numPr>
        <w:rPr>
          <w:rFonts w:ascii="Arial" w:cs="Arial" w:eastAsia="Arial" w:hAnsi="Arial"/>
          <w:sz w:val="14"/>
          <w:szCs w:val="14"/>
          <w:color w:val="auto"/>
        </w:rPr>
      </w:pPr>
      <w:r>
        <w:rPr>
          <w:rFonts w:ascii="Arial" w:cs="Arial" w:eastAsia="Arial" w:hAnsi="Arial"/>
          <w:sz w:val="14"/>
          <w:szCs w:val="14"/>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173" w:lineRule="exact"/>
        <w:rPr>
          <w:rFonts w:ascii="Arial" w:cs="Arial" w:eastAsia="Arial" w:hAnsi="Arial"/>
          <w:sz w:val="14"/>
          <w:szCs w:val="14"/>
          <w:color w:val="auto"/>
        </w:rPr>
      </w:pPr>
    </w:p>
    <w:p>
      <w:pPr>
        <w:ind w:left="900" w:hanging="447"/>
        <w:spacing w:after="0"/>
        <w:tabs>
          <w:tab w:leader="none" w:pos="9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This Code may not be amended or modified except in a written form that is specifically approved by majority vote of the Independent Directors.</w:t>
      </w:r>
    </w:p>
    <w:p>
      <w:pPr>
        <w:spacing w:after="0" w:line="163" w:lineRule="exact"/>
        <w:rPr>
          <w:sz w:val="20"/>
          <w:szCs w:val="20"/>
          <w:color w:val="auto"/>
        </w:rPr>
      </w:pPr>
    </w:p>
    <w:p>
      <w:pPr>
        <w:ind w:right="600" w:firstLine="562"/>
        <w:spacing w:after="0" w:line="253" w:lineRule="auto"/>
        <w:rPr>
          <w:sz w:val="20"/>
          <w:szCs w:val="20"/>
          <w:color w:val="auto"/>
        </w:rPr>
      </w:pPr>
      <w:r>
        <w:rPr>
          <w:rFonts w:ascii="Arial" w:cs="Arial" w:eastAsia="Arial" w:hAnsi="Arial"/>
          <w:sz w:val="14"/>
          <w:szCs w:val="14"/>
          <w:color w:val="auto"/>
        </w:rPr>
        <w:t>This Joint Code of Ethics, originally adopted December 12, 2007, is annually reviewed and approved by the Board of Directors of the Corporation, including a majority of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18516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00"/>
          </w:cols>
          <w:pgMar w:left="320" w:top="269" w:right="37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EXHIBIT 21.1</w:t>
            </w:r>
          </w:p>
        </w:tc>
        <w:tc>
          <w:tcPr>
            <w:tcW w:w="0" w:type="dxa"/>
            <w:vAlign w:val="bottom"/>
          </w:tcPr>
          <w:p>
            <w:pPr>
              <w:spacing w:after="0"/>
              <w:rPr>
                <w:sz w:val="1"/>
                <w:szCs w:val="1"/>
                <w:color w:val="auto"/>
              </w:rPr>
            </w:pPr>
          </w:p>
        </w:tc>
      </w:tr>
      <w:tr>
        <w:trPr>
          <w:trHeight w:val="364"/>
        </w:trPr>
        <w:tc>
          <w:tcPr>
            <w:tcW w:w="4260" w:type="dxa"/>
            <w:vAlign w:val="bottom"/>
          </w:tcPr>
          <w:p>
            <w:pPr>
              <w:spacing w:after="0"/>
              <w:rPr>
                <w:sz w:val="24"/>
                <w:szCs w:val="24"/>
                <w:color w:val="auto"/>
              </w:rPr>
            </w:pPr>
          </w:p>
        </w:tc>
        <w:tc>
          <w:tcPr>
            <w:tcW w:w="6980" w:type="dxa"/>
            <w:vAlign w:val="bottom"/>
            <w:gridSpan w:val="4"/>
          </w:tcPr>
          <w:p>
            <w:pPr>
              <w:jc w:val="right"/>
              <w:ind w:right="4700"/>
              <w:spacing w:after="0"/>
              <w:rPr>
                <w:sz w:val="20"/>
                <w:szCs w:val="20"/>
                <w:color w:val="auto"/>
              </w:rPr>
            </w:pPr>
            <w:r>
              <w:rPr>
                <w:rFonts w:ascii="Arial" w:cs="Arial" w:eastAsia="Arial" w:hAnsi="Arial"/>
                <w:sz w:val="14"/>
                <w:szCs w:val="14"/>
                <w:b w:val="1"/>
                <w:bCs w:val="1"/>
                <w:color w:val="auto"/>
              </w:rPr>
              <w:t>Subsidiaries of the Registrant</w:t>
            </w:r>
          </w:p>
        </w:tc>
        <w:tc>
          <w:tcPr>
            <w:tcW w:w="0" w:type="dxa"/>
            <w:vAlign w:val="bottom"/>
          </w:tcPr>
          <w:p>
            <w:pPr>
              <w:spacing w:after="0"/>
              <w:rPr>
                <w:sz w:val="1"/>
                <w:szCs w:val="1"/>
                <w:color w:val="auto"/>
              </w:rPr>
            </w:pPr>
          </w:p>
        </w:tc>
      </w:tr>
      <w:tr>
        <w:trPr>
          <w:trHeight w:val="354"/>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4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Voting Securities</w:t>
            </w:r>
          </w:p>
        </w:tc>
        <w:tc>
          <w:tcPr>
            <w:tcW w:w="0" w:type="dxa"/>
            <w:vAlign w:val="bottom"/>
          </w:tcPr>
          <w:p>
            <w:pPr>
              <w:spacing w:after="0"/>
              <w:rPr>
                <w:sz w:val="1"/>
                <w:szCs w:val="1"/>
                <w:color w:val="auto"/>
              </w:rPr>
            </w:pPr>
          </w:p>
        </w:tc>
      </w:tr>
      <w:tr>
        <w:trPr>
          <w:trHeight w:val="171"/>
        </w:trPr>
        <w:tc>
          <w:tcPr>
            <w:tcW w:w="4260" w:type="dxa"/>
            <w:vAlign w:val="bottom"/>
            <w:tcBorders>
              <w:bottom w:val="single" w:sz="8" w:color="auto"/>
            </w:tcBorders>
            <w:vMerge w:val="continue"/>
          </w:tcPr>
          <w:p>
            <w:pPr>
              <w:spacing w:after="0"/>
              <w:rPr>
                <w:sz w:val="14"/>
                <w:szCs w:val="14"/>
                <w:color w:val="auto"/>
              </w:rPr>
            </w:pPr>
          </w:p>
        </w:tc>
        <w:tc>
          <w:tcPr>
            <w:tcW w:w="4060" w:type="dxa"/>
            <w:vAlign w:val="bottom"/>
            <w:tcBorders>
              <w:bottom w:val="single" w:sz="8" w:color="auto"/>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Owned Percentage</w:t>
            </w:r>
          </w:p>
        </w:tc>
        <w:tc>
          <w:tcPr>
            <w:tcW w:w="3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PennantPark SBIC GP, LLC (Delaware)</w:t>
            </w:r>
          </w:p>
        </w:tc>
        <w:tc>
          <w:tcPr>
            <w:tcW w:w="40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PennantPark SBIC GP II, LLC (Delaware)</w:t>
            </w:r>
          </w:p>
        </w:tc>
        <w:tc>
          <w:tcPr>
            <w:tcW w:w="698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PennantPark SBIC LP (Delaware)</w:t>
            </w:r>
          </w:p>
        </w:tc>
        <w:tc>
          <w:tcPr>
            <w:tcW w:w="69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PennantPark SBIC II LP (Delaware)</w:t>
            </w:r>
          </w:p>
        </w:tc>
        <w:tc>
          <w:tcPr>
            <w:tcW w:w="698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100%</w:t>
            </w: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PNNT Alabama Holdings Inc. (Delaware)</w:t>
            </w:r>
          </w:p>
        </w:tc>
        <w:tc>
          <w:tcPr>
            <w:tcW w:w="69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PNNT Cascade Environmental Holdings, LLC</w:t>
            </w:r>
          </w:p>
        </w:tc>
        <w:tc>
          <w:tcPr>
            <w:tcW w:w="698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PNNT CI (FBM) Investment Holdings LLC (Delaware)</w:t>
            </w:r>
          </w:p>
        </w:tc>
        <w:tc>
          <w:tcPr>
            <w:tcW w:w="69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PNNT CI (GALLS) Prime Investment Holdings, LLC (Delaware)</w:t>
            </w:r>
          </w:p>
        </w:tc>
        <w:tc>
          <w:tcPr>
            <w:tcW w:w="698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PNNT ecoserve, LLC (Delaware)</w:t>
            </w:r>
          </w:p>
        </w:tc>
        <w:tc>
          <w:tcPr>
            <w:tcW w:w="698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PNNT Investment Holdings, LLC (Delaware)</w:t>
            </w:r>
          </w:p>
        </w:tc>
        <w:tc>
          <w:tcPr>
            <w:tcW w:w="698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PNNT New Gulf Resources, LLC (Delaware)</w:t>
            </w:r>
          </w:p>
        </w:tc>
        <w:tc>
          <w:tcPr>
            <w:tcW w:w="698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PNNT Power Products Holdings, LLC (Delaware)</w:t>
            </w:r>
          </w:p>
        </w:tc>
        <w:tc>
          <w:tcPr>
            <w:tcW w:w="698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RAM Energy Holdings LLC (Delaware)</w:t>
            </w:r>
          </w:p>
        </w:tc>
        <w:tc>
          <w:tcPr>
            <w:tcW w:w="69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20"/>
                <w:szCs w:val="20"/>
                <w:color w:val="auto"/>
              </w:rPr>
            </w:pPr>
            <w:r>
              <w:rPr>
                <w:rFonts w:ascii="Arial" w:cs="Arial" w:eastAsia="Arial" w:hAnsi="Arial"/>
                <w:sz w:val="14"/>
                <w:szCs w:val="14"/>
                <w:color w:val="auto"/>
              </w:rPr>
              <w:t>Superior Digital Displays, LLC (Delaware)</w:t>
            </w:r>
          </w:p>
        </w:tc>
        <w:tc>
          <w:tcPr>
            <w:tcW w:w="6980" w:type="dxa"/>
            <w:vAlign w:val="bottom"/>
            <w:gridSpan w:val="4"/>
          </w:tcPr>
          <w:p>
            <w:pPr>
              <w:jc w:val="right"/>
              <w:ind w:right="40"/>
              <w:spacing w:after="0"/>
              <w:rPr>
                <w:sz w:val="20"/>
                <w:szCs w:val="20"/>
                <w:color w:val="auto"/>
              </w:rPr>
            </w:pPr>
            <w:r>
              <w:rPr>
                <w:rFonts w:ascii="Arial" w:cs="Arial" w:eastAsia="Arial" w:hAnsi="Arial"/>
                <w:sz w:val="14"/>
                <w:szCs w:val="14"/>
                <w:color w:val="auto"/>
              </w:rPr>
              <w:t>93%</w:t>
            </w:r>
            <w:r>
              <w:rPr>
                <w:rFonts w:ascii="Arial" w:cs="Arial" w:eastAsia="Arial" w:hAnsi="Arial"/>
                <w:sz w:val="12"/>
                <w:szCs w:val="12"/>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18516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16" w:lineRule="exact"/>
        <w:rPr>
          <w:sz w:val="20"/>
          <w:szCs w:val="20"/>
          <w:color w:val="auto"/>
        </w:rPr>
      </w:pPr>
    </w:p>
    <w:p>
      <w:pPr>
        <w:ind w:left="560" w:hanging="552"/>
        <w:spacing w:after="0"/>
        <w:tabs>
          <w:tab w:leader="none" w:pos="560" w:val="left"/>
        </w:tabs>
        <w:numPr>
          <w:ilvl w:val="0"/>
          <w:numId w:val="86"/>
        </w:numPr>
        <w:rPr>
          <w:rFonts w:ascii="Arial" w:cs="Arial" w:eastAsia="Arial" w:hAnsi="Arial"/>
          <w:sz w:val="12"/>
          <w:szCs w:val="12"/>
          <w:color w:val="auto"/>
        </w:rPr>
      </w:pPr>
      <w:r>
        <w:rPr>
          <w:rFonts w:ascii="Arial" w:cs="Arial" w:eastAsia="Arial" w:hAnsi="Arial"/>
          <w:sz w:val="14"/>
          <w:szCs w:val="14"/>
          <w:color w:val="auto"/>
        </w:rPr>
        <w:t>The entity is directly owned 99% by us and 1% by PennantPark SBIC GP, LLC which is effectively wholly-owned by us.</w:t>
      </w:r>
    </w:p>
    <w:p>
      <w:pPr>
        <w:ind w:left="560" w:hanging="552"/>
        <w:spacing w:after="0" w:line="221" w:lineRule="auto"/>
        <w:tabs>
          <w:tab w:leader="none" w:pos="560" w:val="left"/>
        </w:tabs>
        <w:numPr>
          <w:ilvl w:val="0"/>
          <w:numId w:val="86"/>
        </w:numPr>
        <w:rPr>
          <w:rFonts w:ascii="Arial" w:cs="Arial" w:eastAsia="Arial" w:hAnsi="Arial"/>
          <w:sz w:val="12"/>
          <w:szCs w:val="12"/>
          <w:color w:val="auto"/>
        </w:rPr>
      </w:pPr>
      <w:r>
        <w:rPr>
          <w:rFonts w:ascii="Arial" w:cs="Arial" w:eastAsia="Arial" w:hAnsi="Arial"/>
          <w:sz w:val="14"/>
          <w:szCs w:val="14"/>
          <w:color w:val="auto"/>
        </w:rPr>
        <w:t>The entity is directly owned 99% by us and 1% by PennantPark SBIC GP II, LLC, which is effectively wholly-owned by us.</w:t>
      </w:r>
    </w:p>
    <w:p>
      <w:pPr>
        <w:ind w:left="560" w:hanging="552"/>
        <w:spacing w:after="0" w:line="221" w:lineRule="auto"/>
        <w:tabs>
          <w:tab w:leader="none" w:pos="560" w:val="left"/>
        </w:tabs>
        <w:numPr>
          <w:ilvl w:val="0"/>
          <w:numId w:val="86"/>
        </w:numPr>
        <w:rPr>
          <w:rFonts w:ascii="Arial" w:cs="Arial" w:eastAsia="Arial" w:hAnsi="Arial"/>
          <w:sz w:val="12"/>
          <w:szCs w:val="12"/>
          <w:color w:val="auto"/>
        </w:rPr>
      </w:pPr>
      <w:r>
        <w:rPr>
          <w:rFonts w:ascii="Arial" w:cs="Arial" w:eastAsia="Arial" w:hAnsi="Arial"/>
          <w:sz w:val="14"/>
          <w:szCs w:val="14"/>
          <w:color w:val="auto"/>
        </w:rPr>
        <w:t>This entity is not operational.</w:t>
      </w:r>
    </w:p>
    <w:p>
      <w:pPr>
        <w:ind w:left="560" w:hanging="552"/>
        <w:spacing w:after="0"/>
        <w:tabs>
          <w:tab w:leader="none" w:pos="560" w:val="left"/>
        </w:tabs>
        <w:numPr>
          <w:ilvl w:val="0"/>
          <w:numId w:val="86"/>
        </w:numPr>
        <w:rPr>
          <w:rFonts w:ascii="Arial" w:cs="Arial" w:eastAsia="Arial" w:hAnsi="Arial"/>
          <w:sz w:val="12"/>
          <w:szCs w:val="12"/>
          <w:color w:val="auto"/>
        </w:rPr>
      </w:pPr>
      <w:r>
        <w:rPr>
          <w:rFonts w:ascii="Arial" w:cs="Arial" w:eastAsia="Arial" w:hAnsi="Arial"/>
          <w:sz w:val="14"/>
          <w:szCs w:val="14"/>
          <w:color w:val="auto"/>
        </w:rPr>
        <w:t>This is a controlled affiliated investment.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18"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4"/>
          <w:szCs w:val="14"/>
          <w:b w:val="1"/>
          <w:bCs w:val="1"/>
          <w:color w:val="auto"/>
        </w:rPr>
        <w:t>EXHIBIT 31.1</w:t>
      </w:r>
    </w:p>
    <w:p>
      <w:pPr>
        <w:spacing w:after="0" w:line="311"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and Chairman of the Board of Directors of PennantPark Investment Corporation, certify that:</w:t>
      </w:r>
    </w:p>
    <w:p>
      <w:pPr>
        <w:spacing w:after="0" w:line="163" w:lineRule="exact"/>
        <w:rPr>
          <w:sz w:val="20"/>
          <w:szCs w:val="20"/>
          <w:color w:val="auto"/>
        </w:rPr>
      </w:pPr>
    </w:p>
    <w:p>
      <w:pPr>
        <w:ind w:left="720" w:hanging="150"/>
        <w:spacing w:after="0"/>
        <w:tabs>
          <w:tab w:leader="none" w:pos="7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Investment Corporation;</w:t>
      </w:r>
    </w:p>
    <w:p>
      <w:pPr>
        <w:spacing w:after="0" w:line="176" w:lineRule="exact"/>
        <w:rPr>
          <w:rFonts w:ascii="Arial" w:cs="Arial" w:eastAsia="Arial" w:hAnsi="Arial"/>
          <w:sz w:val="14"/>
          <w:szCs w:val="14"/>
          <w:color w:val="auto"/>
        </w:rPr>
      </w:pPr>
    </w:p>
    <w:p>
      <w:pPr>
        <w:ind w:right="320" w:firstLine="570"/>
        <w:spacing w:after="0" w:line="253" w:lineRule="auto"/>
        <w:tabs>
          <w:tab w:leader="none" w:pos="705" w:val="left"/>
        </w:tabs>
        <w:numPr>
          <w:ilvl w:val="0"/>
          <w:numId w:val="8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400" w:firstLine="570"/>
        <w:spacing w:after="0" w:line="253" w:lineRule="auto"/>
        <w:tabs>
          <w:tab w:leader="none" w:pos="705" w:val="left"/>
        </w:tabs>
        <w:numPr>
          <w:ilvl w:val="0"/>
          <w:numId w:val="8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ind w:right="260" w:firstLine="794"/>
        <w:spacing w:after="0" w:line="335" w:lineRule="auto"/>
        <w:tabs>
          <w:tab w:leader="none" w:pos="934" w:val="left"/>
        </w:tabs>
        <w:numPr>
          <w:ilvl w:val="1"/>
          <w:numId w:val="8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8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Arial" w:cs="Arial" w:eastAsia="Arial" w:hAnsi="Arial"/>
          <w:sz w:val="13"/>
          <w:szCs w:val="13"/>
          <w:color w:val="auto"/>
        </w:rPr>
      </w:pPr>
    </w:p>
    <w:p>
      <w:pPr>
        <w:ind w:right="20" w:firstLine="794"/>
        <w:spacing w:after="0" w:line="253" w:lineRule="auto"/>
        <w:tabs>
          <w:tab w:leader="none" w:pos="934" w:val="left"/>
        </w:tabs>
        <w:numPr>
          <w:ilvl w:val="1"/>
          <w:numId w:val="8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20" w:firstLine="794"/>
        <w:spacing w:after="0" w:line="290" w:lineRule="auto"/>
        <w:tabs>
          <w:tab w:leader="none" w:pos="942" w:val="left"/>
        </w:tabs>
        <w:numPr>
          <w:ilvl w:val="1"/>
          <w:numId w:val="8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8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8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 November 21, 2016</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Arthur H. Penn</w:t>
      </w:r>
    </w:p>
    <w:p>
      <w:pPr>
        <w:spacing w:after="0"/>
        <w:rPr>
          <w:sz w:val="20"/>
          <w:szCs w:val="20"/>
          <w:color w:val="auto"/>
        </w:rPr>
      </w:pPr>
      <w:r>
        <w:rPr>
          <w:rFonts w:ascii="Arial" w:cs="Arial" w:eastAsia="Arial" w:hAnsi="Arial"/>
          <w:sz w:val="14"/>
          <w:szCs w:val="14"/>
          <w:color w:val="auto"/>
        </w:rPr>
        <w:t>Title: Chief Executive Officer</w:t>
      </w:r>
    </w:p>
    <w:p>
      <w:pPr>
        <w:sectPr>
          <w:pgSz w:w="11900" w:h="16838" w:orient="portrait"/>
          <w:cols w:equalWidth="0" w:num="1">
            <w:col w:w="11240"/>
          </w:cols>
          <w:pgMar w:left="320" w:top="118"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4"/>
          <w:szCs w:val="14"/>
          <w:b w:val="1"/>
          <w:bCs w:val="1"/>
          <w:color w:val="auto"/>
        </w:rPr>
        <w:t>EXHIBIT 31.2</w:t>
      </w:r>
    </w:p>
    <w:p>
      <w:pPr>
        <w:spacing w:after="0" w:line="311"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163" w:lineRule="exact"/>
        <w:rPr>
          <w:sz w:val="20"/>
          <w:szCs w:val="20"/>
          <w:color w:val="auto"/>
        </w:rPr>
      </w:pPr>
    </w:p>
    <w:p>
      <w:pPr>
        <w:ind w:left="720" w:hanging="150"/>
        <w:spacing w:after="0"/>
        <w:tabs>
          <w:tab w:leader="none" w:pos="7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Investment Corporation;</w:t>
      </w:r>
    </w:p>
    <w:p>
      <w:pPr>
        <w:spacing w:after="0" w:line="176" w:lineRule="exact"/>
        <w:rPr>
          <w:rFonts w:ascii="Arial" w:cs="Arial" w:eastAsia="Arial" w:hAnsi="Arial"/>
          <w:sz w:val="14"/>
          <w:szCs w:val="14"/>
          <w:color w:val="auto"/>
        </w:rPr>
      </w:pPr>
    </w:p>
    <w:p>
      <w:pPr>
        <w:ind w:right="320" w:firstLine="570"/>
        <w:spacing w:after="0" w:line="253" w:lineRule="auto"/>
        <w:tabs>
          <w:tab w:leader="none" w:pos="705" w:val="left"/>
        </w:tabs>
        <w:numPr>
          <w:ilvl w:val="0"/>
          <w:numId w:val="8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400" w:firstLine="570"/>
        <w:spacing w:after="0" w:line="253" w:lineRule="auto"/>
        <w:tabs>
          <w:tab w:leader="none" w:pos="705" w:val="left"/>
        </w:tabs>
        <w:numPr>
          <w:ilvl w:val="0"/>
          <w:numId w:val="8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ind w:right="260" w:firstLine="794"/>
        <w:spacing w:after="0" w:line="335" w:lineRule="auto"/>
        <w:tabs>
          <w:tab w:leader="none" w:pos="934" w:val="left"/>
        </w:tabs>
        <w:numPr>
          <w:ilvl w:val="1"/>
          <w:numId w:val="8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8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Arial" w:cs="Arial" w:eastAsia="Arial" w:hAnsi="Arial"/>
          <w:sz w:val="13"/>
          <w:szCs w:val="13"/>
          <w:color w:val="auto"/>
        </w:rPr>
      </w:pPr>
    </w:p>
    <w:p>
      <w:pPr>
        <w:ind w:right="20" w:firstLine="794"/>
        <w:spacing w:after="0" w:line="253" w:lineRule="auto"/>
        <w:tabs>
          <w:tab w:leader="none" w:pos="934" w:val="left"/>
        </w:tabs>
        <w:numPr>
          <w:ilvl w:val="1"/>
          <w:numId w:val="8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20" w:firstLine="794"/>
        <w:spacing w:after="0" w:line="290" w:lineRule="auto"/>
        <w:tabs>
          <w:tab w:leader="none" w:pos="942" w:val="left"/>
        </w:tabs>
        <w:numPr>
          <w:ilvl w:val="1"/>
          <w:numId w:val="8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8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8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 November 21, 2016</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Aviv Efrat</w:t>
      </w:r>
    </w:p>
    <w:p>
      <w:pPr>
        <w:spacing w:after="0"/>
        <w:rPr>
          <w:sz w:val="20"/>
          <w:szCs w:val="20"/>
          <w:color w:val="auto"/>
        </w:rPr>
      </w:pPr>
      <w:r>
        <w:rPr>
          <w:rFonts w:ascii="Arial" w:cs="Arial" w:eastAsia="Arial" w:hAnsi="Arial"/>
          <w:sz w:val="14"/>
          <w:szCs w:val="14"/>
          <w:color w:val="auto"/>
        </w:rPr>
        <w:t>Title: Chief Financial Officer</w:t>
      </w:r>
    </w:p>
    <w:p>
      <w:pPr>
        <w:sectPr>
          <w:pgSz w:w="11900" w:h="16838" w:orient="portrait"/>
          <w:cols w:equalWidth="0" w:num="1">
            <w:col w:w="11240"/>
          </w:cols>
          <w:pgMar w:left="320" w:top="118"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4"/>
          <w:szCs w:val="14"/>
          <w:b w:val="1"/>
          <w:bCs w:val="1"/>
          <w:color w:val="auto"/>
        </w:rPr>
        <w:t>EXHIBIT 32.1</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Section 1350)</w:t>
      </w:r>
    </w:p>
    <w:p>
      <w:pPr>
        <w:spacing w:after="0" w:line="19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connection with the Annual Report on Form 10-K of PennantPark Investment Corporation for the annual period ended September 30, 2016 as filed with the Securities and</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Exchange Commission on the date hereof (the “Report”), I, Arthur H. Penn, as Chief Executive Officer of the Registrant hereby certify, to the best of my knowledge that:</w:t>
      </w:r>
    </w:p>
    <w:p>
      <w:pPr>
        <w:spacing w:after="0" w:line="84" w:lineRule="exact"/>
        <w:rPr>
          <w:sz w:val="20"/>
          <w:szCs w:val="20"/>
          <w:color w:val="auto"/>
        </w:rPr>
      </w:pPr>
    </w:p>
    <w:p>
      <w:pPr>
        <w:ind w:left="880" w:hanging="204"/>
        <w:spacing w:after="0"/>
        <w:tabs>
          <w:tab w:leader="none" w:pos="8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Arthur H. Penn</w:t>
      </w:r>
    </w:p>
    <w:p>
      <w:pPr>
        <w:spacing w:after="0" w:line="221" w:lineRule="auto"/>
        <w:rPr>
          <w:sz w:val="20"/>
          <w:szCs w:val="20"/>
          <w:color w:val="auto"/>
        </w:rPr>
      </w:pPr>
      <w:r>
        <w:rPr>
          <w:rFonts w:ascii="Arial" w:cs="Arial" w:eastAsia="Arial" w:hAnsi="Arial"/>
          <w:sz w:val="14"/>
          <w:szCs w:val="14"/>
          <w:color w:val="auto"/>
        </w:rPr>
        <w:t>Title: Chief Executive Officer</w:t>
      </w:r>
    </w:p>
    <w:p>
      <w:pPr>
        <w:spacing w:after="0"/>
        <w:rPr>
          <w:sz w:val="20"/>
          <w:szCs w:val="20"/>
          <w:color w:val="auto"/>
        </w:rPr>
      </w:pPr>
      <w:r>
        <w:rPr>
          <w:rFonts w:ascii="Arial" w:cs="Arial" w:eastAsia="Arial" w:hAnsi="Arial"/>
          <w:sz w:val="14"/>
          <w:szCs w:val="14"/>
          <w:color w:val="auto"/>
        </w:rPr>
        <w:t>Date: November 21, 2016</w:t>
      </w:r>
    </w:p>
    <w:p>
      <w:pPr>
        <w:sectPr>
          <w:pgSz w:w="11900" w:h="16838" w:orient="portrait"/>
          <w:cols w:equalWidth="0" w:num="1">
            <w:col w:w="11240"/>
          </w:cols>
          <w:pgMar w:left="320" w:top="118"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4"/>
          <w:szCs w:val="14"/>
          <w:b w:val="1"/>
          <w:bCs w:val="1"/>
          <w:color w:val="auto"/>
        </w:rPr>
        <w:t>EXHIBIT 32.2</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Section 1350)</w:t>
      </w:r>
    </w:p>
    <w:p>
      <w:pPr>
        <w:spacing w:after="0" w:line="19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connection with the Annual Report on Form 10-K of PennantPark Investment Corporation for the annual period ended September 30, 2016 as filed with the Securities and</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Exchange Commission on the date hereof (the “Report”), I, Aviv Efrat, as Chief Financial Officer of the Registrant hereby certify, to the best of my knowledge that:</w:t>
      </w:r>
    </w:p>
    <w:p>
      <w:pPr>
        <w:spacing w:after="0" w:line="84" w:lineRule="exact"/>
        <w:rPr>
          <w:sz w:val="20"/>
          <w:szCs w:val="20"/>
          <w:color w:val="auto"/>
        </w:rPr>
      </w:pPr>
    </w:p>
    <w:p>
      <w:pPr>
        <w:ind w:left="880" w:hanging="204"/>
        <w:spacing w:after="0"/>
        <w:tabs>
          <w:tab w:leader="none" w:pos="8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Aviv Efrat</w:t>
      </w:r>
    </w:p>
    <w:p>
      <w:pPr>
        <w:spacing w:after="0" w:line="221" w:lineRule="auto"/>
        <w:rPr>
          <w:sz w:val="20"/>
          <w:szCs w:val="20"/>
          <w:color w:val="auto"/>
        </w:rPr>
      </w:pPr>
      <w:r>
        <w:rPr>
          <w:rFonts w:ascii="Arial" w:cs="Arial" w:eastAsia="Arial" w:hAnsi="Arial"/>
          <w:sz w:val="14"/>
          <w:szCs w:val="14"/>
          <w:color w:val="auto"/>
        </w:rPr>
        <w:t>Title: Chief Financial Officer</w:t>
      </w:r>
    </w:p>
    <w:p>
      <w:pPr>
        <w:spacing w:after="0"/>
        <w:rPr>
          <w:sz w:val="20"/>
          <w:szCs w:val="20"/>
          <w:color w:val="auto"/>
        </w:rPr>
      </w:pPr>
      <w:r>
        <w:rPr>
          <w:rFonts w:ascii="Arial" w:cs="Arial" w:eastAsia="Arial" w:hAnsi="Arial"/>
          <w:sz w:val="14"/>
          <w:szCs w:val="14"/>
          <w:color w:val="auto"/>
        </w:rPr>
        <w:t>Date: November 21, 2016</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lvl w:ilvl="1">
      <w:lvlJc w:val="left"/>
      <w:lvlText w:val="%2)"/>
      <w:numFmt w:val="lowerLetter"/>
      <w:start w:val="3"/>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1)"/>
      <w:numFmt w:val="decimal"/>
      <w:start w:val="4"/>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lvl w:ilvl="1">
      <w:lvlJc w:val="left"/>
      <w:lvlText w:val="="/>
      <w:numFmt w:val="bullet"/>
      <w:start w:val="1"/>
    </w:lvl>
  </w:abstractNum>
  <w:abstractNum w:abstractNumId="12">
    <w:nsid w:val="79A1DEAA"/>
    <w:multiLevelType w:val="hybridMultilevel"/>
    <w:lvl w:ilvl="0">
      <w:lvlJc w:val="left"/>
      <w:lvlText w:val="(%1)"/>
      <w:numFmt w:val="decimal"/>
      <w:start w:val="1"/>
    </w:lvl>
  </w:abstractNum>
  <w:abstractNum w:abstractNumId="13">
    <w:nsid w:val="75C6C3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
    <w:nsid w:val="12E685FB"/>
    <w:multiLevelType w:val="hybridMultilevel"/>
    <w:lvl w:ilvl="0">
      <w:lvlJc w:val="left"/>
      <w:lvlText w:val="(%1)"/>
      <w:numFmt w:val="decimal"/>
      <w:start w:val="4"/>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lvl w:ilvl="1">
      <w:lvlJc w:val="left"/>
      <w:lvlText w:val="%2)"/>
      <w:numFmt w:val="decimal"/>
      <w:start w:val="1"/>
    </w:lvl>
  </w:abstractNum>
  <w:abstractNum w:abstractNumId="17">
    <w:nsid w:val="374A3FE6"/>
    <w:multiLevelType w:val="hybridMultilevel"/>
    <w:lvl w:ilvl="0">
      <w:lvlJc w:val="left"/>
      <w:lvlText w:val="(%1)"/>
      <w:numFmt w:val="decimal"/>
      <w:start w:val="2"/>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1)"/>
      <w:numFmt w:val="decimal"/>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1."/>
      <w:numFmt w:val="decimal"/>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1)"/>
      <w:numFmt w:val="decimal"/>
      <w:start w:val="1"/>
    </w:lvl>
  </w:abstractNum>
  <w:abstractNum w:abstractNumId="31">
    <w:nsid w:val="10233C99"/>
    <w:multiLevelType w:val="hybridMultilevel"/>
    <w:lvl w:ilvl="0">
      <w:lvlJc w:val="left"/>
      <w:lvlText w:val="(%1)"/>
      <w:numFmt w:val="decimal"/>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1)"/>
      <w:numFmt w:val="decimal"/>
      <w:start w:val="1"/>
    </w:lvl>
  </w:abstractNum>
  <w:abstractNum w:abstractNumId="35">
    <w:nsid w:val="77AE35EB"/>
    <w:multiLevelType w:val="hybridMultilevel"/>
    <w:lvl w:ilvl="0">
      <w:lvlJc w:val="left"/>
      <w:lvlText w:val="%1."/>
      <w:numFmt w:val="decimal"/>
      <w:start w:val="1"/>
    </w:lvl>
  </w:abstractNum>
  <w:abstractNum w:abstractNumId="36">
    <w:nsid w:val="579BE4F1"/>
    <w:multiLevelType w:val="hybridMultilevel"/>
    <w:lvl w:ilvl="0">
      <w:lvlJc w:val="left"/>
      <w:lvlText w:val="(%1)"/>
      <w:numFmt w:val="decimal"/>
      <w:start w:val="1"/>
    </w:lvl>
  </w:abstractNum>
  <w:abstractNum w:abstractNumId="37">
    <w:nsid w:val="310C50B3"/>
    <w:multiLevelType w:val="hybridMultilevel"/>
    <w:lvl w:ilvl="0">
      <w:lvlJc w:val="left"/>
      <w:lvlText w:val="(%1)"/>
      <w:numFmt w:val="decimal"/>
      <w:start w:val="1"/>
    </w:lvl>
  </w:abstractNum>
  <w:abstractNum w:abstractNumId="38">
    <w:nsid w:val="5FF87E05"/>
    <w:multiLevelType w:val="hybridMultilevel"/>
    <w:lvl w:ilvl="0">
      <w:lvlJc w:val="left"/>
      <w:lvlText w:val="(%1)"/>
      <w:numFmt w:val="decimal"/>
      <w:start w:val="1"/>
    </w:lvl>
  </w:abstractNum>
  <w:abstractNum w:abstractNumId="39">
    <w:nsid w:val="2F305DEF"/>
    <w:multiLevelType w:val="hybridMultilevel"/>
    <w:lvl w:ilvl="0">
      <w:lvlJc w:val="left"/>
      <w:lvlText w:val="(%1)"/>
      <w:numFmt w:val="decimal"/>
      <w:start w:val="1"/>
    </w:lvl>
  </w:abstractNum>
  <w:abstractNum w:abstractNumId="40">
    <w:nsid w:val="25A70BF7"/>
    <w:multiLevelType w:val="hybridMultilevel"/>
    <w:lvl w:ilvl="0">
      <w:lvlJc w:val="left"/>
      <w:lvlText w:val="(%1)"/>
      <w:numFmt w:val="decimal"/>
      <w:start w:val="1"/>
    </w:lvl>
  </w:abstractNum>
  <w:abstractNum w:abstractNumId="41">
    <w:nsid w:val="1DBABF00"/>
    <w:multiLevelType w:val="hybridMultilevel"/>
    <w:lvl w:ilvl="0">
      <w:lvlJc w:val="left"/>
      <w:lvlText w:val="%1."/>
      <w:numFmt w:val="decimal"/>
      <w:start w:val="1"/>
    </w:lvl>
  </w:abstractNum>
  <w:abstractNum w:abstractNumId="42">
    <w:nsid w:val="4AD084E9"/>
    <w:multiLevelType w:val="hybridMultilevel"/>
    <w:lvl w:ilvl="0">
      <w:lvlJc w:val="left"/>
      <w:lvlText w:val="(%1)"/>
      <w:numFmt w:val="decimal"/>
      <w:start w:val="1"/>
    </w:lvl>
  </w:abstractNum>
  <w:abstractNum w:abstractNumId="43">
    <w:nsid w:val="1F48EAA1"/>
    <w:multiLevelType w:val="hybridMultilevel"/>
    <w:lvl w:ilvl="0">
      <w:lvlJc w:val="left"/>
      <w:lvlText w:val="(%1)"/>
      <w:numFmt w:val="decimal"/>
      <w:start w:val="1"/>
    </w:lvl>
  </w:abstractNum>
  <w:abstractNum w:abstractNumId="44">
    <w:nsid w:val="1381823A"/>
    <w:multiLevelType w:val="hybridMultilevel"/>
    <w:lvl w:ilvl="0">
      <w:lvlJc w:val="left"/>
      <w:lvlText w:val="(%1)"/>
      <w:numFmt w:val="decimal"/>
      <w:start w:val="1"/>
    </w:lvl>
  </w:abstractNum>
  <w:abstractNum w:abstractNumId="45">
    <w:nsid w:val="5DB70AE5"/>
    <w:multiLevelType w:val="hybridMultilevel"/>
    <w:lvl w:ilvl="0">
      <w:lvlJc w:val="left"/>
      <w:lvlText w:val="(%1)"/>
      <w:numFmt w:val="decimal"/>
      <w:start w:val="1"/>
    </w:lvl>
  </w:abstractNum>
  <w:abstractNum w:abstractNumId="46">
    <w:nsid w:val="100F8FCA"/>
    <w:multiLevelType w:val="hybridMultilevel"/>
    <w:lvl w:ilvl="0">
      <w:lvlJc w:val="left"/>
      <w:lvlText w:val="%1"/>
      <w:numFmt w:val="decimal"/>
      <w:start w:val="11"/>
    </w:lvl>
  </w:abstractNum>
  <w:abstractNum w:abstractNumId="47">
    <w:nsid w:val="6590700B"/>
    <w:multiLevelType w:val="hybridMultilevel"/>
    <w:lvl w:ilvl="0">
      <w:lvlJc w:val="left"/>
      <w:lvlText w:val="(%1)"/>
      <w:numFmt w:val="lowerLetter"/>
      <w:start w:val="1"/>
    </w:lvl>
  </w:abstractNum>
  <w:abstractNum w:abstractNumId="48">
    <w:nsid w:val="15014ACB"/>
    <w:multiLevelType w:val="hybridMultilevel"/>
    <w:lvl w:ilvl="0">
      <w:lvlJc w:val="left"/>
      <w:lvlText w:val="(%1)"/>
      <w:numFmt w:val="lowerLetter"/>
      <w:start w:val="7"/>
    </w:lvl>
  </w:abstractNum>
  <w:abstractNum w:abstractNumId="49">
    <w:nsid w:val="5F5E7FD0"/>
    <w:multiLevelType w:val="hybridMultilevel"/>
    <w:lvl w:ilvl="0">
      <w:lvlJc w:val="left"/>
      <w:lvlText w:val="(%1)"/>
      <w:numFmt w:val="lowerLetter"/>
      <w:start w:val="1"/>
    </w:lvl>
  </w:abstractNum>
  <w:abstractNum w:abstractNumId="50">
    <w:nsid w:val="98A3148"/>
    <w:multiLevelType w:val="hybridMultilevel"/>
    <w:lvl w:ilvl="0">
      <w:lvlJc w:val="left"/>
      <w:lvlText w:val="(%1)"/>
      <w:numFmt w:val="lowerLetter"/>
      <w:start w:val="1"/>
    </w:lvl>
  </w:abstractNum>
  <w:abstractNum w:abstractNumId="51">
    <w:nsid w:val="799D0247"/>
    <w:multiLevelType w:val="hybridMultilevel"/>
    <w:lvl w:ilvl="0">
      <w:lvlJc w:val="left"/>
      <w:lvlText w:val="(%1)"/>
      <w:numFmt w:val="lowerLetter"/>
      <w:start w:val="1"/>
    </w:lvl>
    <w:lvl w:ilvl="1">
      <w:lvlJc w:val="left"/>
      <w:lvlText w:val="(%2)"/>
      <w:numFmt w:val="lowerLetter"/>
      <w:start w:val="3"/>
    </w:lvl>
  </w:abstractNum>
  <w:abstractNum w:abstractNumId="52">
    <w:nsid w:val="6B94764"/>
    <w:multiLevelType w:val="hybridMultilevel"/>
    <w:lvl w:ilvl="0">
      <w:lvlJc w:val="left"/>
      <w:lvlText w:val="(%1)"/>
      <w:numFmt w:val="lowerLetter"/>
      <w:start w:val="1"/>
    </w:lvl>
  </w:abstractNum>
  <w:abstractNum w:abstractNumId="53">
    <w:nsid w:val="42C296BD"/>
    <w:multiLevelType w:val="hybridMultilevel"/>
    <w:lvl w:ilvl="0">
      <w:lvlJc w:val="left"/>
      <w:lvlText w:val="(%1)"/>
      <w:numFmt w:val="lowerLetter"/>
      <w:start w:val="1"/>
    </w:lvl>
  </w:abstractNum>
  <w:abstractNum w:abstractNumId="54">
    <w:nsid w:val="168E121F"/>
    <w:multiLevelType w:val="hybridMultilevel"/>
    <w:lvl w:ilvl="0">
      <w:lvlJc w:val="left"/>
      <w:lvlText w:val="(%1)"/>
      <w:numFmt w:val="lowerLetter"/>
      <w:start w:val="1"/>
    </w:lvl>
  </w:abstractNum>
  <w:abstractNum w:abstractNumId="55">
    <w:nsid w:val="1EBA5D23"/>
    <w:multiLevelType w:val="hybridMultilevel"/>
    <w:lvl w:ilvl="0">
      <w:lvlJc w:val="left"/>
      <w:lvlText w:val="(%1)"/>
      <w:numFmt w:val="lowerLetter"/>
      <w:start w:val="1"/>
    </w:lvl>
  </w:abstractNum>
  <w:abstractNum w:abstractNumId="56">
    <w:nsid w:val="661E3F1E"/>
    <w:multiLevelType w:val="hybridMultilevel"/>
    <w:lvl w:ilvl="0">
      <w:lvlJc w:val="left"/>
      <w:lvlText w:val="(%1)"/>
      <w:numFmt w:val="lowerLetter"/>
      <w:start w:val="2"/>
    </w:lvl>
  </w:abstractNum>
  <w:abstractNum w:abstractNumId="57">
    <w:nsid w:val="5DC79EA8"/>
    <w:multiLevelType w:val="hybridMultilevel"/>
    <w:lvl w:ilvl="0">
      <w:lvlJc w:val="left"/>
      <w:lvlText w:val="1"/>
      <w:numFmt w:val="bullet"/>
      <w:start w:val="1"/>
    </w:lvl>
  </w:abstractNum>
  <w:abstractNum w:abstractNumId="58">
    <w:nsid w:val="540A471C"/>
    <w:multiLevelType w:val="hybridMultilevel"/>
    <w:lvl w:ilvl="0">
      <w:lvlJc w:val="left"/>
      <w:lvlText w:val="(%1)"/>
      <w:numFmt w:val="upperLetter"/>
      <w:start w:val="1"/>
    </w:lvl>
  </w:abstractNum>
  <w:abstractNum w:abstractNumId="59">
    <w:nsid w:val="7BD3EE7B"/>
    <w:multiLevelType w:val="hybridMultilevel"/>
    <w:lvl w:ilvl="0">
      <w:lvlJc w:val="left"/>
      <w:lvlText w:val="(%1)"/>
      <w:numFmt w:val="upperLetter"/>
      <w:start w:val="10"/>
    </w:lvl>
  </w:abstractNum>
  <w:abstractNum w:abstractNumId="60">
    <w:nsid w:val="51D9C564"/>
    <w:multiLevelType w:val="hybridMultilevel"/>
    <w:lvl w:ilvl="0">
      <w:lvlJc w:val="left"/>
      <w:lvlText w:val="(%1)"/>
      <w:numFmt w:val="lowerRoman"/>
      <w:start w:val="1"/>
    </w:lvl>
  </w:abstractNum>
  <w:abstractNum w:abstractNumId="61">
    <w:nsid w:val="613EFDC5"/>
    <w:multiLevelType w:val="hybridMultilevel"/>
    <w:lvl w:ilvl="0">
      <w:lvlJc w:val="left"/>
      <w:lvlText w:val="(%1)"/>
      <w:numFmt w:val="upperLetter"/>
      <w:start w:val="1"/>
    </w:lvl>
  </w:abstractNum>
  <w:abstractNum w:abstractNumId="62">
    <w:nsid w:val="BF72B14"/>
    <w:multiLevelType w:val="hybridMultilevel"/>
    <w:lvl w:ilvl="0">
      <w:lvlJc w:val="left"/>
      <w:lvlText w:val="(%1)"/>
      <w:numFmt w:val="upperLetter"/>
      <w:start w:val="1"/>
    </w:lvl>
  </w:abstractNum>
  <w:abstractNum w:abstractNumId="63">
    <w:nsid w:val="11447B73"/>
    <w:multiLevelType w:val="hybridMultilevel"/>
    <w:lvl w:ilvl="0">
      <w:lvlJc w:val="left"/>
      <w:lvlText w:val="(%1)"/>
      <w:numFmt w:val="upperLetter"/>
      <w:start w:val="2"/>
    </w:lvl>
  </w:abstractNum>
  <w:abstractNum w:abstractNumId="64">
    <w:nsid w:val="42963E5A"/>
    <w:multiLevelType w:val="hybridMultilevel"/>
    <w:lvl w:ilvl="0">
      <w:lvlJc w:val="left"/>
      <w:lvlText w:val="%1"/>
      <w:numFmt w:val="upperLetter"/>
      <w:start w:val="1"/>
    </w:lvl>
    <w:lvl w:ilvl="1">
      <w:lvlJc w:val="left"/>
      <w:lvlText w:val="(%2)"/>
      <w:numFmt w:val="decimal"/>
      <w:start w:val="1"/>
    </w:lvl>
  </w:abstractNum>
  <w:abstractNum w:abstractNumId="65">
    <w:nsid w:val="A0382C5"/>
    <w:multiLevelType w:val="hybridMultilevel"/>
    <w:lvl w:ilvl="0">
      <w:lvlJc w:val="left"/>
      <w:lvlText w:val="(%1)"/>
      <w:numFmt w:val="upperLetter"/>
      <w:start w:val="3"/>
    </w:lvl>
    <w:lvl w:ilvl="1">
      <w:lvlJc w:val="left"/>
      <w:lvlText w:val="%2"/>
      <w:numFmt w:val="decimal"/>
      <w:start w:val="1"/>
    </w:lvl>
  </w:abstractNum>
  <w:abstractNum w:abstractNumId="66">
    <w:nsid w:val="8F2B15E"/>
    <w:multiLevelType w:val="hybridMultilevel"/>
    <w:lvl w:ilvl="0">
      <w:lvlJc w:val="left"/>
      <w:lvlText w:val="(%1)"/>
      <w:numFmt w:val="upperLetter"/>
      <w:start w:val="4"/>
    </w:lvl>
  </w:abstractNum>
  <w:abstractNum w:abstractNumId="67">
    <w:nsid w:val="1A32234B"/>
    <w:multiLevelType w:val="hybridMultilevel"/>
    <w:lvl w:ilvl="0">
      <w:lvlJc w:val="left"/>
      <w:lvlText w:val="(%1)"/>
      <w:numFmt w:val="upperLetter"/>
      <w:start w:val="5"/>
    </w:lvl>
  </w:abstractNum>
  <w:abstractNum w:abstractNumId="68">
    <w:nsid w:val="3B0FD379"/>
    <w:multiLevelType w:val="hybridMultilevel"/>
    <w:lvl w:ilvl="0">
      <w:lvlJc w:val="left"/>
      <w:lvlText w:val="%1"/>
      <w:numFmt w:val="upperLetter"/>
      <w:start w:val="1"/>
    </w:lvl>
    <w:lvl w:ilvl="1">
      <w:lvlJc w:val="left"/>
      <w:lvlText w:val="(%2)"/>
      <w:numFmt w:val="decimal"/>
      <w:start w:val="1"/>
    </w:lvl>
  </w:abstractNum>
  <w:abstractNum w:abstractNumId="69">
    <w:nsid w:val="68EB2F63"/>
    <w:multiLevelType w:val="hybridMultilevel"/>
    <w:lvl w:ilvl="0">
      <w:lvlJc w:val="left"/>
      <w:lvlText w:val="(%1)"/>
      <w:numFmt w:val="upperLetter"/>
      <w:start w:val="6"/>
    </w:lvl>
    <w:lvl w:ilvl="1">
      <w:lvlJc w:val="left"/>
      <w:lvlText w:val="%2"/>
      <w:numFmt w:val="decimal"/>
      <w:start w:val="1"/>
    </w:lvl>
  </w:abstractNum>
  <w:abstractNum w:abstractNumId="70">
    <w:nsid w:val="4962813B"/>
    <w:multiLevelType w:val="hybridMultilevel"/>
    <w:lvl w:ilvl="0">
      <w:lvlJc w:val="left"/>
      <w:lvlText w:val="(%1)"/>
      <w:numFmt w:val="upperLetter"/>
      <w:start w:val="7"/>
    </w:lvl>
  </w:abstractNum>
  <w:abstractNum w:abstractNumId="71">
    <w:nsid w:val="60B6DF70"/>
    <w:multiLevelType w:val="hybridMultilevel"/>
    <w:lvl w:ilvl="0">
      <w:lvlJc w:val="left"/>
      <w:lvlText w:val="(%1)"/>
      <w:numFmt w:val="upperLetter"/>
      <w:start w:val="8"/>
    </w:lvl>
  </w:abstractNum>
  <w:abstractNum w:abstractNumId="72">
    <w:nsid w:val="6A5EE64"/>
    <w:multiLevelType w:val="hybridMultilevel"/>
    <w:lvl w:ilvl="0">
      <w:lvlJc w:val="left"/>
      <w:lvlText w:val="(%1)"/>
      <w:numFmt w:val="upperLetter"/>
      <w:start w:val="9"/>
    </w:lvl>
  </w:abstractNum>
  <w:abstractNum w:abstractNumId="73">
    <w:nsid w:val="14330624"/>
    <w:multiLevelType w:val="hybridMultilevel"/>
    <w:lvl w:ilvl="0">
      <w:lvlJc w:val="left"/>
      <w:lvlText w:val="(%1)"/>
      <w:numFmt w:val="upperLetter"/>
      <w:start w:val="10"/>
    </w:lvl>
  </w:abstractNum>
  <w:abstractNum w:abstractNumId="74">
    <w:nsid w:val="7FFFCA11"/>
    <w:multiLevelType w:val="hybridMultilevel"/>
    <w:lvl w:ilvl="0">
      <w:lvlJc w:val="left"/>
      <w:lvlText w:val="(%1)"/>
      <w:numFmt w:val="decimal"/>
      <w:start w:val="1"/>
    </w:lvl>
  </w:abstractNum>
  <w:abstractNum w:abstractNumId="75">
    <w:nsid w:val="1A27709E"/>
    <w:multiLevelType w:val="hybridMultilevel"/>
    <w:lvl w:ilvl="0">
      <w:lvlJc w:val="left"/>
      <w:lvlText w:val="(%1)"/>
      <w:numFmt w:val="upperLetter"/>
      <w:start w:val="1"/>
    </w:lvl>
  </w:abstractNum>
  <w:abstractNum w:abstractNumId="76">
    <w:nsid w:val="71EA1109"/>
    <w:multiLevelType w:val="hybridMultilevel"/>
    <w:lvl w:ilvl="0">
      <w:lvlJc w:val="left"/>
      <w:lvlText w:val="(%1)"/>
      <w:numFmt w:val="upperLetter"/>
      <w:start w:val="2"/>
    </w:lvl>
  </w:abstractNum>
  <w:abstractNum w:abstractNumId="77">
    <w:nsid w:val="100F59DC"/>
    <w:multiLevelType w:val="hybridMultilevel"/>
    <w:lvl w:ilvl="0">
      <w:lvlJc w:val="left"/>
      <w:lvlText w:val="(%1)"/>
      <w:numFmt w:val="upperLetter"/>
      <w:start w:val="3"/>
    </w:lvl>
  </w:abstractNum>
  <w:abstractNum w:abstractNumId="78">
    <w:nsid w:val="7FB7E0AA"/>
    <w:multiLevelType w:val="hybridMultilevel"/>
    <w:lvl w:ilvl="0">
      <w:lvlJc w:val="left"/>
      <w:lvlText w:val="(%1)"/>
      <w:numFmt w:val="upperLetter"/>
      <w:start w:val="1"/>
    </w:lvl>
    <w:lvl w:ilvl="1">
      <w:lvlJc w:val="left"/>
      <w:lvlText w:val="(%2)"/>
      <w:numFmt w:val="decimal"/>
      <w:start w:val="1"/>
    </w:lvl>
  </w:abstractNum>
  <w:abstractNum w:abstractNumId="79">
    <w:nsid w:val="6EB5BD4"/>
    <w:multiLevelType w:val="hybridMultilevel"/>
    <w:lvl w:ilvl="0">
      <w:lvlJc w:val="left"/>
      <w:lvlText w:val="(%1)"/>
      <w:numFmt w:val="upperLetter"/>
      <w:start w:val="5"/>
    </w:lvl>
  </w:abstractNum>
  <w:abstractNum w:abstractNumId="80">
    <w:nsid w:val="6F6DD9AC"/>
    <w:multiLevelType w:val="hybridMultilevel"/>
    <w:lvl w:ilvl="0">
      <w:lvlJc w:val="left"/>
      <w:lvlText w:val="(%1)"/>
      <w:numFmt w:val="upperLetter"/>
      <w:start w:val="1"/>
    </w:lvl>
  </w:abstractNum>
  <w:abstractNum w:abstractNumId="81">
    <w:nsid w:val="94211F2"/>
    <w:multiLevelType w:val="hybridMultilevel"/>
    <w:lvl w:ilvl="0">
      <w:lvlJc w:val="left"/>
      <w:lvlText w:val="(%1)"/>
      <w:numFmt w:val="upperLetter"/>
      <w:start w:val="2"/>
    </w:lvl>
  </w:abstractNum>
  <w:abstractNum w:abstractNumId="82">
    <w:nsid w:val="885E1B"/>
    <w:multiLevelType w:val="hybridMultilevel"/>
    <w:lvl w:ilvl="0">
      <w:lvlJc w:val="left"/>
      <w:lvlText w:val="(%1)"/>
      <w:numFmt w:val="upperLetter"/>
      <w:start w:val="1"/>
    </w:lvl>
    <w:lvl w:ilvl="1">
      <w:lvlJc w:val="left"/>
      <w:lvlText w:val="(%2)"/>
      <w:numFmt w:val="decimal"/>
      <w:start w:val="1"/>
    </w:lvl>
  </w:abstractNum>
  <w:abstractNum w:abstractNumId="83">
    <w:nsid w:val="76272110"/>
    <w:multiLevelType w:val="hybridMultilevel"/>
    <w:lvl w:ilvl="0">
      <w:lvlJc w:val="left"/>
      <w:lvlText w:val="%1"/>
      <w:numFmt w:val="upperLetter"/>
      <w:start w:val="1"/>
    </w:lvl>
    <w:lvl w:ilvl="1">
      <w:lvlJc w:val="left"/>
      <w:lvlText w:val="(%2)"/>
      <w:numFmt w:val="decimal"/>
      <w:start w:val="4"/>
    </w:lvl>
  </w:abstractNum>
  <w:abstractNum w:abstractNumId="84">
    <w:nsid w:val="4C04A8AF"/>
    <w:multiLevelType w:val="hybridMultilevel"/>
    <w:lvl w:ilvl="0">
      <w:lvlJc w:val="left"/>
      <w:lvlText w:val="(%1)"/>
      <w:numFmt w:val="upperLetter"/>
      <w:start w:val="3"/>
    </w:lvl>
    <w:lvl w:ilvl="1">
      <w:lvlJc w:val="left"/>
      <w:lvlText w:val="(%2)"/>
      <w:numFmt w:val="decimal"/>
      <w:start w:val="1"/>
    </w:lvl>
  </w:abstractNum>
  <w:abstractNum w:abstractNumId="85">
    <w:nsid w:val="1716703B"/>
    <w:multiLevelType w:val="hybridMultilevel"/>
    <w:lvl w:ilvl="0">
      <w:lvlJc w:val="left"/>
      <w:lvlText w:val="(%1)"/>
      <w:numFmt w:val="decimal"/>
      <w:start w:val="1"/>
    </w:lvl>
  </w:abstractNum>
  <w:abstractNum w:abstractNumId="86">
    <w:nsid w:val="14E17E33"/>
    <w:multiLevelType w:val="hybridMultilevel"/>
    <w:lvl w:ilvl="0">
      <w:lvlJc w:val="left"/>
      <w:lvlText w:val="%1."/>
      <w:numFmt w:val="decimal"/>
      <w:start w:val="1"/>
    </w:lvl>
    <w:lvl w:ilvl="1">
      <w:lvlJc w:val="left"/>
      <w:lvlText w:val="%2)"/>
      <w:numFmt w:val="lowerLetter"/>
      <w:start w:val="1"/>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2020-05-05T15:13:29Z</dcterms:created>
  <dcterms:modified xsi:type="dcterms:W3CDTF">2020-05-05T15:13:29Z</dcterms:modified>
</cp:coreProperties>
</file>