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UNITED STATES</w:t>
            </w: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78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5"/>
              </w:rPr>
              <w:t>SECURITIES AND EXCHANGE COMMISSION</w:t>
            </w:r>
          </w:p>
        </w:tc>
        <w:tc>
          <w:tcPr>
            <w:tcW w:w="186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78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40" w:type="dxa"/>
            <w:vAlign w:val="bottom"/>
            <w:gridSpan w:val="2"/>
            <w:vMerge w:val="restart"/>
          </w:tcPr>
          <w:p>
            <w:pPr>
              <w:jc w:val="center"/>
              <w:ind w:right="1000"/>
              <w:spacing w:after="0"/>
              <w:rPr>
                <w:sz w:val="20"/>
                <w:szCs w:val="20"/>
                <w:color w:val="auto"/>
              </w:rPr>
            </w:pPr>
            <w:r>
              <w:rPr>
                <w:rFonts w:ascii="Arial" w:cs="Arial" w:eastAsia="Arial" w:hAnsi="Arial"/>
                <w:sz w:val="22"/>
                <w:szCs w:val="22"/>
                <w:color w:val="auto"/>
                <w:w w:val="88"/>
              </w:rPr>
              <w:t>Washington, D.C. 20549</w:t>
            </w:r>
          </w:p>
        </w:tc>
        <w:tc>
          <w:tcPr>
            <w:tcW w:w="1860" w:type="dxa"/>
            <w:vAlign w:val="bottom"/>
          </w:tcPr>
          <w:p>
            <w:pPr>
              <w:ind w:left="60"/>
              <w:spacing w:after="0"/>
              <w:rPr>
                <w:sz w:val="20"/>
                <w:szCs w:val="20"/>
                <w:color w:val="auto"/>
              </w:rPr>
            </w:pPr>
            <w:r>
              <w:rPr>
                <w:rFonts w:ascii="Arial" w:cs="Arial" w:eastAsia="Arial" w:hAnsi="Arial"/>
                <w:sz w:val="22"/>
                <w:szCs w:val="22"/>
                <w:color w:val="auto"/>
              </w:rPr>
              <w:t>Expires:</w:t>
            </w:r>
          </w:p>
        </w:tc>
        <w:tc>
          <w:tcPr>
            <w:tcW w:w="1780" w:type="dxa"/>
            <w:vAlign w:val="bottom"/>
          </w:tcPr>
          <w:p>
            <w:pPr>
              <w:ind w:left="10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FORM 25</w:t>
            </w:r>
          </w:p>
        </w:tc>
        <w:tc>
          <w:tcPr>
            <w:tcW w:w="186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90"/>
              </w:rPr>
              <w:t>hours per response:</w:t>
            </w:r>
          </w:p>
        </w:tc>
        <w:tc>
          <w:tcPr>
            <w:tcW w:w="178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4567555</wp:posOffset>
            </wp:positionH>
            <wp:positionV relativeFrom="page">
              <wp:posOffset>170180</wp:posOffset>
            </wp:positionV>
            <wp:extent cx="2391410" cy="1088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1410" cy="108839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6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400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001-33418</w:t>
        </w:r>
      </w:hyperlink>
    </w:p>
    <w:p>
      <w:pPr>
        <w:spacing w:after="0" w:line="125" w:lineRule="exact"/>
        <w:rPr>
          <w:sz w:val="24"/>
          <w:szCs w:val="24"/>
          <w:color w:val="auto"/>
        </w:rPr>
      </w:pPr>
    </w:p>
    <w:p>
      <w:pPr>
        <w:ind w:left="2720"/>
        <w:spacing w:after="0"/>
        <w:tabs>
          <w:tab w:leader="none" w:pos="366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PENNANTPARK INVESTMENT CORP</w:t>
        </w:r>
      </w:hyperlink>
    </w:p>
    <w:p>
      <w:pPr>
        <w:spacing w:after="0" w:line="44" w:lineRule="exact"/>
        <w:rPr>
          <w:sz w:val="24"/>
          <w:szCs w:val="24"/>
          <w:color w:val="auto"/>
        </w:rPr>
      </w:pPr>
    </w:p>
    <w:p>
      <w:pPr>
        <w:ind w:left="2720"/>
        <w:spacing w:after="0"/>
        <w:rPr>
          <w:sz w:val="20"/>
          <w:szCs w:val="20"/>
          <w:color w:val="auto"/>
        </w:rPr>
      </w:pPr>
      <w:r>
        <w:rPr>
          <w:rFonts w:ascii="Arial" w:cs="Arial" w:eastAsia="Arial" w:hAnsi="Arial"/>
          <w:sz w:val="22"/>
          <w:szCs w:val="22"/>
          <w:color w:val="auto"/>
        </w:rPr>
        <w:t>Exchange: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41275</wp:posOffset>
            </wp:positionV>
            <wp:extent cx="5537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2980"/>
        <w:spacing w:after="0"/>
        <w:rPr>
          <w:sz w:val="20"/>
          <w:szCs w:val="20"/>
          <w:color w:val="auto"/>
        </w:rPr>
      </w:pPr>
      <w:r>
        <w:rPr>
          <w:rFonts w:ascii="Arial" w:cs="Arial" w:eastAsia="Arial" w:hAnsi="Arial"/>
          <w:sz w:val="22"/>
          <w:szCs w:val="22"/>
          <w:color w:val="auto"/>
        </w:rPr>
        <w:t>Address: 445 Park Avenue, 10th Floor</w:t>
      </w:r>
    </w:p>
    <w:p>
      <w:pPr>
        <w:spacing w:after="0" w:line="44" w:lineRule="exact"/>
        <w:rPr>
          <w:sz w:val="24"/>
          <w:szCs w:val="24"/>
          <w:color w:val="auto"/>
        </w:rPr>
      </w:pPr>
    </w:p>
    <w:p>
      <w:pPr>
        <w:ind w:left="3800"/>
        <w:spacing w:after="0"/>
        <w:rPr>
          <w:sz w:val="20"/>
          <w:szCs w:val="20"/>
          <w:color w:val="auto"/>
        </w:rPr>
      </w:pPr>
      <w:r>
        <w:rPr>
          <w:rFonts w:ascii="Arial" w:cs="Arial" w:eastAsia="Arial" w:hAnsi="Arial"/>
          <w:sz w:val="22"/>
          <w:szCs w:val="22"/>
          <w:color w:val="auto"/>
        </w:rPr>
        <w:t>New York NEW YORK 10022</w:t>
      </w:r>
    </w:p>
    <w:p>
      <w:pPr>
        <w:spacing w:after="0" w:line="44" w:lineRule="exact"/>
        <w:rPr>
          <w:sz w:val="24"/>
          <w:szCs w:val="24"/>
          <w:color w:val="auto"/>
        </w:rPr>
      </w:pPr>
    </w:p>
    <w:tbl>
      <w:tblPr>
        <w:tblLayout w:type="fixed"/>
        <w:tblInd w:w="208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22"/>
                <w:szCs w:val="22"/>
                <w:color w:val="auto"/>
              </w:rPr>
              <w:t>Telephone number:</w:t>
            </w:r>
          </w:p>
        </w:tc>
        <w:tc>
          <w:tcPr>
            <w:tcW w:w="2780" w:type="dxa"/>
            <w:vAlign w:val="bottom"/>
          </w:tcPr>
          <w:p>
            <w:pPr>
              <w:jc w:val="right"/>
              <w:spacing w:after="0"/>
              <w:rPr>
                <w:sz w:val="20"/>
                <w:szCs w:val="20"/>
                <w:color w:val="auto"/>
              </w:rPr>
            </w:pPr>
            <w:r>
              <w:rPr>
                <w:rFonts w:ascii="Arial" w:cs="Arial" w:eastAsia="Arial" w:hAnsi="Arial"/>
                <w:sz w:val="22"/>
                <w:szCs w:val="22"/>
                <w:color w:val="auto"/>
              </w:rPr>
              <w:t>1 212 905-1000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27940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jc w:val="center"/>
        <w:spacing w:after="0" w:line="250"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5.50% Notes Due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15875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40"/>
        <w:spacing w:after="0" w:line="250"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8"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80" w:right="1200" w:firstLine="54"/>
        <w:spacing w:after="0" w:line="292" w:lineRule="auto"/>
        <w:rPr>
          <w:rFonts w:ascii="Arial" w:cs="Arial" w:eastAsia="Arial" w:hAnsi="Arial"/>
          <w:sz w:val="20"/>
          <w:szCs w:val="20"/>
          <w:color w:val="auto"/>
        </w:rPr>
      </w:pPr>
      <w:r>
        <w:rPr>
          <w:sz w:val="1"/>
          <w:szCs w:val="1"/>
          <w:color w:val="auto"/>
        </w:rPr>
        <w:drawing>
          <wp:inline distT="0" distB="0" distL="0" distR="0">
            <wp:extent cx="111125"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2"/>
            <w:szCs w:val="32"/>
            <w:u w:val="single" w:color="auto"/>
            <w:color w:val="0000EE"/>
            <w:vertAlign w:val="superscript"/>
          </w:rPr>
          <w:t>1</w:t>
        </w:r>
      </w:hyperlink>
    </w:p>
    <w:p>
      <w:pPr>
        <w:spacing w:after="0" w:line="1" w:lineRule="exact"/>
        <w:rPr>
          <w:sz w:val="24"/>
          <w:szCs w:val="24"/>
          <w:color w:val="auto"/>
        </w:rPr>
      </w:pPr>
    </w:p>
    <w:p>
      <w:pPr>
        <w:ind w:left="780" w:right="800" w:firstLine="54"/>
        <w:spacing w:after="0"/>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spacing w:after="0" w:line="257" w:lineRule="auto"/>
        <w:rPr>
          <w:sz w:val="20"/>
          <w:szCs w:val="20"/>
          <w:color w:val="auto"/>
        </w:rPr>
      </w:pPr>
      <w:r>
        <w:rPr>
          <w:rFonts w:ascii="Arial" w:cs="Arial" w:eastAsia="Arial" w:hAnsi="Arial"/>
          <w:sz w:val="21"/>
          <w:szCs w:val="21"/>
          <w:color w:val="auto"/>
        </w:rPr>
        <w:t>Pursuant to the requirements fo the Securities Exchange Act of 1934, Nasdaq Stock Market LLC certifies that it has reasonable grounds to believe that it meets all of the requirements for filing the Form 25 and has caused this notification to be signed on its behalf by the undersigned duly authorized person.</w:t>
      </w:r>
    </w:p>
    <w:p>
      <w:pPr>
        <w:spacing w:after="0" w:line="48"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2021-11-15</w:t>
            </w:r>
          </w:p>
        </w:tc>
        <w:tc>
          <w:tcPr>
            <w:tcW w:w="940" w:type="dxa"/>
            <w:vAlign w:val="bottom"/>
          </w:tcPr>
          <w:p>
            <w:pPr>
              <w:ind w:left="64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ind w:left="1260"/>
              <w:spacing w:after="0"/>
              <w:rPr>
                <w:sz w:val="20"/>
                <w:szCs w:val="20"/>
                <w:color w:val="auto"/>
              </w:rPr>
            </w:pPr>
            <w:r>
              <w:rPr>
                <w:rFonts w:ascii="Arial" w:cs="Arial" w:eastAsia="Arial" w:hAnsi="Arial"/>
                <w:sz w:val="22"/>
                <w:szCs w:val="22"/>
                <w:color w:val="auto"/>
              </w:rPr>
              <w:t>Tara Petta</w:t>
            </w:r>
          </w:p>
        </w:tc>
        <w:tc>
          <w:tcPr>
            <w:tcW w:w="260" w:type="dxa"/>
            <w:vAlign w:val="bottom"/>
          </w:tcPr>
          <w:p>
            <w:pPr>
              <w:spacing w:after="0"/>
              <w:rPr>
                <w:sz w:val="24"/>
                <w:szCs w:val="24"/>
                <w:color w:val="auto"/>
              </w:rPr>
            </w:pPr>
          </w:p>
        </w:tc>
        <w:tc>
          <w:tcPr>
            <w:tcW w:w="2080" w:type="dxa"/>
            <w:vAlign w:val="bottom"/>
            <w:tcBorders>
              <w:bottom w:val="single" w:sz="8" w:color="auto"/>
            </w:tcBorders>
          </w:tcPr>
          <w:p>
            <w:pPr>
              <w:ind w:left="840"/>
              <w:spacing w:after="0"/>
              <w:rPr>
                <w:sz w:val="20"/>
                <w:szCs w:val="20"/>
                <w:color w:val="auto"/>
              </w:rPr>
            </w:pPr>
            <w:r>
              <w:rPr>
                <w:rFonts w:ascii="Arial" w:cs="Arial" w:eastAsia="Arial" w:hAnsi="Arial"/>
                <w:sz w:val="22"/>
                <w:szCs w:val="22"/>
                <w:color w:val="auto"/>
              </w:rPr>
              <w:t>EVP</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40" w:type="dxa"/>
            <w:vAlign w:val="bottom"/>
          </w:tcPr>
          <w:p>
            <w:pPr>
              <w:spacing w:after="0"/>
              <w:rPr>
                <w:sz w:val="24"/>
                <w:szCs w:val="24"/>
                <w:color w:val="auto"/>
              </w:rPr>
            </w:pPr>
          </w:p>
        </w:tc>
        <w:tc>
          <w:tcPr>
            <w:tcW w:w="340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80" w:type="dxa"/>
            <w:vAlign w:val="bottom"/>
          </w:tcPr>
          <w:p>
            <w:pPr>
              <w:ind w:left="840"/>
              <w:spacing w:after="0"/>
              <w:rPr>
                <w:sz w:val="20"/>
                <w:szCs w:val="20"/>
                <w:color w:val="auto"/>
              </w:rPr>
            </w:pPr>
            <w:r>
              <w:rPr>
                <w:rFonts w:ascii="Arial" w:cs="Arial" w:eastAsia="Arial" w:hAnsi="Arial"/>
                <w:sz w:val="22"/>
                <w:szCs w:val="22"/>
                <w:color w:val="auto"/>
              </w:rPr>
              <w:t>Title</w:t>
            </w:r>
          </w:p>
        </w:tc>
      </w:tr>
    </w:tbl>
    <w:p>
      <w:pPr>
        <w:spacing w:after="0" w:line="104" w:lineRule="exact"/>
        <w:rPr>
          <w:sz w:val="24"/>
          <w:szCs w:val="24"/>
          <w:color w:val="auto"/>
        </w:rPr>
      </w:pPr>
    </w:p>
    <w:p>
      <w:pPr>
        <w:ind w:left="1260" w:right="900" w:hanging="597"/>
        <w:spacing w:after="0" w:line="250"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3" w:lineRule="exact"/>
        <w:rPr>
          <w:sz w:val="24"/>
          <w:szCs w:val="24"/>
          <w:color w:val="auto"/>
        </w:rPr>
      </w:pPr>
    </w:p>
    <w:p>
      <w:pPr>
        <w:ind w:right="180"/>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309" w:right="95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Form 25</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3418" TargetMode="External"/><Relationship Id="rId10" Type="http://schemas.openxmlformats.org/officeDocument/2006/relationships/hyperlink" Target="http://www.sec.gov/cgi-bin/browse-edgar?action=getcompany&amp;CIK=00013834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2021-11-15T08:16:07Z</dcterms:created>
  <dcterms:modified xsi:type="dcterms:W3CDTF">2021-11-15T08:16:07Z</dcterms:modified>
</cp:coreProperties>
</file>