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filed with the Securities and Exchange Commission on April 12, 2019.</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Act Registration No. 333-230014</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91440</wp:posOffset>
            </wp:positionV>
            <wp:extent cx="6723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134620</wp:posOffset>
            </wp:positionV>
            <wp:extent cx="6723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9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177165</wp:posOffset>
            </wp:positionV>
            <wp:extent cx="6723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343535</wp:posOffset>
            </wp:positionV>
            <wp:extent cx="6723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 w:lineRule="exact"/>
        <w:rPr>
          <w:sz w:val="24"/>
          <w:szCs w:val="24"/>
          <w:color w:val="auto"/>
        </w:rPr>
      </w:pPr>
    </w:p>
    <w:p>
      <w:pPr>
        <w:ind w:left="4900"/>
        <w:spacing w:after="0" w:line="207" w:lineRule="exact"/>
        <w:tabs>
          <w:tab w:leader="none" w:pos="720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6" w:lineRule="exact"/>
        <w:rPr>
          <w:sz w:val="24"/>
          <w:szCs w:val="24"/>
          <w:color w:val="auto"/>
        </w:rPr>
      </w:pPr>
    </w:p>
    <w:p>
      <w:pPr>
        <w:ind w:left="4560"/>
        <w:spacing w:after="0" w:line="207" w:lineRule="exact"/>
        <w:tabs>
          <w:tab w:leader="none" w:pos="7200" w:val="left"/>
        </w:tabs>
        <w:rPr>
          <w:sz w:val="20"/>
          <w:szCs w:val="20"/>
          <w:color w:val="auto"/>
        </w:rPr>
      </w:pPr>
      <w:r>
        <w:rPr>
          <w:rFonts w:ascii="Arial" w:cs="Arial" w:eastAsia="Arial" w:hAnsi="Arial"/>
          <w:sz w:val="18"/>
          <w:szCs w:val="18"/>
          <w:b w:val="1"/>
          <w:bCs w:val="1"/>
          <w:color w:val="auto"/>
        </w:rPr>
        <w:t>Pre-Effective Amendment No. 1</w:t>
      </w:r>
      <w:r>
        <w:rPr>
          <w:sz w:val="20"/>
          <w:szCs w:val="20"/>
          <w:color w:val="auto"/>
        </w:rPr>
        <w:tab/>
      </w:r>
      <w:r>
        <w:rPr>
          <w:rFonts w:ascii="MS PGothic" w:cs="MS PGothic" w:eastAsia="MS PGothic" w:hAnsi="MS PGothic"/>
          <w:sz w:val="16"/>
          <w:szCs w:val="16"/>
          <w:color w:val="auto"/>
        </w:rPr>
        <w:t>☒</w:t>
      </w:r>
    </w:p>
    <w:p>
      <w:pPr>
        <w:spacing w:after="0" w:line="29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PennantPark Investment Corporation</w:t>
      </w:r>
    </w:p>
    <w:p>
      <w:pPr>
        <w:spacing w:after="0" w:line="4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167640</wp:posOffset>
            </wp:positionV>
            <wp:extent cx="6723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34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(212) 905-1000</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Arthur H. Penn</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168910</wp:posOffset>
            </wp:positionV>
            <wp:extent cx="6723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3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Copies to:</w:t>
      </w:r>
    </w:p>
    <w:p>
      <w:pPr>
        <w:spacing w:after="0" w:line="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Thomas Friedmann</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20006-1110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7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180340</wp:posOffset>
            </wp:positionV>
            <wp:extent cx="67233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331" w:lineRule="exact"/>
        <w:rPr>
          <w:sz w:val="24"/>
          <w:szCs w:val="24"/>
          <w:color w:val="auto"/>
        </w:rPr>
      </w:pPr>
    </w:p>
    <w:p>
      <w:pPr>
        <w:ind w:left="200" w:firstLine="551"/>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77" w:lineRule="exact"/>
        <w:rPr>
          <w:sz w:val="24"/>
          <w:szCs w:val="24"/>
          <w:color w:val="auto"/>
        </w:rPr>
      </w:pPr>
    </w:p>
    <w:p>
      <w:pPr>
        <w:ind w:left="960" w:hanging="205"/>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39"/>
        </w:trPr>
        <w:tc>
          <w:tcPr>
            <w:tcW w:w="3800" w:type="dxa"/>
            <w:vAlign w:val="bottom"/>
            <w:tcBorders>
              <w:top w:val="single" w:sz="8" w:color="auto"/>
              <w:left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Proposed Maximum</w:t>
            </w:r>
          </w:p>
        </w:tc>
        <w:tc>
          <w:tcPr>
            <w:tcW w:w="120" w:type="dxa"/>
            <w:vAlign w:val="bottom"/>
            <w:tcBorders>
              <w:top w:val="single" w:sz="8" w:color="auto"/>
            </w:tcBorders>
          </w:tcPr>
          <w:p>
            <w:pPr>
              <w:spacing w:after="0"/>
              <w:rPr>
                <w:sz w:val="12"/>
                <w:szCs w:val="12"/>
                <w:color w:val="auto"/>
              </w:rPr>
            </w:pPr>
          </w:p>
        </w:tc>
        <w:tc>
          <w:tcPr>
            <w:tcW w:w="1780" w:type="dxa"/>
            <w:vAlign w:val="bottom"/>
            <w:tcBorders>
              <w:top w:val="single" w:sz="8" w:color="auto"/>
              <w:right w:val="single" w:sz="8" w:color="auto"/>
            </w:tcBorders>
          </w:tcPr>
          <w:p>
            <w:pPr>
              <w:jc w:val="center"/>
              <w:ind w:right="428"/>
              <w:spacing w:after="0" w:line="139" w:lineRule="exact"/>
              <w:rPr>
                <w:sz w:val="20"/>
                <w:szCs w:val="20"/>
                <w:color w:val="auto"/>
              </w:rPr>
            </w:pPr>
            <w:r>
              <w:rPr>
                <w:rFonts w:ascii="Arial" w:cs="Arial" w:eastAsia="Arial" w:hAnsi="Arial"/>
                <w:sz w:val="14"/>
                <w:szCs w:val="14"/>
                <w:b w:val="1"/>
                <w:bCs w:val="1"/>
                <w:color w:val="auto"/>
                <w:w w:val="93"/>
              </w:rPr>
              <w:t>Proposed Maximum</w:t>
            </w: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00" w:type="dxa"/>
            <w:vAlign w:val="bottom"/>
            <w:tcBorders>
              <w:left w:val="single" w:sz="8" w:color="auto"/>
              <w:right w:val="single" w:sz="8" w:color="auto"/>
            </w:tcBorders>
            <w:vMerge w:val="restart"/>
          </w:tcPr>
          <w:p>
            <w:pPr>
              <w:ind w:left="880"/>
              <w:spacing w:after="0"/>
              <w:rPr>
                <w:sz w:val="20"/>
                <w:szCs w:val="20"/>
                <w:color w:val="auto"/>
              </w:rPr>
            </w:pPr>
            <w:r>
              <w:rPr>
                <w:rFonts w:ascii="Arial" w:cs="Arial" w:eastAsia="Arial" w:hAnsi="Arial"/>
                <w:sz w:val="14"/>
                <w:szCs w:val="14"/>
                <w:b w:val="1"/>
                <w:bCs w:val="1"/>
                <w:color w:val="auto"/>
              </w:rPr>
              <w:t>Title of Securities Being Registered</w:t>
            </w:r>
          </w:p>
        </w:tc>
        <w:tc>
          <w:tcPr>
            <w:tcW w:w="1160" w:type="dxa"/>
            <w:vAlign w:val="bottom"/>
            <w:tcBorders>
              <w:right w:val="single" w:sz="8" w:color="auto"/>
            </w:tcBorders>
          </w:tcPr>
          <w:p>
            <w:pPr>
              <w:jc w:val="right"/>
              <w:ind w:right="88"/>
              <w:spacing w:after="0" w:line="158" w:lineRule="exact"/>
              <w:rPr>
                <w:sz w:val="20"/>
                <w:szCs w:val="20"/>
                <w:color w:val="auto"/>
              </w:rPr>
            </w:pPr>
            <w:r>
              <w:rPr>
                <w:rFonts w:ascii="Arial" w:cs="Arial" w:eastAsia="Arial" w:hAnsi="Arial"/>
                <w:sz w:val="14"/>
                <w:szCs w:val="14"/>
                <w:b w:val="1"/>
                <w:bCs w:val="1"/>
                <w:color w:val="auto"/>
              </w:rPr>
              <w:t>Amount Being</w:t>
            </w:r>
          </w:p>
        </w:tc>
        <w:tc>
          <w:tcPr>
            <w:tcW w:w="15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20" w:type="dxa"/>
            <w:vAlign w:val="bottom"/>
          </w:tcPr>
          <w:p>
            <w:pPr>
              <w:spacing w:after="0"/>
              <w:rPr>
                <w:sz w:val="13"/>
                <w:szCs w:val="13"/>
                <w:color w:val="auto"/>
              </w:rPr>
            </w:pPr>
          </w:p>
        </w:tc>
        <w:tc>
          <w:tcPr>
            <w:tcW w:w="1780" w:type="dxa"/>
            <w:vAlign w:val="bottom"/>
            <w:tcBorders>
              <w:right w:val="single" w:sz="8" w:color="auto"/>
            </w:tcBorders>
          </w:tcPr>
          <w:p>
            <w:pPr>
              <w:jc w:val="center"/>
              <w:ind w:right="428"/>
              <w:spacing w:after="0" w:line="158" w:lineRule="exact"/>
              <w:rPr>
                <w:sz w:val="20"/>
                <w:szCs w:val="20"/>
                <w:color w:val="auto"/>
              </w:rPr>
            </w:pPr>
            <w:r>
              <w:rPr>
                <w:rFonts w:ascii="Arial" w:cs="Arial" w:eastAsia="Arial" w:hAnsi="Arial"/>
                <w:sz w:val="14"/>
                <w:szCs w:val="14"/>
                <w:b w:val="1"/>
                <w:bCs w:val="1"/>
                <w:color w:val="auto"/>
                <w:w w:val="92"/>
              </w:rPr>
              <w:t>Aggregate</w:t>
            </w:r>
          </w:p>
        </w:tc>
        <w:tc>
          <w:tcPr>
            <w:tcW w:w="120" w:type="dxa"/>
            <w:vAlign w:val="bottom"/>
          </w:tcPr>
          <w:p>
            <w:pPr>
              <w:spacing w:after="0"/>
              <w:rPr>
                <w:sz w:val="13"/>
                <w:szCs w:val="13"/>
                <w:color w:val="auto"/>
              </w:rPr>
            </w:pPr>
          </w:p>
        </w:tc>
        <w:tc>
          <w:tcPr>
            <w:tcW w:w="1640" w:type="dxa"/>
            <w:vAlign w:val="bottom"/>
            <w:tcBorders>
              <w:right w:val="single" w:sz="8" w:color="auto"/>
            </w:tcBorders>
          </w:tcPr>
          <w:p>
            <w:pPr>
              <w:jc w:val="center"/>
              <w:ind w:right="42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38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16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Registered</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w:t>
            </w: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12"/>
                <w:szCs w:val="12"/>
                <w:color w:val="auto"/>
              </w:rPr>
              <w:t>(2)</w:t>
            </w:r>
          </w:p>
        </w:tc>
        <w:tc>
          <w:tcPr>
            <w:tcW w:w="1160" w:type="dxa"/>
            <w:vAlign w:val="bottom"/>
            <w:tcBorders>
              <w:bottom w:val="single" w:sz="8" w:color="auto"/>
              <w:right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jc w:val="right"/>
              <w:ind w:right="13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Preferred Stock, $0.001 par value</w:t>
            </w:r>
            <w:r>
              <w:rPr>
                <w:rFonts w:ascii="Arial" w:cs="Arial" w:eastAsia="Arial" w:hAnsi="Arial"/>
                <w:sz w:val="12"/>
                <w:szCs w:val="12"/>
                <w:color w:val="auto"/>
              </w:rPr>
              <w:t>(2)</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Warrants</w:t>
            </w:r>
            <w:r>
              <w:rPr>
                <w:rFonts w:ascii="Arial" w:cs="Arial" w:eastAsia="Arial" w:hAnsi="Arial"/>
                <w:sz w:val="12"/>
                <w:szCs w:val="12"/>
                <w:color w:val="auto"/>
              </w:rPr>
              <w:t>(2)</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Subscription Rights</w:t>
            </w:r>
            <w:r>
              <w:rPr>
                <w:rFonts w:ascii="Arial" w:cs="Arial" w:eastAsia="Arial" w:hAnsi="Arial"/>
                <w:sz w:val="12"/>
                <w:szCs w:val="12"/>
                <w:color w:val="auto"/>
              </w:rPr>
              <w:t>(3)</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Debt Securities</w:t>
            </w:r>
            <w:r>
              <w:rPr>
                <w:rFonts w:ascii="Arial" w:cs="Arial" w:eastAsia="Arial" w:hAnsi="Arial"/>
                <w:sz w:val="12"/>
                <w:szCs w:val="12"/>
                <w:color w:val="auto"/>
              </w:rPr>
              <w:t>(4)</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Units</w:t>
            </w:r>
            <w:r>
              <w:rPr>
                <w:rFonts w:ascii="Arial" w:cs="Arial" w:eastAsia="Arial" w:hAnsi="Arial"/>
                <w:sz w:val="12"/>
                <w:szCs w:val="12"/>
                <w:color w:val="auto"/>
              </w:rPr>
              <w:t>(5)</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80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right w:val="single" w:sz="8" w:color="auto"/>
            </w:tcBorders>
          </w:tcPr>
          <w:p>
            <w:pPr>
              <w:jc w:val="right"/>
              <w:ind w:right="928"/>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jc w:val="right"/>
              <w:ind w:right="132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750,000,000</w:t>
            </w:r>
            <w:r>
              <w:rPr>
                <w:rFonts w:ascii="Arial" w:cs="Arial" w:eastAsia="Arial" w:hAnsi="Arial"/>
                <w:sz w:val="12"/>
                <w:szCs w:val="12"/>
                <w:color w:val="auto"/>
              </w:rPr>
              <w:t>(6)</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86,925</w:t>
            </w:r>
            <w:r>
              <w:rPr>
                <w:rFonts w:ascii="Arial" w:cs="Arial" w:eastAsia="Arial" w:hAnsi="Arial"/>
                <w:sz w:val="12"/>
                <w:szCs w:val="12"/>
                <w:color w:val="auto"/>
              </w:rPr>
              <w:t>(7)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60" w:right="180" w:hanging="424"/>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86" w:lineRule="exact"/>
        <w:rPr>
          <w:rFonts w:ascii="Arial" w:cs="Arial" w:eastAsia="Arial" w:hAnsi="Arial"/>
          <w:sz w:val="18"/>
          <w:szCs w:val="18"/>
          <w:color w:val="auto"/>
        </w:rPr>
      </w:pPr>
    </w:p>
    <w:p>
      <w:pPr>
        <w:ind w:left="1060" w:right="460" w:hanging="424"/>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Subject to Note 6 below, there is being registered hereunder an indeterminate number of shares of common stock, preferred stock, or warrants as may be sold, from time to time. Warrants represent rights to purchase common stock, preferred stock or debt securities.</w:t>
      </w:r>
    </w:p>
    <w:p>
      <w:pPr>
        <w:spacing w:after="0" w:line="29" w:lineRule="exact"/>
        <w:rPr>
          <w:rFonts w:ascii="Arial" w:cs="Arial" w:eastAsia="Arial" w:hAnsi="Arial"/>
          <w:sz w:val="16"/>
          <w:szCs w:val="16"/>
          <w:color w:val="auto"/>
        </w:rPr>
      </w:pPr>
    </w:p>
    <w:p>
      <w:pPr>
        <w:ind w:left="1060" w:right="180" w:hanging="424"/>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Note 6 below, there is being registered hereunder an indeterminate number of subscription rights as may be sold, from time to time, representing rights to purchase common stock.</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spacing w:after="0" w:line="86" w:lineRule="exact"/>
        <w:rPr>
          <w:rFonts w:ascii="Arial" w:cs="Arial" w:eastAsia="Arial" w:hAnsi="Arial"/>
          <w:sz w:val="18"/>
          <w:szCs w:val="18"/>
          <w:color w:val="auto"/>
        </w:rPr>
      </w:pPr>
    </w:p>
    <w:p>
      <w:pPr>
        <w:ind w:left="1060" w:right="200" w:hanging="424"/>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Subject to Note 6 below, there is being registered hereunder an indeterminate principal amount of units. Each unit may consist of a combination of any one or more of the securities being registered hereunder and may also include securities issued by the U.S. Treasury.</w:t>
      </w:r>
    </w:p>
    <w:p>
      <w:pPr>
        <w:spacing w:after="0" w:line="29" w:lineRule="exact"/>
        <w:rPr>
          <w:rFonts w:ascii="Arial" w:cs="Arial" w:eastAsia="Arial" w:hAnsi="Arial"/>
          <w:sz w:val="16"/>
          <w:szCs w:val="16"/>
          <w:color w:val="auto"/>
        </w:rPr>
      </w:pPr>
    </w:p>
    <w:p>
      <w:pPr>
        <w:ind w:left="1060" w:right="600" w:hanging="424"/>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no event will the aggregate offering price of all securities issued from time to time pursuant to this registration statement exceed $750,000,000.</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113" w:lineRule="exact"/>
        <w:rPr>
          <w:sz w:val="20"/>
          <w:szCs w:val="20"/>
          <w:color w:val="auto"/>
        </w:rPr>
      </w:pPr>
    </w:p>
    <w:p>
      <w:pPr>
        <w:ind w:left="200" w:right="40" w:firstLine="441"/>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ectPr>
          <w:pgSz w:w="11900" w:h="16838" w:orient="portrait"/>
          <w:cols w:equalWidth="0" w:num="1">
            <w:col w:w="11080"/>
          </w:cols>
          <w:pgMar w:left="240" w:top="459" w:right="5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E1A1E"/>
        </w:rPr>
        <w:t>Subject to Completion</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PROSPECTUS</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105410</wp:posOffset>
            </wp:positionV>
            <wp:extent cx="176657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65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Stock</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Warrants</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Subscription Rights</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Debt Securities</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Units</w:t>
      </w:r>
    </w:p>
    <w:p>
      <w:pPr>
        <w:spacing w:after="0" w:line="42" w:lineRule="exact"/>
        <w:rPr>
          <w:sz w:val="20"/>
          <w:szCs w:val="20"/>
          <w:color w:val="auto"/>
        </w:rPr>
      </w:pPr>
    </w:p>
    <w:p>
      <w:pPr>
        <w:ind w:left="200" w:right="300" w:firstLine="55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left="200" w:right="140" w:firstLine="55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59" w:lineRule="exact"/>
        <w:rPr>
          <w:sz w:val="20"/>
          <w:szCs w:val="20"/>
          <w:color w:val="auto"/>
        </w:rPr>
      </w:pPr>
    </w:p>
    <w:p>
      <w:pPr>
        <w:ind w:left="200" w:right="34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left="200" w:right="20" w:firstLine="551"/>
        <w:spacing w:after="0" w:line="308" w:lineRule="auto"/>
        <w:rPr>
          <w:rFonts w:ascii="Arial" w:cs="Arial" w:eastAsia="Arial" w:hAnsi="Arial"/>
          <w:sz w:val="15"/>
          <w:szCs w:val="15"/>
          <w:color w:val="auto"/>
        </w:rPr>
      </w:pPr>
      <w:r>
        <w:rPr>
          <w:rFonts w:ascii="Arial" w:cs="Arial" w:eastAsia="Arial" w:hAnsi="Arial"/>
          <w:sz w:val="15"/>
          <w:szCs w:val="15"/>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page14">
        <w:r>
          <w:rPr>
            <w:rFonts w:ascii="Arial" w:cs="Arial" w:eastAsia="Arial" w:hAnsi="Arial"/>
            <w:sz w:val="15"/>
            <w:szCs w:val="15"/>
            <w:u w:val="single" w:color="auto"/>
            <w:color w:val="0000EE"/>
          </w:rPr>
          <w:t>Risk Factors</w:t>
        </w:r>
      </w:hyperlink>
      <w:r>
        <w:rPr>
          <w:rFonts w:ascii="Arial" w:cs="Arial" w:eastAsia="Arial" w:hAnsi="Arial"/>
          <w:sz w:val="15"/>
          <w:szCs w:val="15"/>
          <w:color w:val="auto"/>
        </w:rPr>
        <w:t>” on page 9 and “</w:t>
      </w:r>
      <w:hyperlink w:anchor="page69">
        <w:r>
          <w:rPr>
            <w:rFonts w:ascii="Arial" w:cs="Arial" w:eastAsia="Arial" w:hAnsi="Arial"/>
            <w:sz w:val="15"/>
            <w:szCs w:val="15"/>
            <w:u w:val="single" w:color="auto"/>
            <w:color w:val="0000EE"/>
          </w:rPr>
          <w:t>Sales of Common Stock Below Net Asset Value</w:t>
        </w:r>
      </w:hyperlink>
      <w:r>
        <w:rPr>
          <w:rFonts w:ascii="Arial" w:cs="Arial" w:eastAsia="Arial" w:hAnsi="Arial"/>
          <w:sz w:val="15"/>
          <w:szCs w:val="15"/>
          <w:color w:val="auto"/>
        </w:rPr>
        <w:t>” on page 64 of this prospectus for more information.</w:t>
      </w:r>
    </w:p>
    <w:p>
      <w:pPr>
        <w:spacing w:after="0" w:line="28" w:lineRule="exact"/>
        <w:rPr>
          <w:sz w:val="20"/>
          <w:szCs w:val="20"/>
          <w:color w:val="auto"/>
        </w:rPr>
      </w:pPr>
    </w:p>
    <w:p>
      <w:pPr>
        <w:ind w:left="200" w:right="360" w:firstLine="551"/>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“PNNT.” The last reported closing price for our common stock on April 11, 2019 was $7.04 per share, and our net asset value on December 31, 2018 was $9.05 per share.</w:t>
      </w:r>
    </w:p>
    <w:p>
      <w:pPr>
        <w:spacing w:after="0" w:line="51" w:lineRule="exact"/>
        <w:rPr>
          <w:sz w:val="20"/>
          <w:szCs w:val="20"/>
          <w:color w:val="auto"/>
        </w:rPr>
      </w:pPr>
    </w:p>
    <w:p>
      <w:pPr>
        <w:ind w:left="200" w:firstLine="551"/>
        <w:spacing w:after="0" w:line="254" w:lineRule="auto"/>
        <w:rPr>
          <w:sz w:val="20"/>
          <w:szCs w:val="20"/>
          <w:color w:val="auto"/>
        </w:rPr>
      </w:pPr>
      <w:r>
        <w:rPr>
          <w:rFonts w:ascii="Arial" w:cs="Arial" w:eastAsia="Arial" w:hAnsi="Arial"/>
          <w:sz w:val="18"/>
          <w:szCs w:val="18"/>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information on our website is not incorporated by reference into this prospectus. The SEC also maintains a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53975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5" w:lineRule="exact"/>
        <w:rPr>
          <w:sz w:val="20"/>
          <w:szCs w:val="20"/>
          <w:color w:val="auto"/>
        </w:rPr>
      </w:pPr>
    </w:p>
    <w:p>
      <w:pPr>
        <w:ind w:left="200" w:right="80" w:firstLine="44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52705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3" w:lineRule="exact"/>
        <w:rPr>
          <w:sz w:val="20"/>
          <w:szCs w:val="20"/>
          <w:color w:val="auto"/>
        </w:rPr>
      </w:pPr>
    </w:p>
    <w:p>
      <w:pPr>
        <w:ind w:left="200" w:right="480" w:firstLine="441"/>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tbl>
      <w:tblPr>
        <w:tblLayout w:type="fixed"/>
        <w:tblInd w:w="4400" w:type="dxa"/>
        <w:tblCellMar>
          <w:top w:w="0" w:type="dxa"/>
          <w:left w:w="0" w:type="dxa"/>
          <w:bottom w:w="0" w:type="dxa"/>
          <w:right w:w="0" w:type="dxa"/>
        </w:tblCellMar>
      </w:tblP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firstLine="551"/>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140" w:type="dxa"/>
            <w:vAlign w:val="bottom"/>
            <w:gridSpan w:val="6"/>
          </w:tcPr>
          <w:p>
            <w:pPr>
              <w:ind w:left="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40" w:type="dxa"/>
            <w:vAlign w:val="bottom"/>
            <w:gridSpan w:val="11"/>
            <w:vMerge w:val="restart"/>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PROSPECTUS SUMMARY</w:t>
              </w:r>
            </w:hyperlink>
          </w:p>
        </w:tc>
        <w:tc>
          <w:tcPr>
            <w:tcW w:w="8620" w:type="dxa"/>
            <w:vAlign w:val="bottom"/>
            <w:gridSpan w:val="23"/>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040" w:type="dxa"/>
            <w:vAlign w:val="bottom"/>
            <w:tcBorders>
              <w:bottom w:val="single" w:sz="8" w:color="0000EE"/>
            </w:tcBorders>
            <w:gridSpan w:val="11"/>
            <w:vMerge w:val="continue"/>
          </w:tcPr>
          <w:p>
            <w:pPr>
              <w:spacing w:after="0"/>
              <w:rPr>
                <w:sz w:val="14"/>
                <w:szCs w:val="14"/>
                <w:color w:val="auto"/>
              </w:rPr>
            </w:pPr>
          </w:p>
        </w:tc>
        <w:tc>
          <w:tcPr>
            <w:tcW w:w="8620" w:type="dxa"/>
            <w:vAlign w:val="bottom"/>
            <w:gridSpan w:val="23"/>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FEES AND EXPENSES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920" w:type="dxa"/>
            <w:vAlign w:val="bottom"/>
            <w:gridSpan w:val="2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USE OF PROCEEDS</w:t>
              </w:r>
            </w:hyperlink>
          </w:p>
        </w:tc>
        <w:tc>
          <w:tcPr>
            <w:tcW w:w="780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SENIOR SECURITIES</w:t>
              </w:r>
            </w:hyperlink>
          </w:p>
        </w:tc>
        <w:tc>
          <w:tcPr>
            <w:tcW w:w="7020" w:type="dxa"/>
            <w:vAlign w:val="bottom"/>
            <w:tcBorders>
              <w:top w:val="single" w:sz="8" w:color="0000EE"/>
            </w:tcBorders>
            <w:gridSpan w:val="25"/>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PRICE RANGE OF COMMON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SALES OF COMMON STOCK BELOW NET ASSET VALUE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DISTRIBUTIONS</w:t>
              </w:r>
            </w:hyperlink>
          </w:p>
        </w:tc>
        <w:tc>
          <w:tcPr>
            <w:tcW w:w="3180" w:type="dxa"/>
            <w:vAlign w:val="bottom"/>
            <w:tcBorders>
              <w:top w:val="single" w:sz="8" w:color="0000EE"/>
            </w:tcBorders>
            <w:gridSpan w:val="23"/>
          </w:tcPr>
          <w:p>
            <w:pPr>
              <w:spacing w:after="0"/>
              <w:rPr>
                <w:sz w:val="17"/>
                <w:szCs w:val="17"/>
                <w:color w:val="auto"/>
              </w:rPr>
            </w:pPr>
          </w:p>
        </w:tc>
        <w:tc>
          <w:tcPr>
            <w:tcW w:w="61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BUSINESS</w:t>
              </w:r>
            </w:hyperlink>
          </w:p>
        </w:tc>
        <w:tc>
          <w:tcPr>
            <w:tcW w:w="9820" w:type="dxa"/>
            <w:vAlign w:val="bottom"/>
            <w:gridSpan w:val="3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PORTFOLIO COMPANIES</w:t>
              </w:r>
            </w:hyperlink>
          </w:p>
        </w:tc>
        <w:tc>
          <w:tcPr>
            <w:tcW w:w="722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92">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866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CONTROL PERSONS AND PRINCIPAL STOCKHOLDERS</w:t>
              </w:r>
            </w:hyperlink>
          </w:p>
        </w:tc>
        <w:tc>
          <w:tcPr>
            <w:tcW w:w="62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CERTAIN RELATIONSHIPS AND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39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DETERMINATION OF NET ASSET VALUE</w:t>
              </w:r>
            </w:hyperlink>
          </w:p>
        </w:tc>
        <w:tc>
          <w:tcPr>
            <w:tcW w:w="674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6"/>
              </w:rPr>
            </w:pPr>
            <w:hyperlink w:anchor="page109">
              <w:r>
                <w:rPr>
                  <w:rFonts w:ascii="Arial" w:cs="Arial" w:eastAsia="Arial" w:hAnsi="Arial"/>
                  <w:sz w:val="18"/>
                  <w:szCs w:val="18"/>
                  <w:color w:val="0000EE"/>
                  <w:w w:val="96"/>
                </w:rPr>
                <w:t>DIVIDEND REINVESTMENT PLAN</w:t>
              </w:r>
            </w:hyperlink>
          </w:p>
        </w:tc>
        <w:tc>
          <w:tcPr>
            <w:tcW w:w="520" w:type="dxa"/>
            <w:vAlign w:val="bottom"/>
            <w:tcBorders>
              <w:top w:val="single" w:sz="8" w:color="0000EE"/>
            </w:tcBorders>
            <w:gridSpan w:val="5"/>
          </w:tcPr>
          <w:p>
            <w:pPr>
              <w:spacing w:after="0"/>
              <w:rPr>
                <w:sz w:val="17"/>
                <w:szCs w:val="17"/>
                <w:color w:val="auto"/>
              </w:rPr>
            </w:pPr>
          </w:p>
        </w:tc>
        <w:tc>
          <w:tcPr>
            <w:tcW w:w="73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DESCRIPTION OF OUR CAPITAL STOCK</w:t>
              </w:r>
            </w:hyperlink>
          </w:p>
        </w:tc>
        <w:tc>
          <w:tcPr>
            <w:tcW w:w="744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28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118">
              <w:r>
                <w:rPr>
                  <w:rFonts w:ascii="Arial" w:cs="Arial" w:eastAsia="Arial" w:hAnsi="Arial"/>
                  <w:sz w:val="18"/>
                  <w:szCs w:val="18"/>
                  <w:color w:val="0000EE"/>
                  <w:w w:val="92"/>
                </w:rPr>
                <w:t>DESCRIPTION OF OUR WARRANTS</w:t>
              </w:r>
            </w:hyperlink>
          </w:p>
        </w:tc>
        <w:tc>
          <w:tcPr>
            <w:tcW w:w="640" w:type="dxa"/>
            <w:vAlign w:val="bottom"/>
            <w:tcBorders>
              <w:top w:val="single" w:sz="8" w:color="0000EE"/>
            </w:tcBorders>
            <w:gridSpan w:val="7"/>
          </w:tcPr>
          <w:p>
            <w:pPr>
              <w:spacing w:after="0"/>
              <w:rPr>
                <w:sz w:val="17"/>
                <w:szCs w:val="17"/>
                <w:color w:val="auto"/>
              </w:rPr>
            </w:pPr>
          </w:p>
        </w:tc>
        <w:tc>
          <w:tcPr>
            <w:tcW w:w="718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DESCRIPTION OF OUR SUBSCRIPTION RIGHTS</w:t>
              </w:r>
            </w:hyperlink>
          </w:p>
        </w:tc>
        <w:tc>
          <w:tcPr>
            <w:tcW w:w="68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DESCRIPTION OF OUR DEBT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DESCRIPTION OF OUR UNITS</w:t>
              </w:r>
            </w:hyperlink>
          </w:p>
        </w:tc>
        <w:tc>
          <w:tcPr>
            <w:tcW w:w="73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37">
              <w:r>
                <w:rPr>
                  <w:rFonts w:ascii="Arial" w:cs="Arial" w:eastAsia="Arial" w:hAnsi="Arial"/>
                  <w:sz w:val="18"/>
                  <w:szCs w:val="18"/>
                  <w:color w:val="0000EE"/>
                  <w:w w:val="93"/>
                </w:rPr>
                <w:t>REGULATION</w:t>
              </w:r>
            </w:hyperlink>
          </w:p>
        </w:tc>
        <w:tc>
          <w:tcPr>
            <w:tcW w:w="1260" w:type="dxa"/>
            <w:vAlign w:val="bottom"/>
            <w:tcBorders>
              <w:top w:val="single" w:sz="8" w:color="0000EE"/>
            </w:tcBorders>
            <w:gridSpan w:val="11"/>
          </w:tcPr>
          <w:p>
            <w:pPr>
              <w:spacing w:after="0"/>
              <w:rPr>
                <w:sz w:val="17"/>
                <w:szCs w:val="17"/>
                <w:color w:val="auto"/>
              </w:rPr>
            </w:pPr>
          </w:p>
        </w:tc>
        <w:tc>
          <w:tcPr>
            <w:tcW w:w="828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143">
              <w:r>
                <w:rPr>
                  <w:rFonts w:ascii="Arial" w:cs="Arial" w:eastAsia="Arial" w:hAnsi="Arial"/>
                  <w:sz w:val="18"/>
                  <w:szCs w:val="18"/>
                  <w:color w:val="0000EE"/>
                  <w:w w:val="93"/>
                </w:rPr>
                <w:t>BROKERAGE ALLOCATIONS AND OTHER PRACTICES</w:t>
              </w:r>
            </w:hyperlink>
          </w:p>
        </w:tc>
        <w:tc>
          <w:tcPr>
            <w:tcW w:w="62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44">
              <w:r>
                <w:rPr>
                  <w:rFonts w:ascii="Arial" w:cs="Arial" w:eastAsia="Arial" w:hAnsi="Arial"/>
                  <w:sz w:val="18"/>
                  <w:szCs w:val="18"/>
                  <w:color w:val="0000EE"/>
                  <w:w w:val="94"/>
                </w:rPr>
                <w:t>MATERIAL U.S. FEDERAL INCOME TAX CONSIDERATIONS</w:t>
              </w:r>
            </w:hyperlink>
          </w:p>
        </w:tc>
        <w:tc>
          <w:tcPr>
            <w:tcW w:w="590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PLAN OF DISTRIBUTION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40" w:type="dxa"/>
            <w:vAlign w:val="bottom"/>
            <w:gridSpan w:val="15"/>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153">
              <w:r>
                <w:rPr>
                  <w:rFonts w:ascii="Arial" w:cs="Arial" w:eastAsia="Arial" w:hAnsi="Arial"/>
                  <w:sz w:val="18"/>
                  <w:szCs w:val="18"/>
                  <w:color w:val="0000EE"/>
                  <w:w w:val="92"/>
                </w:rPr>
                <w:t>INCORPORATION OF CERTAIN INFORMATION BY REFERENCE</w:t>
              </w:r>
            </w:hyperlink>
          </w:p>
        </w:tc>
        <w:tc>
          <w:tcPr>
            <w:tcW w:w="56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0000EE"/>
            </w:tcBorders>
            <w:gridSpan w:val="31"/>
          </w:tcPr>
          <w:p>
            <w:pPr>
              <w:spacing w:after="0" w:line="196" w:lineRule="exact"/>
              <w:rPr>
                <w:rFonts w:ascii="Arial" w:cs="Arial" w:eastAsia="Arial" w:hAnsi="Arial"/>
                <w:sz w:val="18"/>
                <w:szCs w:val="18"/>
                <w:color w:val="0000EE"/>
                <w:w w:val="94"/>
              </w:rPr>
            </w:pPr>
            <w:hyperlink w:anchor="page154">
              <w:r>
                <w:rPr>
                  <w:rFonts w:ascii="Arial" w:cs="Arial" w:eastAsia="Arial" w:hAnsi="Arial"/>
                  <w:sz w:val="18"/>
                  <w:szCs w:val="18"/>
                  <w:color w:val="0000EE"/>
                  <w:w w:val="94"/>
                </w:rPr>
                <w:t>SUB-ADMINISTRATOR, CUSTODIAN, TRANSFER AGENT AND TRUSTEE</w:t>
              </w:r>
            </w:hyperlink>
          </w:p>
        </w:tc>
        <w:tc>
          <w:tcPr>
            <w:tcW w:w="48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20" w:type="dxa"/>
            <w:vAlign w:val="bottom"/>
            <w:gridSpan w:val="19"/>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4"/>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INDEPENDENT REGISTERED PUBLIC ACCOUNTING FIRM/INDEPENDENT AUDITOR</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196"/>
        </w:trPr>
        <w:tc>
          <w:tcPr>
            <w:tcW w:w="67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INDEX TO CONSOLIDATED FINANCIAL STATEMENTS</w:t>
              </w:r>
            </w:hyperlink>
          </w:p>
        </w:tc>
        <w:tc>
          <w:tcPr>
            <w:tcW w:w="38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firstLine="551"/>
        <w:spacing w:after="0" w:line="307"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426"/>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all of which are consolidated with PennantPark Investment for financial reporting purposes; “PennantPark Investment Advisers” or “Investment Adviser” refers to PennantPark Investment Advisers, LLC; “PennantPark Investment Administration” or “Administrator” refers to PennantPark Investment Administration, LLC; “SBA” refers to the Small Business Administration; “Credit Facility” refers to our multi-currency, senior secured revolving credit facility, as amended and restated; “2025 Notes” refers to our 6.25% notes due 2025; “2019 Notes” refers to our 4.50% notes due 2019; “our Notes” refers, collectively, to our 2025 Notes and our 2019 Notes;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41" w:lineRule="exact"/>
        <w:rPr>
          <w:sz w:val="20"/>
          <w:szCs w:val="20"/>
          <w:color w:val="auto"/>
        </w:rPr>
      </w:pPr>
    </w:p>
    <w:p>
      <w:pPr>
        <w:ind w:left="380" w:right="40" w:firstLine="426"/>
        <w:spacing w:after="0" w:line="269" w:lineRule="auto"/>
        <w:rPr>
          <w:sz w:val="20"/>
          <w:szCs w:val="20"/>
          <w:color w:val="auto"/>
        </w:rPr>
      </w:pPr>
      <w:r>
        <w:rPr>
          <w:rFonts w:ascii="Arial" w:cs="Arial" w:eastAsia="Arial" w:hAnsi="Arial"/>
          <w:sz w:val="17"/>
          <w:szCs w:val="17"/>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 For a description of our Credit Facility, please see “Management’s Discussion and Analysis of Financial Condition and Results of Operations—Liquidity and Capital Resources.”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380" w:right="240" w:firstLine="42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Our wholly owned subsidiaries, SBIC LP and SBIC II, were organized in Delaware as limited partnerships in May 2010 and July 2012, respectively. SBIC LP and SBIC II received licenses from the SBA to operate as SBICs under Section 301(c) of the Small Business Investment Act of 1958, as amended, or the 1958 Act, in 2010 and 2013, respectively. As of December 31, 2018, SBIC LP and SBIC II held approximately $80.5 million and $226.6 million in assets, respectively, which accounted for 6.6% and 18.5% of our total assets.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$8.8 billion in 507 companies with approximately 180 different financial sponsors through its managed funds.</w:t>
      </w:r>
    </w:p>
    <w:p>
      <w:pPr>
        <w:spacing w:after="0" w:line="167" w:lineRule="exact"/>
        <w:rPr>
          <w:sz w:val="20"/>
          <w:szCs w:val="20"/>
          <w:color w:val="auto"/>
        </w:rPr>
      </w:pPr>
    </w:p>
    <w:p>
      <w:pPr>
        <w:ind w:left="380" w:right="240" w:firstLine="426"/>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9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63931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for more information.</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93" w:lineRule="exact"/>
        <w:rPr>
          <w:sz w:val="20"/>
          <w:szCs w:val="20"/>
          <w:color w:val="auto"/>
        </w:rPr>
      </w:pPr>
    </w:p>
    <w:p>
      <w:pPr>
        <w:ind w:left="380" w:right="140" w:firstLine="426"/>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We currently use and expect to continue to use leverage to make investments. As a result, we may continue to be exposed to the risks associated with leverage. See “Risk Factors—Risks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110% and 150% of our net assets. We cannot assure investors that our leverage will remain within that range. The amount of leverage that we employ will depend on our assessment of the market and other factors at the time of any proposed borrowing.</w:t>
      </w:r>
    </w:p>
    <w:p>
      <w:pPr>
        <w:spacing w:after="0" w:line="193" w:lineRule="exact"/>
        <w:rPr>
          <w:sz w:val="20"/>
          <w:szCs w:val="20"/>
          <w:color w:val="auto"/>
        </w:rPr>
      </w:pPr>
    </w:p>
    <w:p>
      <w:pPr>
        <w:ind w:left="380" w:right="60" w:firstLine="426"/>
        <w:spacing w:after="0" w:line="264" w:lineRule="auto"/>
        <w:rPr>
          <w:sz w:val="20"/>
          <w:szCs w:val="20"/>
          <w:color w:val="auto"/>
        </w:rPr>
      </w:pPr>
      <w:r>
        <w:rPr>
          <w:rFonts w:ascii="Arial" w:cs="Arial" w:eastAsia="Arial" w:hAnsi="Arial"/>
          <w:sz w:val="18"/>
          <w:szCs w:val="18"/>
          <w:color w:val="auto"/>
        </w:rPr>
        <w:t>On November 13, 2018 and February 5, 2019, our board of directors and stockholders, respectively, approved the application of the modified asset coverage requirements set forth in Section 61(a)(2) of the 1940 Act, as amended by the Consolidated Appropriations Act of 2018 (which includes the Small Business Credit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spacing w:after="0" w:line="259" w:lineRule="auto"/>
        <w:rPr>
          <w:sz w:val="20"/>
          <w:szCs w:val="20"/>
          <w:color w:val="auto"/>
        </w:rPr>
      </w:pPr>
      <w:r>
        <w:rPr>
          <w:rFonts w:ascii="Arial" w:cs="Arial" w:eastAsia="Arial" w:hAnsi="Arial"/>
          <w:sz w:val="18"/>
          <w:szCs w:val="18"/>
          <w:color w:val="auto"/>
        </w:rPr>
        <w:t>Availability Act, or SBCAA). As a result, the asset coverage requirements applicable to us for senior securities reduced from 200% (i.e., $1 of debt outstanding for each $1 of equity) to 150% (i.e., $2 of debt outstanding for each $1 of equity) effective as of February 5, 2019, subject to compliance with certain disclosure requirements. See “Management’s Discussion and Analysis of Financial Condition and Results of Operations— Liquidity and Capital Resources” for more information.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71" w:lineRule="exact"/>
        <w:rPr>
          <w:sz w:val="20"/>
          <w:szCs w:val="20"/>
          <w:color w:val="auto"/>
        </w:rPr>
      </w:pPr>
    </w:p>
    <w:p>
      <w:pPr>
        <w:ind w:left="380" w:right="60" w:firstLine="426"/>
        <w:spacing w:after="0" w:line="273" w:lineRule="auto"/>
        <w:rPr>
          <w:sz w:val="20"/>
          <w:szCs w:val="20"/>
          <w:color w:val="auto"/>
        </w:rPr>
      </w:pPr>
      <w:r>
        <w:rPr>
          <w:rFonts w:ascii="Arial" w:cs="Arial" w:eastAsia="Arial" w:hAnsi="Arial"/>
          <w:sz w:val="17"/>
          <w:szCs w:val="17"/>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 See “Certain Relationships and Transactions—Administration Agreement” for more information.</w:t>
      </w:r>
    </w:p>
    <w:p>
      <w:pPr>
        <w:spacing w:after="0" w:line="178"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87" w:lineRule="exact"/>
        <w:rPr>
          <w:sz w:val="20"/>
          <w:szCs w:val="20"/>
          <w:color w:val="auto"/>
        </w:rPr>
      </w:pPr>
    </w:p>
    <w:p>
      <w:pPr>
        <w:jc w:val="both"/>
        <w:ind w:left="380" w:right="100" w:firstLine="426"/>
        <w:spacing w:after="0" w:line="264"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80" w:right="100" w:firstLine="426"/>
        <w:spacing w:after="0" w:line="312"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80" w:right="20" w:firstLine="426"/>
        <w:spacing w:after="0" w:line="277" w:lineRule="auto"/>
        <w:rPr>
          <w:sz w:val="20"/>
          <w:szCs w:val="20"/>
          <w:color w:val="auto"/>
        </w:rPr>
      </w:pPr>
      <w:r>
        <w:rPr>
          <w:rFonts w:ascii="Arial" w:cs="Arial" w:eastAsia="Arial" w:hAnsi="Arial"/>
          <w:sz w:val="18"/>
          <w:szCs w:val="18"/>
          <w:color w:val="auto"/>
        </w:rPr>
        <w:t>We may issue preferred stock from time to time, although we have no immediate intention to do so. Any such preferred stock will be a senior security for purposes of the 1940 Act and, accordingly, subject to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59" w:lineRule="auto"/>
        <w:rPr>
          <w:sz w:val="20"/>
          <w:szCs w:val="20"/>
          <w:color w:val="auto"/>
        </w:rPr>
      </w:pPr>
      <w:r>
        <w:rPr>
          <w:rFonts w:ascii="Arial" w:cs="Arial" w:eastAsia="Arial" w:hAnsi="Arial"/>
          <w:sz w:val="18"/>
          <w:szCs w:val="18"/>
          <w:color w:val="auto"/>
        </w:rPr>
        <w:t>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80" w:right="140" w:firstLine="533"/>
        <w:spacing w:after="0" w:line="276"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170" w:lineRule="exact"/>
        <w:rPr>
          <w:sz w:val="20"/>
          <w:szCs w:val="20"/>
          <w:color w:val="auto"/>
        </w:rPr>
      </w:pPr>
    </w:p>
    <w:p>
      <w:pPr>
        <w:ind w:left="38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80" w:right="46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80" w:right="40" w:firstLine="426"/>
        <w:spacing w:after="0" w:line="273" w:lineRule="auto"/>
        <w:rPr>
          <w:sz w:val="20"/>
          <w:szCs w:val="20"/>
          <w:color w:val="auto"/>
        </w:rPr>
      </w:pPr>
      <w:r>
        <w:rPr>
          <w:rFonts w:ascii="Arial" w:cs="Arial" w:eastAsia="Arial" w:hAnsi="Arial"/>
          <w:sz w:val="17"/>
          <w:szCs w:val="17"/>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(i.e., $1 of debt outstanding for each $1 of equity) to 150% (i.e., $2 of debt outstanding for each $1 of equity),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78"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On January 31, 2019, the Company announced the redemption of $250.0 million outstanding aggregate principal amount of its 2019 Notes due October 1, 2019. The 2019 Notes were prepaid at 100% of the principal amount, plus accrued and unpaid interest through the payment date of March 4, 2019, as well as a make-whole premium.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854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3854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On February 22, 2019, PennantPark Investment Funding I, LLC (the “</w:t>
      </w:r>
      <w:r>
        <w:rPr>
          <w:rFonts w:ascii="Arial" w:cs="Arial" w:eastAsia="Arial" w:hAnsi="Arial"/>
          <w:sz w:val="16"/>
          <w:szCs w:val="16"/>
          <w:u w:val="single" w:color="auto"/>
          <w:color w:val="auto"/>
        </w:rPr>
        <w:t>Borrower</w:t>
      </w:r>
      <w:r>
        <w:rPr>
          <w:rFonts w:ascii="Arial" w:cs="Arial" w:eastAsia="Arial" w:hAnsi="Arial"/>
          <w:sz w:val="16"/>
          <w:szCs w:val="16"/>
          <w:color w:val="auto"/>
        </w:rPr>
        <w:t>”), a wholly-owned subsidiary of the Company, entered into a credit facility (the “</w:t>
      </w:r>
      <w:r>
        <w:rPr>
          <w:rFonts w:ascii="Arial" w:cs="Arial" w:eastAsia="Arial" w:hAnsi="Arial"/>
          <w:sz w:val="16"/>
          <w:szCs w:val="16"/>
          <w:u w:val="single" w:color="auto"/>
          <w:color w:val="auto"/>
        </w:rPr>
        <w:t>BNP Credit Facility</w:t>
      </w:r>
      <w:r>
        <w:rPr>
          <w:rFonts w:ascii="Arial" w:cs="Arial" w:eastAsia="Arial" w:hAnsi="Arial"/>
          <w:sz w:val="16"/>
          <w:szCs w:val="16"/>
          <w:color w:val="auto"/>
        </w:rPr>
        <w:t>”, together with the Credit Facility, the “Credit Facilities”). In connection with the BNP Credit Facility, the Borrower entered into, among other agreements, (i) the revolving credit and security agreement (the “</w:t>
      </w:r>
      <w:r>
        <w:rPr>
          <w:rFonts w:ascii="Arial" w:cs="Arial" w:eastAsia="Arial" w:hAnsi="Arial"/>
          <w:sz w:val="16"/>
          <w:szCs w:val="16"/>
          <w:u w:val="single" w:color="auto"/>
          <w:color w:val="auto"/>
        </w:rPr>
        <w:t>BNP Credit Agreement</w:t>
      </w:r>
      <w:r>
        <w:rPr>
          <w:rFonts w:ascii="Arial" w:cs="Arial" w:eastAsia="Arial" w:hAnsi="Arial"/>
          <w:sz w:val="16"/>
          <w:szCs w:val="16"/>
          <w:color w:val="auto"/>
        </w:rPr>
        <w:t>”) with the lenders from time to time parties thereto, BNP Paribas, as administrative agent, the Company, as equityholder, PennantPark Investment Advisers, LLC, as servicer (in such capacity, the “</w:t>
      </w:r>
      <w:r>
        <w:rPr>
          <w:rFonts w:ascii="Arial" w:cs="Arial" w:eastAsia="Arial" w:hAnsi="Arial"/>
          <w:sz w:val="16"/>
          <w:szCs w:val="16"/>
          <w:u w:val="single" w:color="auto"/>
          <w:color w:val="auto"/>
        </w:rPr>
        <w:t>Servicer</w:t>
      </w:r>
      <w:r>
        <w:rPr>
          <w:rFonts w:ascii="Arial" w:cs="Arial" w:eastAsia="Arial" w:hAnsi="Arial"/>
          <w:sz w:val="16"/>
          <w:szCs w:val="16"/>
          <w:color w:val="auto"/>
        </w:rPr>
        <w:t>”), and The Bank of New York Mellon Trust Company, National Association (the “</w:t>
      </w:r>
      <w:r>
        <w:rPr>
          <w:rFonts w:ascii="Arial" w:cs="Arial" w:eastAsia="Arial" w:hAnsi="Arial"/>
          <w:sz w:val="16"/>
          <w:szCs w:val="16"/>
          <w:u w:val="single" w:color="auto"/>
          <w:color w:val="auto"/>
        </w:rPr>
        <w:t>Bank</w:t>
      </w:r>
      <w:r>
        <w:rPr>
          <w:rFonts w:ascii="Arial" w:cs="Arial" w:eastAsia="Arial" w:hAnsi="Arial"/>
          <w:sz w:val="16"/>
          <w:szCs w:val="16"/>
          <w:color w:val="auto"/>
        </w:rPr>
        <w:t>”),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(ii) the account control agreement (the “</w:t>
      </w:r>
      <w:r>
        <w:rPr>
          <w:rFonts w:ascii="Arial" w:cs="Arial" w:eastAsia="Arial" w:hAnsi="Arial"/>
          <w:sz w:val="16"/>
          <w:szCs w:val="16"/>
          <w:u w:val="single" w:color="auto"/>
          <w:color w:val="auto"/>
        </w:rPr>
        <w:t>Control Agreement</w:t>
      </w:r>
      <w:r>
        <w:rPr>
          <w:rFonts w:ascii="Arial" w:cs="Arial" w:eastAsia="Arial" w:hAnsi="Arial"/>
          <w:sz w:val="16"/>
          <w:szCs w:val="16"/>
          <w:color w:val="auto"/>
        </w:rPr>
        <w:t>”), by and among the Borrower, the Bank, as secured party (in such capacity, the “</w:t>
      </w:r>
      <w:r>
        <w:rPr>
          <w:rFonts w:ascii="Arial" w:cs="Arial" w:eastAsia="Arial" w:hAnsi="Arial"/>
          <w:sz w:val="16"/>
          <w:szCs w:val="16"/>
          <w:u w:val="single" w:color="auto"/>
          <w:color w:val="auto"/>
        </w:rPr>
        <w:t>Secured Party</w:t>
      </w:r>
      <w:r>
        <w:rPr>
          <w:rFonts w:ascii="Arial" w:cs="Arial" w:eastAsia="Arial" w:hAnsi="Arial"/>
          <w:sz w:val="16"/>
          <w:szCs w:val="16"/>
          <w:color w:val="auto"/>
        </w:rPr>
        <w:t>”), the Servicer, and the Bank, as securities intermediary, (iii) the custodian agreement (the “</w:t>
      </w:r>
      <w:r>
        <w:rPr>
          <w:rFonts w:ascii="Arial" w:cs="Arial" w:eastAsia="Arial" w:hAnsi="Arial"/>
          <w:sz w:val="16"/>
          <w:szCs w:val="16"/>
          <w:u w:val="single" w:color="auto"/>
          <w:color w:val="auto"/>
        </w:rPr>
        <w:t>Custodian Agreement</w:t>
      </w:r>
      <w:r>
        <w:rPr>
          <w:rFonts w:ascii="Arial" w:cs="Arial" w:eastAsia="Arial" w:hAnsi="Arial"/>
          <w:sz w:val="16"/>
          <w:szCs w:val="16"/>
          <w:color w:val="auto"/>
        </w:rPr>
        <w:t>”), by and among the Borrower, the Bank, as custodian (in such capacity, the “</w:t>
      </w:r>
      <w:r>
        <w:rPr>
          <w:rFonts w:ascii="Arial" w:cs="Arial" w:eastAsia="Arial" w:hAnsi="Arial"/>
          <w:sz w:val="16"/>
          <w:szCs w:val="16"/>
          <w:u w:val="single" w:color="auto"/>
          <w:color w:val="auto"/>
        </w:rPr>
        <w:t>Custodian</w:t>
      </w:r>
      <w:r>
        <w:rPr>
          <w:rFonts w:ascii="Arial" w:cs="Arial" w:eastAsia="Arial" w:hAnsi="Arial"/>
          <w:sz w:val="16"/>
          <w:szCs w:val="16"/>
          <w:color w:val="auto"/>
        </w:rPr>
        <w:t>”), and the Collateral Agent, and (iv) the purchase and sale agreement (the “</w:t>
      </w:r>
      <w:r>
        <w:rPr>
          <w:rFonts w:ascii="Arial" w:cs="Arial" w:eastAsia="Arial" w:hAnsi="Arial"/>
          <w:sz w:val="16"/>
          <w:szCs w:val="16"/>
          <w:u w:val="single" w:color="auto"/>
          <w:color w:val="auto"/>
        </w:rPr>
        <w:t>Purchase and Sale Agreement</w:t>
      </w:r>
      <w:r>
        <w:rPr>
          <w:rFonts w:ascii="Arial" w:cs="Arial" w:eastAsia="Arial" w:hAnsi="Arial"/>
          <w:sz w:val="16"/>
          <w:szCs w:val="16"/>
          <w:color w:val="auto"/>
        </w:rPr>
        <w:t>”), by and between the Borrower and the Company, as seller.</w:t>
      </w:r>
    </w:p>
    <w:p>
      <w:pPr>
        <w:spacing w:after="0" w:line="167"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The BNP Credit Agreement provides for borrowings in an aggregate amount up to $250,000,000. Borrowings under the BNP Credit Agreement will bear interest based on an annual adjusted London interbank offered rate for the relevant interest period, plus an applicable spread. Interest is payable quarterly in arrears. Any amounts borrowed under the BNP Credit Agreement will mature, and all accrued and unpaid interest thereunder will be due and payable, on the earlier of (i) February 22, 2024 or (ii) upon certain other events which result in accelerated maturity under the BNP Credit Facility. Borrowing under the BNP Credit Facility is subject to certain restrictions contained in the Investment Company Act of 1940, as amended. Borrowings under the BNP Credit Agreement are secured by all of the assets held by the Borrower.</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24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right="80" w:firstLine="551"/>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Sales load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Management fees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2.73%</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1.70%</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4.00%</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0.92%</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r>
        <w:trPr>
          <w:trHeight w:val="20"/>
        </w:trPr>
        <w:tc>
          <w:tcPr>
            <w:tcW w:w="10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320" w:type="dxa"/>
            <w:vAlign w:val="bottom"/>
            <w:gridSpan w:val="2"/>
            <w:vMerge w:val="continue"/>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9.35%</w:t>
            </w:r>
            <w:r>
              <w:rPr>
                <w:rFonts w:ascii="Arial" w:cs="Arial" w:eastAsia="Arial" w:hAnsi="Arial"/>
                <w:sz w:val="15"/>
                <w:szCs w:val="15"/>
                <w:color w:val="auto"/>
                <w:w w:val="97"/>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694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4" w:lineRule="exact"/>
        <w:rPr>
          <w:sz w:val="20"/>
          <w:szCs w:val="20"/>
          <w:color w:val="auto"/>
        </w:rPr>
      </w:pPr>
    </w:p>
    <w:p>
      <w:pPr>
        <w:ind w:left="640" w:right="840" w:hanging="436"/>
        <w:spacing w:after="0" w:line="25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December 31, 2018.</w:t>
      </w:r>
    </w:p>
    <w:p>
      <w:pPr>
        <w:spacing w:after="0" w:line="9"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1.50% of our average adjusted gross assets on December 31, 2018. See “Certain Relationships and Transactions—Investment Management Agreement” for more information.</w:t>
      </w:r>
    </w:p>
    <w:p>
      <w:pPr>
        <w:ind w:left="640" w:right="80" w:hanging="436"/>
        <w:spacing w:after="0" w:line="265"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three months ended December 31, 2018,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three months ended December 31, 2018. For more detailed information about the incentive fee, please see “Certain Relationships and Transactions—Investment Management Agreement” for more information.</w:t>
      </w:r>
    </w:p>
    <w:p>
      <w:pPr>
        <w:spacing w:after="0" w:line="2" w:lineRule="exact"/>
        <w:rPr>
          <w:rFonts w:ascii="Arial" w:cs="Arial" w:eastAsia="Arial" w:hAnsi="Arial"/>
          <w:sz w:val="17"/>
          <w:szCs w:val="17"/>
          <w:color w:val="auto"/>
        </w:rPr>
      </w:pPr>
    </w:p>
    <w:p>
      <w:pPr>
        <w:ind w:left="640" w:right="20" w:hanging="436"/>
        <w:spacing w:after="0" w:line="281"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December 31, 2018, we had $270.9 million of unused borrowing capacity, subject to maintenance of the applicable total assets to debt ratio, under the 1940 Act. As of such date, we had $174.1 million in borrowings outstanding under our $445.0 million Credit Facility and $250.0 million in aggregate principal of 2019 Notes at an annual interest rate of 4.50%. As of December 31, 2018, our SBIC Funds had debenture commitments from the SBA in the amount of $150.0 million, all of which were outstanding with a weighted average interest rate of 3.11%, exclusive of the</w:t>
      </w:r>
    </w:p>
    <w:p>
      <w:pPr>
        <w:spacing w:after="0" w:line="2" w:lineRule="exact"/>
        <w:rPr>
          <w:rFonts w:ascii="Arial" w:cs="Arial" w:eastAsia="Arial" w:hAnsi="Arial"/>
          <w:sz w:val="16"/>
          <w:szCs w:val="16"/>
          <w:color w:val="auto"/>
        </w:rPr>
      </w:pPr>
    </w:p>
    <w:p>
      <w:pPr>
        <w:ind w:left="640" w:right="260"/>
        <w:spacing w:after="0" w:line="261" w:lineRule="auto"/>
        <w:rPr>
          <w:rFonts w:ascii="Arial" w:cs="Arial" w:eastAsia="Arial" w:hAnsi="Arial"/>
          <w:sz w:val="16"/>
          <w:szCs w:val="16"/>
          <w:color w:val="auto"/>
        </w:rPr>
      </w:pPr>
      <w:r>
        <w:rPr>
          <w:rFonts w:ascii="Arial" w:cs="Arial" w:eastAsia="Arial" w:hAnsi="Arial"/>
          <w:sz w:val="18"/>
          <w:szCs w:val="18"/>
          <w:color w:val="auto"/>
        </w:rPr>
        <w:t>3.43% of upfront fees. We may use proceeds of an offering of securities under this registration statement to repay outstanding obligations under our Credit Facility.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85" w:lineRule="auto"/>
        <w:rPr>
          <w:sz w:val="20"/>
          <w:szCs w:val="20"/>
          <w:color w:val="auto"/>
        </w:rPr>
      </w:pPr>
      <w:r>
        <w:rPr>
          <w:rFonts w:ascii="Arial" w:cs="Arial" w:eastAsia="Arial" w:hAnsi="Arial"/>
          <w:sz w:val="16"/>
          <w:szCs w:val="16"/>
          <w:color w:val="auto"/>
        </w:rPr>
        <w:t>After completing any such offering, we may continue to borrow under our Credit Facility to finance our investment objectives. Annual interest expense on borrowed funds represents actual interest expense incurred for the quarter ended December 31, 2018 annualized for a full year and amendment costs, if any, and we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2" w:lineRule="exact"/>
        <w:rPr>
          <w:sz w:val="20"/>
          <w:szCs w:val="20"/>
          <w:color w:val="auto"/>
        </w:rPr>
      </w:pPr>
    </w:p>
    <w:p>
      <w:pPr>
        <w:ind w:left="640" w:right="200" w:hanging="436"/>
        <w:spacing w:after="0" w:line="28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640" w:right="20" w:hanging="436"/>
        <w:spacing w:after="0" w:line="292"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46 of this prospectus.</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7.65%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You would pay the following expenses on a $1,000 common stock</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680" w:type="dxa"/>
            <w:vAlign w:val="bottom"/>
            <w:gridSpan w:val="2"/>
          </w:tcPr>
          <w:p>
            <w:pPr>
              <w:ind w:left="280"/>
              <w:spacing w:after="0"/>
              <w:rPr>
                <w:sz w:val="20"/>
                <w:szCs w:val="20"/>
                <w:color w:val="auto"/>
              </w:rPr>
            </w:pPr>
            <w:r>
              <w:rPr>
                <w:rFonts w:ascii="Arial" w:cs="Arial" w:eastAsia="Arial" w:hAnsi="Arial"/>
                <w:sz w:val="14"/>
                <w:szCs w:val="14"/>
                <w:b w:val="1"/>
                <w:bCs w:val="1"/>
                <w:color w:val="auto"/>
                <w:w w:val="90"/>
              </w:rPr>
              <w:t>1 Year</w:t>
            </w:r>
          </w:p>
        </w:tc>
        <w:tc>
          <w:tcPr>
            <w:tcW w:w="1020" w:type="dxa"/>
            <w:vAlign w:val="bottom"/>
            <w:gridSpan w:val="3"/>
          </w:tcPr>
          <w:p>
            <w:pPr>
              <w:ind w:left="560"/>
              <w:spacing w:after="0"/>
              <w:rPr>
                <w:sz w:val="20"/>
                <w:szCs w:val="20"/>
                <w:color w:val="auto"/>
              </w:rPr>
            </w:pPr>
            <w:r>
              <w:rPr>
                <w:rFonts w:ascii="Arial" w:cs="Arial" w:eastAsia="Arial" w:hAnsi="Arial"/>
                <w:sz w:val="14"/>
                <w:szCs w:val="14"/>
                <w:b w:val="1"/>
                <w:bCs w:val="1"/>
                <w:color w:val="auto"/>
                <w:w w:val="88"/>
              </w:rPr>
              <w:t>3 Years</w:t>
            </w:r>
          </w:p>
        </w:tc>
        <w:tc>
          <w:tcPr>
            <w:tcW w:w="1020" w:type="dxa"/>
            <w:vAlign w:val="bottom"/>
            <w:gridSpan w:val="3"/>
          </w:tcPr>
          <w:p>
            <w:pPr>
              <w:ind w:left="56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4"/>
          </w:tcPr>
          <w:p>
            <w:pPr>
              <w:ind w:left="580"/>
              <w:spacing w:after="0"/>
              <w:rPr>
                <w:sz w:val="20"/>
                <w:szCs w:val="20"/>
                <w:color w:val="auto"/>
              </w:rPr>
            </w:pPr>
            <w:r>
              <w:rPr>
                <w:rFonts w:ascii="Arial" w:cs="Arial" w:eastAsia="Arial" w:hAnsi="Arial"/>
                <w:sz w:val="14"/>
                <w:szCs w:val="14"/>
                <w:b w:val="1"/>
                <w:bCs w:val="1"/>
                <w:color w:val="auto"/>
                <w:w w:val="97"/>
              </w:rPr>
              <w:t>10 Years</w:t>
            </w: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Assuming a 5% annual return (assumes no return from net realized capital gains or</w:t>
            </w: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44"/>
        </w:trPr>
        <w:tc>
          <w:tcPr>
            <w:tcW w:w="20" w:type="dxa"/>
            <w:vAlign w:val="bottom"/>
          </w:tcPr>
          <w:p>
            <w:pPr>
              <w:spacing w:after="0"/>
              <w:rPr>
                <w:sz w:val="21"/>
                <w:szCs w:val="21"/>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unrealized capital appreciation)</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$ 108</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spacing w:after="0" w:line="201" w:lineRule="exact"/>
              <w:rPr>
                <w:sz w:val="20"/>
                <w:szCs w:val="20"/>
                <w:color w:val="auto"/>
              </w:rPr>
            </w:pPr>
            <w:r>
              <w:rPr>
                <w:rFonts w:ascii="Arial" w:cs="Arial" w:eastAsia="Arial" w:hAnsi="Arial"/>
                <w:sz w:val="18"/>
                <w:szCs w:val="18"/>
                <w:color w:val="auto"/>
                <w:w w:val="94"/>
              </w:rPr>
              <w:t>Assuming a 5% annual return (assumes return from only realized capital gains and</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thus subject to the capital gains incentive fee)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w w:val="84"/>
              </w:rPr>
              <w:t>$ 116</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269</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412</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726</w:t>
            </w:r>
          </w:p>
        </w:tc>
        <w:tc>
          <w:tcPr>
            <w:tcW w:w="40" w:type="dxa"/>
            <w:vAlign w:val="bottom"/>
          </w:tcPr>
          <w:p>
            <w:pPr>
              <w:spacing w:after="0"/>
              <w:rPr>
                <w:sz w:val="21"/>
                <w:szCs w:val="21"/>
                <w:color w:val="auto"/>
              </w:rPr>
            </w:pPr>
          </w:p>
        </w:tc>
      </w:tr>
    </w:tbl>
    <w:p>
      <w:pPr>
        <w:spacing w:after="0" w:line="20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40" w:firstLine="551"/>
        <w:spacing w:after="0" w:line="293"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Notes or any securities we may issue, may decline, and you may lose all or part of your investment.</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3"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continuing uncertainty arising from the United Kingdom’s decision to leave the European Union (the so called “Brexit”) could lead to further market disruptions and currency volatility, potentially weakening consumer, corporate and financial confidence and resulting in lower economic growth for companies that rely significantly on Europe for their business activities and revenues. We may in the future have difficulty accessing debt and equity capital markets, and a severe disruption in the global financial markets, deterioration in credit and financing conditions or uncertainty regarding U.S. government spending and deficit levels, Brexit or other global economic conditions could have a material adverse effect on our business, financial condition and results of operations.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Credit Facilities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8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significant disruptions in the capital markets experienced in the past has had, and may in the future have, a negative effect on the valuations of our investments and on the potential for liquidity events involving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our Credit Facilities and SBA debentures.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addition to the asset coverage ratio requirements, our Credit Facilities contain various covenants which, if not complied with, could accelerate repayment under the Credit Facilities. This could have a material adverse effect on our business, financial condition and results of operations. Our borrowings under our Credit Facilities are collateralized by the assets in our investment portfolio, excluding those portfolio investments held by our SBIC Funds. The agreements governing the Credit Facilities require us to comply with certain financial and operational covenants. These covenants include:</w:t>
      </w:r>
    </w:p>
    <w:p>
      <w:pPr>
        <w:spacing w:after="0" w:line="94"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requirement that our outstanding borrowings under the Credit Facilities not exceed a certain percentage of the value of our portfolio.</w:t>
      </w:r>
    </w:p>
    <w:p>
      <w:pPr>
        <w:spacing w:after="0" w:line="23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addition to the Credit Facilities, our SBIC Funds have issued SBA debentures that require us and our SBIC Funds to generate sufficient cash flow to make required interest payments. Further, our SBIC Funds must maintain a minimum capitalization that, if impaired, could materially and adversely affect our liquidity, financial condition and results of operations by accelerating repayment under the SBA debentures. Our borrowings under the SBA debentures are secured by the assets of our SBIC Funds.</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Facilities and could trigger mandatory prepayment obligations under the terms of the Credit Facilities.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24"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71"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7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be the target of securities litigation in the future, particularly if the trading price of our common stock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295"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79"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8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Facilities,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65"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 If LIBOR ceases to exist, we may need to renegotiate the credit agreements extending beyond 2021 with our portfolio companies that utilize LIBOR as a factor in determining the interest rate to replace LIBOR with the new standard that is established.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8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such systems could cause delays or other problems in our activities. This, in turn, could have a material adverse effect on our business, financial condition and results of operations.</w:t>
      </w:r>
    </w:p>
    <w:p>
      <w:pPr>
        <w:spacing w:after="0" w:line="27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left="200" w:right="580" w:firstLine="441"/>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w:t>
      </w:r>
    </w:p>
    <w:p>
      <w:pPr>
        <w:spacing w:after="0" w:line="296"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Annual Distribution Requirement if we recognize income before or without receiving cash representing such income.</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8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passed legislation will allow us to incur additional leverage.</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signed into law and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If we comply with the applicable disclosure requirements, we will be able to incur additional indebtedness, which may increase the risk of investing in us. Under the 200% minimum asset coverage ratio, the Company is permitted to borrow up to one dollar for investment purposes for every one dollar of investor equity and, under the 150% minimum asset coverage ratio, the Company will be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have been reduced from 1.50% to 1.00% on gross assets that exceed 200% of the Company’s total net assets as of the immediately preceding quarter-end.</w:t>
      </w:r>
    </w:p>
    <w:p>
      <w:pPr>
        <w:spacing w:after="0" w:line="28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Until February 5, 2019, as a BDC, under the 1940 Act, we were not permitted to incur indebtedness unless immediately after such borrowing we had an asset coverage for total borrowings of at least 200% (i.e., the amount of debt may not exceed 50% of the value of our assets). In March 2018, the Consolidated Appropriations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Act of 2018 (which includes the SBCAA) was signed into law and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November 13, 2018 and February 5, 2019, our board of directors, including a “required majority” (as such term is defined in Section 57(o) of the 1940 Act), and our stockholders, respectively, approved such reduction. As a result, as of February 6, 2019, the asset coverage requirements applicable to us for senior securities was reduced from 200% to 150%. As of such date, if we comply with the applicable disclosure requirements, we are able to incur additional indebtedness, which may increase the risk of investing in us.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fulfill our requirements to be treated as a RIC for federal income tax purposes. We may have to request a waiver of the SBA’s restrictions for our SBIC Funds to make certain distributions to enable us to be subject to tax as a RIC. We cannot assure you that the SBA will grant such waiver, and if our SBIC Funds are unable to obtain a waiver, compliance with the SBA regulations may cause us to incur a corporate-level income tax.</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83" w:lineRule="exact"/>
        <w:rPr>
          <w:sz w:val="20"/>
          <w:szCs w:val="20"/>
          <w:color w:val="auto"/>
        </w:rPr>
      </w:pPr>
    </w:p>
    <w:p>
      <w:pPr>
        <w:ind w:left="1060" w:right="20" w:hanging="316"/>
        <w:spacing w:after="0" w:line="293"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70" w:lineRule="exact"/>
        <w:rPr>
          <w:rFonts w:ascii="Arial" w:cs="Arial" w:eastAsia="Arial" w:hAnsi="Arial"/>
          <w:sz w:val="16"/>
          <w:szCs w:val="16"/>
          <w:color w:val="auto"/>
        </w:rPr>
      </w:pPr>
    </w:p>
    <w:p>
      <w:pPr>
        <w:ind w:left="1060" w:right="160" w:hanging="316"/>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Common Stock. </w:t>
      </w:r>
      <w:r>
        <w:rPr>
          <w:rFonts w:ascii="Arial" w:cs="Arial" w:eastAsia="Arial" w:hAnsi="Arial"/>
          <w:sz w:val="18"/>
          <w:szCs w:val="18"/>
          <w:color w:val="auto"/>
        </w:rPr>
        <w:t>Our board of directors may decide to issue common stock to finance our operations rather than issuing debt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senior securities. As a BDC, we are generally not able to issue our common stock at a price below NAV per share without first obtaining certain approvals from</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85" w:lineRule="auto"/>
        <w:rPr>
          <w:sz w:val="20"/>
          <w:szCs w:val="20"/>
          <w:color w:val="auto"/>
        </w:rPr>
      </w:pPr>
      <w:r>
        <w:rPr>
          <w:rFonts w:ascii="Arial" w:cs="Arial" w:eastAsia="Arial" w:hAnsi="Arial"/>
          <w:sz w:val="16"/>
          <w:szCs w:val="16"/>
          <w:color w:val="auto"/>
        </w:rPr>
        <w:t>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78" w:lineRule="exact"/>
        <w:rPr>
          <w:sz w:val="20"/>
          <w:szCs w:val="20"/>
          <w:color w:val="auto"/>
        </w:rPr>
      </w:pPr>
    </w:p>
    <w:p>
      <w:pPr>
        <w:ind w:left="1060" w:hanging="316"/>
        <w:spacing w:after="0" w:line="285"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rules and regulations of the SEC 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296" w:lineRule="exact"/>
        <w:rPr>
          <w:rFonts w:ascii="Arial" w:cs="Arial" w:eastAsia="Arial" w:hAnsi="Arial"/>
          <w:sz w:val="16"/>
          <w:szCs w:val="16"/>
          <w:color w:val="auto"/>
        </w:rPr>
      </w:pPr>
    </w:p>
    <w:p>
      <w:pPr>
        <w:ind w:left="1060" w:right="180" w:hanging="316"/>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future issue, as permitted under SBA regulations and through our wholly owned subsidiaries, SBIC LP, SBIC II and any future SBIC subsidiary, SBA debentures to</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20"/>
        <w:spacing w:after="0" w:line="264" w:lineRule="auto"/>
        <w:rPr>
          <w:sz w:val="20"/>
          <w:szCs w:val="20"/>
          <w:color w:val="auto"/>
        </w:rPr>
      </w:pPr>
      <w:r>
        <w:rPr>
          <w:rFonts w:ascii="Arial" w:cs="Arial" w:eastAsia="Arial" w:hAnsi="Arial"/>
          <w:sz w:val="18"/>
          <w:szCs w:val="18"/>
          <w:color w:val="auto"/>
        </w:rPr>
        <w:t>generate cash for funding new investments. To issue SBA debentures, we may request commitments for debt capital from the SBA. Our SBIC Funds are and any future SBIC subsidiary may be exposed to any losses on its portfolio of loans, however, such debentures are non-recourse to 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tax status.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our SBIC Funds, each taxable year as dividends to our stockholders.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tax status. We cannot assure you that the SBA will grant such waiver and if our SBIC Funds are unable to obtain a waiver, compliance with the SBA regulations may result in corporate level income tax on us.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make investments at lower rates in order to qualify investments under the SBA regulations.</w:t>
      </w:r>
    </w:p>
    <w:p>
      <w:pPr>
        <w:spacing w:after="0" w:line="18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9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$175.0 million, which is up to twice its regulatory capital, and a maximum of $350.0 million as part of a group of SBICs under common control.</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154"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Our current debt is governed by the terms of our Credit Facilities and the SBA debentures and future debt may be governed by an indenture or other instrument containing covenants restricting our operating flexibility.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8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Additionally, our SBIC Funds have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indebtedness outstanding pursuant to our Credit Facilities and SBA debentures and expect in the future to borrow additional amounts under our Credit Facilities or other debt securities, subject to market availability, and, may increase the size of our Credit Facilities.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Facilities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Facilities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8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Until February 5, 2019, as a BDC, under the 1940 Act, we were not permitted to incur indebtedness unless immediately after such borrowing we had an asset coverage for total borrowings of at least 200% (i.e., the amount of debt may not exceed 50% of the value of our assets). In March 2018, the Consolidated Appropriations Act of 2018 (which includes the SBCAA) was signed into law and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November 13, 2018 and February 5, 2019, our board of directors, including a “required majority” (as such term is defined in Section 57(o) of the 1940 Act), and our stockholders, respectively, approved such reduction. As a result, as of February 6, 2019, the asset coverage requirements applicable to us for senior securities was reduced from 200% to 150%. As of such date, if we comply with the applicable disclosure requirements, we are able to incur additional indebtedness, which may increase the risk of investing in us.</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of December 31, 2018 and September 30, 2018, our asset coverage ratio, as computed in accordance with the 1940 Act, was 248% and 291%, respectively. Since our leverage, including SBA debentures outstanding, was 91% and 80% of our net assets as of December 31, 2018 and September 30, 2018, respectively, we would have to receive an annual return of at least 1.98% and 1.75%, respectively, to cover annual interest payments.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As of December 31, 2018, we had outstanding borrowings of $174.1 million under our Credit Facility, $250.0 million outstanding under our 2019 Notes and $150.0 million outstanding under the SBA debentures. Our consolidated debt outstanding was $574.1 million and had a weighted average annual interest rate at the time of 4.10%, exclusive of the fee on undrawn commitment on our Credit Facility and 3.43% of upfront fees on the SBA debentures. To cover the annual interest on our borrowings of $574.1 million outstanding as of December 31, 2018, at the weighted average annual rate of 4.10%, we would have to receive an annual yield of at least 1.98%.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78" w:lineRule="exact"/>
        <w:rPr>
          <w:sz w:val="20"/>
          <w:szCs w:val="20"/>
          <w:color w:val="auto"/>
        </w:rPr>
      </w:pPr>
    </w:p>
    <w:p>
      <w:pPr>
        <w:ind w:left="200" w:right="260" w:firstLine="441"/>
        <w:spacing w:after="0" w:line="273" w:lineRule="auto"/>
        <w:rPr>
          <w:sz w:val="20"/>
          <w:szCs w:val="20"/>
          <w:color w:val="auto"/>
        </w:rPr>
      </w:pPr>
      <w:r>
        <w:rPr>
          <w:rFonts w:ascii="Arial" w:cs="Arial" w:eastAsia="Arial" w:hAnsi="Arial"/>
          <w:sz w:val="17"/>
          <w:szCs w:val="17"/>
          <w:color w:val="auto"/>
        </w:rPr>
        <w:t>The following table is designed to illustrate the effect on the return to a holder of our common stock of the leverage created by our use of borrowing as of December 31, 2018 of 46% of total assets (including such borrowed funds), at the current interest rate at the time of 4.10%,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5"/>
                <w:szCs w:val="15"/>
                <w:color w:val="auto"/>
              </w:rPr>
              <w:t>(1)</w:t>
            </w:r>
          </w:p>
        </w:tc>
        <w:tc>
          <w:tcPr>
            <w:tcW w:w="2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5"/>
                <w:szCs w:val="15"/>
                <w:color w:val="auto"/>
              </w:rPr>
              <w:t>(2)</w:t>
            </w:r>
          </w:p>
        </w:tc>
        <w:tc>
          <w:tcPr>
            <w:tcW w:w="2320" w:type="dxa"/>
            <w:vAlign w:val="bottom"/>
          </w:tcPr>
          <w:p>
            <w:pPr>
              <w:jc w:val="right"/>
              <w:ind w:right="130"/>
              <w:spacing w:after="0"/>
              <w:rPr>
                <w:sz w:val="20"/>
                <w:szCs w:val="20"/>
                <w:color w:val="auto"/>
              </w:rPr>
            </w:pPr>
            <w:r>
              <w:rPr>
                <w:rFonts w:ascii="Arial" w:cs="Arial" w:eastAsia="Arial" w:hAnsi="Arial"/>
                <w:sz w:val="18"/>
                <w:szCs w:val="18"/>
                <w:color w:val="auto"/>
              </w:rPr>
              <w:t>(23.7)%</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(13.7)%</w:t>
            </w:r>
          </w:p>
        </w:tc>
        <w:tc>
          <w:tcPr>
            <w:tcW w:w="960" w:type="dxa"/>
            <w:vAlign w:val="bottom"/>
          </w:tcPr>
          <w:p>
            <w:pPr>
              <w:ind w:left="240"/>
              <w:spacing w:after="0"/>
              <w:rPr>
                <w:sz w:val="20"/>
                <w:szCs w:val="20"/>
                <w:color w:val="auto"/>
              </w:rPr>
            </w:pPr>
            <w:r>
              <w:rPr>
                <w:rFonts w:ascii="Arial" w:cs="Arial" w:eastAsia="Arial" w:hAnsi="Arial"/>
                <w:sz w:val="18"/>
                <w:szCs w:val="18"/>
                <w:color w:val="auto"/>
              </w:rPr>
              <w:t>(3.8)%</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600" w:hanging="436"/>
        <w:spacing w:after="0" w:line="258" w:lineRule="auto"/>
        <w:tabs>
          <w:tab w:leader="none" w:pos="64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5"/>
          <w:szCs w:val="15"/>
          <w:color w:val="auto"/>
        </w:rPr>
      </w:pPr>
    </w:p>
    <w:p>
      <w:pPr>
        <w:ind w:left="640" w:right="120" w:hanging="436"/>
        <w:spacing w:after="0" w:line="273" w:lineRule="auto"/>
        <w:tabs>
          <w:tab w:leader="none" w:pos="640" w:val="left"/>
        </w:tabs>
        <w:numPr>
          <w:ilvl w:val="0"/>
          <w:numId w:val="8"/>
        </w:numPr>
        <w:rPr>
          <w:rFonts w:ascii="Arial" w:cs="Arial" w:eastAsia="Arial" w:hAnsi="Arial"/>
          <w:sz w:val="14"/>
          <w:szCs w:val="14"/>
          <w:color w:val="auto"/>
        </w:rPr>
      </w:pPr>
      <w:r>
        <w:rPr>
          <w:rFonts w:ascii="Arial" w:cs="Arial" w:eastAsia="Arial" w:hAnsi="Arial"/>
          <w:sz w:val="17"/>
          <w:szCs w:val="17"/>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8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28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6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As a result of the issuance of the SBA debentures and borrowings under our Credit Facilities, we are exposed to typical risks associated with leverage, including an increased risk of loss and an increase in expenses,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BDCs in light of the SBCAA as well as any corresponding changes to asset coverage ratios and, in certain cases, downgrade such ratings. Such a downgrade in our credit ratings may adversely affect our securities.</w:t>
      </w:r>
    </w:p>
    <w:p>
      <w:pPr>
        <w:spacing w:after="0" w:line="266"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62"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Our Credit Facility and the BNP Credit Facility mature in May 2022 and February 2024, respectively. Additionally, our SBA debentures mature between March 2026 and March 2028. We utilize proceeds from the Credit Facilities and our SBA debentures to make investments in our portfolio companies. The duration of many of our investments exceeds the duration of our indebtedness under our Credit Facilities and certain of our SBA debentures. This means that we will have to extend the maturity of our Credit Facilities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renew or refinance our Credit Facilities and our SBA debentures on terms as favorable as those in our existing indebtedness. If we fail to extend or refinance the indebtedness by the time it becomes due and payable, holders of the debt and/or the administrative agent may elect to exercise various remedies, including the sale of all or a portion of the collateral securing such indebtedness,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7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9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117"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6"/>
          <w:szCs w:val="16"/>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w:t>
      </w:r>
    </w:p>
    <w:p>
      <w:pPr>
        <w:spacing w:after="0" w:line="2"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Facilities,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Facilities. This is expected to mitigate volatility in our earnings and NAV. As a result of these factors, results for any period should not be relied upon as being indicative of performance in future periods.</w:t>
      </w:r>
    </w:p>
    <w:p>
      <w:pPr>
        <w:spacing w:after="0" w:line="275"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0"/>
        <w:spacing w:after="0" w:line="264" w:lineRule="auto"/>
        <w:rPr>
          <w:sz w:val="20"/>
          <w:szCs w:val="20"/>
          <w:color w:val="auto"/>
        </w:rPr>
      </w:pPr>
      <w:r>
        <w:rPr>
          <w:rFonts w:ascii="Arial" w:cs="Arial" w:eastAsia="Arial" w:hAnsi="Arial"/>
          <w:sz w:val="18"/>
          <w:szCs w:val="18"/>
          <w:color w:val="auto"/>
        </w:rPr>
        <w:t>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If we issue preferred stock, debt securities or convertible debt securities, the NAV and market value of our common stock may become more volatile.</w:t>
      </w:r>
    </w:p>
    <w:p>
      <w:pPr>
        <w:spacing w:after="0" w:line="15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6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factors include the following:</w:t>
      </w:r>
    </w:p>
    <w:p>
      <w:pPr>
        <w:spacing w:after="0" w:line="131"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If we issue subscription rights or warrants for our common stock, your interest in us may be diluted as a result of such rights or warrants offering.</w:t>
      </w:r>
    </w:p>
    <w:p>
      <w:pPr>
        <w:spacing w:after="0" w:line="15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8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Changes in laws or regulations governing our operations or those of our portfolio companies may adversely affect our business.</w:t>
      </w:r>
    </w:p>
    <w:p>
      <w:pPr>
        <w:spacing w:after="0" w:line="1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material adverse effect on our business, financial condition and results of operations. In particular, on December 22, 2017, the Tax Cuts and Jobs Act was signed into law. This tax legislation lowers the general corporate income tax rate from 35 percent to 21 percent, makes changes regarding the use of net operating losses, repeals the corporate alternative minimum tax and makes significant changes with respect to the U.S. international tax rules. In addition, the legislation generally requires a holder that uses the accrual method of accounting for U.S. tax purposes to include certain amounts in income no later than the time such amounts are reflected on certain financial statements, which therefore if applicable would require us to accrue income earlier than under prior law, although the precise application of this rule is unclear at this time. The legislation also limits the amount or value of interest deductions of borrowers and in that way may potentially affect the loan market and our and our portfolio companies’ use of leverage. For individual taxpayers, the legislation reduces the maximum individual income tax rate and eliminates the deductibility of miscellaneous itemized deductions for taxable years 2018 through 2025. The impact of this new legislation is uncertain. See “Business—Regulation”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Uncertainty about presidential administration initiatives could negatively impact our business, financial condition and results of operations.</w:t>
      </w:r>
    </w:p>
    <w:p>
      <w:pPr>
        <w:spacing w:after="0" w:line="14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4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2"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All of our investments are recorded using broker or dealer quotes, if available, or at fair value as determined in good faith by our board of directors. We expect that most, if not all, of our investments (other than cash and cash equivalents) and the fair values of the Credit Facilities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Facilities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8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7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jc w:val="both"/>
        <w:ind w:left="200" w:right="320" w:firstLine="441"/>
        <w:spacing w:after="0" w:line="312"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7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are susceptible to the risk of significant loss if we are forced to discount the value of our investments in order to provide liquidity to meet our debt maturities. Our borrowings under our Credit Facilities are collateralized by the assets in our investment portfolio (excluding assets held by our SBIC Funds).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Facilities.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invest in over-the-counter securities, which have and may continue to face liquidity constraints, to provide us with liquidity.</w:t>
      </w:r>
    </w:p>
    <w:p>
      <w:pPr>
        <w:spacing w:after="0" w:line="129"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invest primarily in first lien secured debt, second lien secured debt, subordinated debt and selected equity investments issued by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foreign middle-market companies.</w:t>
      </w:r>
    </w:p>
    <w:p>
      <w:pPr>
        <w:spacing w:after="0" w:line="116" w:lineRule="exact"/>
        <w:rPr>
          <w:sz w:val="20"/>
          <w:szCs w:val="20"/>
          <w:color w:val="auto"/>
        </w:rPr>
      </w:pPr>
    </w:p>
    <w:p>
      <w:pPr>
        <w:ind w:left="1060" w:right="180" w:hanging="424"/>
        <w:spacing w:after="0" w:line="25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Lien Secured Debt: </w:t>
      </w:r>
      <w:r>
        <w:rPr>
          <w:rFonts w:ascii="Arial" w:cs="Arial" w:eastAsia="Arial" w:hAnsi="Arial"/>
          <w:sz w:val="18"/>
          <w:szCs w:val="18"/>
          <w:color w:val="auto"/>
        </w:rPr>
        <w:t>When we extend first lien secured debt, we will generally take a security interest in the available assets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20"/>
        <w:spacing w:after="0" w:line="297" w:lineRule="auto"/>
        <w:rPr>
          <w:sz w:val="20"/>
          <w:szCs w:val="20"/>
          <w:color w:val="auto"/>
        </w:rPr>
      </w:pPr>
      <w:r>
        <w:rPr>
          <w:rFonts w:ascii="Arial" w:cs="Arial" w:eastAsia="Arial" w:hAnsi="Arial"/>
          <w:sz w:val="16"/>
          <w:szCs w:val="16"/>
          <w:color w:val="auto"/>
        </w:rPr>
        <w:t>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64" w:lineRule="exact"/>
        <w:rPr>
          <w:sz w:val="20"/>
          <w:szCs w:val="20"/>
          <w:color w:val="auto"/>
        </w:rPr>
      </w:pPr>
    </w:p>
    <w:p>
      <w:pPr>
        <w:ind w:left="1060" w:hanging="424"/>
        <w:spacing w:after="0" w:line="291"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Second Lien Secured Debt: </w:t>
      </w:r>
      <w:r>
        <w:rPr>
          <w:rFonts w:ascii="Arial" w:cs="Arial" w:eastAsia="Arial" w:hAnsi="Arial"/>
          <w:sz w:val="16"/>
          <w:szCs w:val="16"/>
          <w:color w:val="auto"/>
        </w:rPr>
        <w:t>Our second lien secured debt usually ranks junior in priority of payment to first lien secured debt. Second lien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secured debt holds a second priority 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72" w:lineRule="exact"/>
        <w:rPr>
          <w:rFonts w:ascii="Arial" w:cs="Arial" w:eastAsia="Arial" w:hAnsi="Arial"/>
          <w:sz w:val="16"/>
          <w:szCs w:val="16"/>
          <w:color w:val="auto"/>
        </w:rPr>
      </w:pPr>
    </w:p>
    <w:p>
      <w:pPr>
        <w:ind w:left="1060" w:right="40" w:hanging="424"/>
        <w:spacing w:after="0" w:line="27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Subordinated Debt: </w:t>
      </w:r>
      <w:r>
        <w:rPr>
          <w:rFonts w:ascii="Arial" w:cs="Arial" w:eastAsia="Arial" w:hAnsi="Arial"/>
          <w:sz w:val="17"/>
          <w:szCs w:val="17"/>
          <w:color w:val="auto"/>
        </w:rPr>
        <w:t>Our subordinated debt usually ranks junior in priority of payment to first lien secured debt and second lien secured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and are often unsecured. As such, 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83" w:lineRule="exact"/>
        <w:rPr>
          <w:rFonts w:ascii="Arial" w:cs="Arial" w:eastAsia="Arial" w:hAnsi="Arial"/>
          <w:sz w:val="17"/>
          <w:szCs w:val="17"/>
          <w:color w:val="auto"/>
        </w:rPr>
      </w:pPr>
    </w:p>
    <w:p>
      <w:pPr>
        <w:ind w:left="1060" w:right="20" w:hanging="424"/>
        <w:spacing w:after="0" w:line="270"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Equity Investments: </w:t>
      </w:r>
      <w:r>
        <w:rPr>
          <w:rFonts w:ascii="Arial" w:cs="Arial" w:eastAsia="Arial" w:hAnsi="Arial"/>
          <w:sz w:val="17"/>
          <w:szCs w:val="17"/>
          <w:color w:val="auto"/>
        </w:rPr>
        <w:t>We have made and expect to continue to make select equity investments, all of which are subordinated to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In addition, when we invest in 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31" w:lineRule="exact"/>
        <w:rPr>
          <w:sz w:val="20"/>
          <w:szCs w:val="20"/>
          <w:color w:val="auto"/>
        </w:rPr>
      </w:pPr>
    </w:p>
    <w:p>
      <w:pPr>
        <w:ind w:left="1060" w:right="80" w:hanging="316"/>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34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color w:val="auto"/>
        </w:rPr>
      </w:pPr>
    </w:p>
    <w:p>
      <w:pPr>
        <w:ind w:left="1060" w:right="300" w:hanging="316"/>
        <w:spacing w:after="0" w:line="279"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76" w:lineRule="exact"/>
        <w:rPr>
          <w:rFonts w:ascii="Arial" w:cs="Arial" w:eastAsia="Arial" w:hAnsi="Arial"/>
          <w:sz w:val="17"/>
          <w:szCs w:val="17"/>
          <w:color w:val="auto"/>
        </w:rPr>
      </w:pPr>
    </w:p>
    <w:p>
      <w:pPr>
        <w:ind w:left="106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79"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16"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8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30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2"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or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7"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76"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87" w:lineRule="exact"/>
        <w:rPr>
          <w:sz w:val="20"/>
          <w:szCs w:val="20"/>
          <w:color w:val="auto"/>
        </w:rPr>
      </w:pPr>
    </w:p>
    <w:p>
      <w:pPr>
        <w:ind w:left="200" w:right="540"/>
        <w:spacing w:after="0" w:line="375" w:lineRule="auto"/>
        <w:rPr>
          <w:sz w:val="20"/>
          <w:szCs w:val="20"/>
          <w:color w:val="auto"/>
        </w:rPr>
      </w:pPr>
      <w:r>
        <w:rPr>
          <w:rFonts w:ascii="Arial" w:cs="Arial" w:eastAsia="Arial" w:hAnsi="Arial"/>
          <w:sz w:val="15"/>
          <w:szCs w:val="15"/>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30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62"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We invest primarily in first lien secured debt, second lien secured debt and subordinated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6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rights we may have with respect to the collateral securing any junior priority loans we make to our portfolio companies may also be limited pursuant to the terms of one or more intercreditor agreements (including agreements governing “first out” and “last out” structures) that we enter into with the holders of senior debt. Under such an intercreditor agreement, at any time that senior obligations are outstanding, we may forfeit certain rights with respect to the collateral to the holders of the senior obligations. These rights may include the right to commence enforcement proceedings against the collateral, the right to control the conduct of such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junior lenders are adversely affected.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could result in our investing in more speculative securities than would otherwise be the case, which could result in higher investment losses, particularly during economic downturns.</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95"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b w:val="1"/>
          <w:bCs w:val="1"/>
          <w:i w:val="1"/>
          <w:iCs w:val="1"/>
          <w:color w:val="auto"/>
        </w:rPr>
        <w:t>Any investments in distressed debt may not produce income and may require us to bear large expenses in order to protect and recover our investment.</w:t>
      </w:r>
    </w:p>
    <w:p>
      <w:pPr>
        <w:spacing w:after="0" w:line="62"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8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Facilities’ multicurrency capability to minimize these risks, but we can offer no assurance that we will, in fact, hedge currency risk or, that if we do, such strategies will be effective.</w:t>
      </w:r>
    </w:p>
    <w:p>
      <w:pPr>
        <w:spacing w:after="0" w:line="30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2"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97"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7" w:lineRule="auto"/>
        <w:rPr>
          <w:sz w:val="20"/>
          <w:szCs w:val="20"/>
          <w:color w:val="auto"/>
        </w:rPr>
      </w:pPr>
      <w:r>
        <w:rPr>
          <w:rFonts w:ascii="Arial" w:cs="Arial" w:eastAsia="Arial" w:hAnsi="Arial"/>
          <w:sz w:val="18"/>
          <w:szCs w:val="18"/>
          <w:color w:val="auto"/>
        </w:rPr>
        <w:t>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21" w:lineRule="exact"/>
        <w:rPr>
          <w:sz w:val="20"/>
          <w:szCs w:val="20"/>
          <w:color w:val="auto"/>
        </w:rPr>
      </w:pPr>
    </w:p>
    <w:p>
      <w:pPr>
        <w:jc w:val="both"/>
        <w:ind w:left="200" w:right="20"/>
        <w:spacing w:after="0" w:line="340" w:lineRule="auto"/>
        <w:rPr>
          <w:sz w:val="20"/>
          <w:szCs w:val="20"/>
          <w:color w:val="auto"/>
        </w:rPr>
      </w:pPr>
      <w:r>
        <w:rPr>
          <w:rFonts w:ascii="Arial" w:cs="Arial" w:eastAsia="Arial" w:hAnsi="Arial"/>
          <w:sz w:val="15"/>
          <w:szCs w:val="15"/>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6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color w:val="auto"/>
        </w:rPr>
        <w:t>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7"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$6.37 and $7.46 on December 31, 2018 and September 30, 2018, respectively. Our NAV per share was $9.05 and $9.11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060" w:right="74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9"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79"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on acceptable terms, which would harm our financial condition and operating results.</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Facilities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131" w:lineRule="exact"/>
        <w:rPr>
          <w:sz w:val="20"/>
          <w:szCs w:val="20"/>
          <w:color w:val="auto"/>
        </w:rPr>
      </w:pPr>
    </w:p>
    <w:p>
      <w:pPr>
        <w:ind w:left="106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29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As a publicly traded company, we incur legal, accounting and other expenses, including costs associated with the periodic reporting requirements applicable to a company whose securities are registered under the Securities Exchange Act of 1934, as amended, or Exchange Act, as well as additional corporate governance requirements, including requirements under the Sarbanes-Oxley Act of 2002, as amended, or the Sarbanes-Oxley Act, and other rules implemented by the SEC and the listing standards of the NASDAQ Stock Market LLC.</w:t>
      </w:r>
    </w:p>
    <w:p>
      <w:pPr>
        <w:spacing w:after="0" w:line="28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78"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6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77"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8"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disclosures that we may make directly to you or through a supplemental prospectus or through reports that we in the future may file with the SEC, including reports on Form 10-K/Q and current reports on Form 8-K.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w:t>
      </w:r>
    </w:p>
    <w:p>
      <w:pPr>
        <w:spacing w:after="0" w:line="46" w:lineRule="exact"/>
        <w:rPr>
          <w:sz w:val="20"/>
          <w:szCs w:val="20"/>
          <w:color w:val="auto"/>
        </w:rPr>
      </w:pPr>
    </w:p>
    <w:p>
      <w:pPr>
        <w:ind w:left="200" w:right="500" w:firstLine="4"/>
        <w:spacing w:after="0" w:line="323" w:lineRule="auto"/>
        <w:tabs>
          <w:tab w:leader="none" w:pos="4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240" w:top="459" w:right="6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540" w:firstLine="441"/>
        <w:spacing w:after="0" w:line="286" w:lineRule="auto"/>
        <w:rPr>
          <w:sz w:val="20"/>
          <w:szCs w:val="20"/>
          <w:color w:val="auto"/>
        </w:rPr>
      </w:pPr>
      <w:r>
        <w:rPr>
          <w:rFonts w:ascii="Arial" w:cs="Arial" w:eastAsia="Arial" w:hAnsi="Arial"/>
          <w:sz w:val="17"/>
          <w:szCs w:val="17"/>
          <w:color w:val="auto"/>
        </w:rPr>
        <w:t>We may use the net proceeds from selling securities pursuant to this prospectus to reduce our then-outstanding obligations under our Credit Facility, and/or the SBA debentures, to invest in new or existing portfolio companies or for other general corporate or strategic purposes. Any supplements to this prospectus relating to an offering may more fully identify the use of the proceeds from such offering.</w:t>
      </w:r>
    </w:p>
    <w:p>
      <w:pPr>
        <w:spacing w:after="0" w:line="166"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of December 31, 2018, we had $270.9 million of unused borrowing capacity, subject to maintenance of the applicable total assets to debt ratio, as set forth in the 1940 Act, and $174.1 million in borrowings outstanding under our $445.0 million Credit Facility. Borrowings under our Credit Facility bear interest at an annual rate equal to the London Interbank Offered Rate, or LIBOR or “L,” plus 225 basis points per annum. At December 31, 2018, the weighted average interest rate on the Credit Facility was 4.39%, exclusive of the fee on undrawn commitments of 0.375%. The Credit Facility is a revolving facility with a stated maturity date of May 25, 2022 and is secured by substantially all of the assets in our investment portfolio, excluding assets of our SBIC Funds. Amounts repaid under our Credit Facility remain available for future borrowings.</w:t>
      </w:r>
    </w:p>
    <w:p>
      <w:pPr>
        <w:spacing w:after="0" w:line="17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of December 31, 2018, we had $250.0 million in aggregate principal amount of 2019 Notes outstanding. The 2019 Notes were prepaid at 100% of the principal amount, plus accrued and unpaid interest through the payment date of March 4, 2019, as well as a make-whole premium. Interest on the 2019 Notes was paid semi-annually on April 1 and October 1, at a rate of 4.50% per year.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Facility.</w:t>
      </w:r>
    </w:p>
    <w:p>
      <w:pPr>
        <w:spacing w:after="0" w:line="15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As of December 31, 2018, our SBIC Funds had $150.0 million in debt commitments, all of which were drawn. The interest rate of SBA debentures is fixed at the time of issuance, often referred to as pooling, at a market-driven spread over 10-year U.S. Treasury Notes. At December 31, 2018, the SBA debentures’ had a weighted average interest rate of 3.11%, exclusive of the 3.43% of upfront fees. The SBA debentures mature between March 2026 and March 2028. The SBA debentures are secured by all the investment portfolio assets of our SBIC Funds and have a priority claim over such assets relative to all other creditors.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“Management’s Discussion and Analysis of Financial Condition and Results of Operations” for more information.</w:t>
      </w:r>
    </w:p>
    <w:p>
      <w:pPr>
        <w:spacing w:after="0" w:line="225" w:lineRule="exact"/>
        <w:rPr>
          <w:sz w:val="20"/>
          <w:szCs w:val="20"/>
          <w:color w:val="auto"/>
        </w:rPr>
      </w:pPr>
    </w:p>
    <w:p>
      <w:pPr>
        <w:ind w:left="200" w:right="200" w:firstLine="441"/>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and/or the SBA debentures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 Temporary Investments” for more information.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The following selected consolidated financial data of the Company as of and for the years ended September 30, 2018, 2017, 2016, 2015, and 2014, is derived from the consolidated financial statements that have been audited by RSM US LLP, the Company’s independent registered public accounting firm. The Company’s consolidated financial statements for the three-month period ended December 31, 2018 and 2017, is derived from our unaudited financial statements. However, in the opinion of the Company, all adjustments, consisting of normal recurring adjustments, necessary for a fair presentation have been made. This financial data should be read in conjunction with the Company’s consolidated financial statements and the notes thereto included elsewhere in this prospectus and with “Management’s Discussion and Analysis of Financial Condition and Results of Operations” and Financial Condition which follows.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For the three months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8"/>
            <w:vMerge w:val="restart"/>
          </w:tcPr>
          <w:p>
            <w:pPr>
              <w:jc w:val="right"/>
              <w:ind w:right="680"/>
              <w:spacing w:after="0"/>
              <w:rPr>
                <w:sz w:val="20"/>
                <w:szCs w:val="20"/>
                <w:color w:val="auto"/>
              </w:rPr>
            </w:pPr>
            <w:r>
              <w:rPr>
                <w:rFonts w:ascii="Arial" w:cs="Arial" w:eastAsia="Arial" w:hAnsi="Arial"/>
                <w:sz w:val="14"/>
                <w:szCs w:val="14"/>
                <w:b w:val="1"/>
                <w:bCs w:val="1"/>
                <w:color w:val="auto"/>
              </w:rPr>
              <w:t>For the years ended September 30,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ended December 31,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(Dollar amounts in thousands, except per share data)</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w w:val="99"/>
              </w:rPr>
              <w:t>Consolidated Statement of Operations data:</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 income</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   27,380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28,668</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108,278</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124,534</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142,071</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161,629</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147,936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Total expenses</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14,805</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4"/>
                <w:szCs w:val="14"/>
                <w:color w:val="auto"/>
              </w:rPr>
              <w:t>14,500</w:t>
            </w:r>
            <w:r>
              <w:rPr>
                <w:rFonts w:ascii="Arial" w:cs="Arial" w:eastAsia="Arial" w:hAnsi="Arial"/>
                <w:sz w:val="23"/>
                <w:szCs w:val="23"/>
                <w:color w:val="auto"/>
                <w:vertAlign w:val="superscript"/>
              </w:rPr>
              <w:t>(1)</w:t>
            </w: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4"/>
                <w:szCs w:val="14"/>
                <w:color w:val="auto"/>
              </w:rPr>
              <w:t>54,944</w:t>
            </w:r>
            <w:r>
              <w:rPr>
                <w:rFonts w:ascii="Arial" w:cs="Arial" w:eastAsia="Arial" w:hAnsi="Arial"/>
                <w:sz w:val="23"/>
                <w:szCs w:val="23"/>
                <w:color w:val="auto"/>
                <w:vertAlign w:val="superscript"/>
              </w:rPr>
              <w:t>(1)</w:t>
            </w: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4"/>
                <w:szCs w:val="14"/>
                <w:color w:val="auto"/>
              </w:rPr>
              <w:t>68,096</w:t>
            </w:r>
            <w:r>
              <w:rPr>
                <w:rFonts w:ascii="Arial" w:cs="Arial" w:eastAsia="Arial" w:hAnsi="Arial"/>
                <w:sz w:val="23"/>
                <w:szCs w:val="23"/>
                <w:color w:val="auto"/>
                <w:vertAlign w:val="superscript"/>
              </w:rPr>
              <w:t>(1)</w:t>
            </w: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4"/>
                <w:szCs w:val="14"/>
                <w:color w:val="auto"/>
              </w:rPr>
              <w:t>71,456</w:t>
            </w:r>
            <w:r>
              <w:rPr>
                <w:rFonts w:ascii="Arial" w:cs="Arial" w:eastAsia="Arial" w:hAnsi="Arial"/>
                <w:sz w:val="23"/>
                <w:szCs w:val="23"/>
                <w:color w:val="auto"/>
                <w:vertAlign w:val="superscript"/>
              </w:rPr>
              <w:t>(1)</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79,371</w:t>
            </w: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76,608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12,575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14,168</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53,334</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56,438</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70,615</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82,258</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71,329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Net realized and unrealized (loss) gain</w:t>
            </w:r>
          </w:p>
        </w:tc>
        <w:tc>
          <w:tcPr>
            <w:tcW w:w="1120" w:type="dxa"/>
            <w:vAlign w:val="bottom"/>
            <w:gridSpan w:val="2"/>
          </w:tcPr>
          <w:p>
            <w:pPr>
              <w:jc w:val="right"/>
              <w:ind w:right="168"/>
              <w:spacing w:after="0"/>
              <w:rPr>
                <w:sz w:val="20"/>
                <w:szCs w:val="20"/>
                <w:color w:val="auto"/>
              </w:rPr>
            </w:pPr>
            <w:r>
              <w:rPr>
                <w:rFonts w:ascii="Arial" w:cs="Arial" w:eastAsia="Arial" w:hAnsi="Arial"/>
                <w:sz w:val="16"/>
                <w:szCs w:val="16"/>
                <w:color w:val="auto"/>
              </w:rPr>
              <w:t>(5,796)</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(1,873)</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(5,621)</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5,273</w:t>
            </w:r>
          </w:p>
        </w:tc>
        <w:tc>
          <w:tcPr>
            <w:tcW w:w="26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(51,878)</w:t>
            </w: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(92,504)</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39,655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w w:val="91"/>
              </w:rPr>
              <w:t>Net increase (decrease) in net assets resulting from</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operations</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6,778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47,713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61,712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18,737</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(10,246)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110,983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Per share data:</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9.05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9.82</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11.03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23"/>
                <w:szCs w:val="23"/>
                <w:color w:val="auto"/>
                <w:vertAlign w:val="superscript"/>
              </w:rPr>
              <w:t>(2)</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0.18</w:t>
            </w:r>
          </w:p>
        </w:tc>
        <w:tc>
          <w:tcPr>
            <w:tcW w:w="840" w:type="dxa"/>
            <w:vAlign w:val="bottom"/>
          </w:tcPr>
          <w:p>
            <w:pPr>
              <w:jc w:val="right"/>
              <w:spacing w:after="0"/>
              <w:rPr>
                <w:sz w:val="20"/>
                <w:szCs w:val="20"/>
                <w:color w:val="auto"/>
              </w:rPr>
            </w:pPr>
            <w:r>
              <w:rPr>
                <w:rFonts w:ascii="Arial" w:cs="Arial" w:eastAsia="Arial" w:hAnsi="Arial"/>
                <w:sz w:val="16"/>
                <w:szCs w:val="16"/>
                <w:color w:val="auto"/>
              </w:rPr>
              <w:t>0.20</w:t>
            </w:r>
          </w:p>
        </w:tc>
        <w:tc>
          <w:tcPr>
            <w:tcW w:w="2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0.75</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0.79</w:t>
            </w: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0.99</w:t>
            </w:r>
          </w:p>
        </w:tc>
        <w:tc>
          <w:tcPr>
            <w:tcW w:w="2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1.10</w:t>
            </w: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Net realized and unrealized (loss) gain</w:t>
            </w:r>
            <w:r>
              <w:rPr>
                <w:rFonts w:ascii="Arial" w:cs="Arial" w:eastAsia="Arial" w:hAnsi="Arial"/>
                <w:sz w:val="23"/>
                <w:szCs w:val="23"/>
                <w:color w:val="auto"/>
                <w:vertAlign w:val="superscript"/>
              </w:rPr>
              <w:t>(2)</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(0.08)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(0.07)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(0.73)</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(1.24)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color w:val="auto"/>
                <w:w w:val="91"/>
              </w:rPr>
              <w:t>Net increase (decrease) in net assets resulting from</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40"/>
              <w:spacing w:after="0" w:line="216" w:lineRule="exact"/>
              <w:rPr>
                <w:sz w:val="20"/>
                <w:szCs w:val="20"/>
                <w:color w:val="auto"/>
              </w:rPr>
            </w:pPr>
            <w:r>
              <w:rPr>
                <w:rFonts w:ascii="Arial" w:cs="Arial" w:eastAsia="Arial" w:hAnsi="Arial"/>
                <w:sz w:val="15"/>
                <w:szCs w:val="15"/>
                <w:color w:val="auto"/>
              </w:rPr>
              <w:t>operations</w:t>
            </w:r>
            <w:r>
              <w:rPr>
                <w:rFonts w:ascii="Arial" w:cs="Arial" w:eastAsia="Arial" w:hAnsi="Arial"/>
                <w:sz w:val="25"/>
                <w:szCs w:val="25"/>
                <w:color w:val="auto"/>
                <w:vertAlign w:val="superscript"/>
              </w:rPr>
              <w:t>(2)</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0.10</w:t>
            </w:r>
          </w:p>
        </w:tc>
        <w:tc>
          <w:tcPr>
            <w:tcW w:w="840" w:type="dxa"/>
            <w:vAlign w:val="bottom"/>
          </w:tcPr>
          <w:p>
            <w:pPr>
              <w:jc w:val="right"/>
              <w:spacing w:after="0"/>
              <w:rPr>
                <w:sz w:val="20"/>
                <w:szCs w:val="20"/>
                <w:color w:val="auto"/>
              </w:rPr>
            </w:pPr>
            <w:r>
              <w:rPr>
                <w:rFonts w:ascii="Arial" w:cs="Arial" w:eastAsia="Arial" w:hAnsi="Arial"/>
                <w:sz w:val="16"/>
                <w:szCs w:val="16"/>
                <w:color w:val="auto"/>
              </w:rPr>
              <w:t>0.18</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0.68</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0.87</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0.26</w:t>
            </w:r>
          </w:p>
        </w:tc>
        <w:tc>
          <w:tcPr>
            <w:tcW w:w="26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(0.14)</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Distributions declared</w:t>
            </w:r>
            <w:r>
              <w:rPr>
                <w:rFonts w:ascii="Arial" w:cs="Arial" w:eastAsia="Arial" w:hAnsi="Arial"/>
                <w:sz w:val="23"/>
                <w:szCs w:val="23"/>
                <w:color w:val="auto"/>
                <w:vertAlign w:val="superscript"/>
              </w:rPr>
              <w:t>(2), (3)</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0.18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Consolidated Statement of Assets and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6"/>
                <w:szCs w:val="16"/>
                <w:b w:val="1"/>
                <w:bCs w:val="1"/>
                <w:color w:val="auto"/>
              </w:rPr>
              <w:t>Liabilities data: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1,221,767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1,184,193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1,160,119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1,202,196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1,238,936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1,368,778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1,411,827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Total investment portfolio</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1,191,454</w:t>
            </w:r>
          </w:p>
        </w:tc>
        <w:tc>
          <w:tcPr>
            <w:tcW w:w="840" w:type="dxa"/>
            <w:vAlign w:val="bottom"/>
          </w:tcPr>
          <w:p>
            <w:pPr>
              <w:jc w:val="right"/>
              <w:spacing w:after="0"/>
              <w:rPr>
                <w:sz w:val="20"/>
                <w:szCs w:val="20"/>
                <w:color w:val="auto"/>
              </w:rPr>
            </w:pPr>
            <w:r>
              <w:rPr>
                <w:rFonts w:ascii="Arial" w:cs="Arial" w:eastAsia="Arial" w:hAnsi="Arial"/>
                <w:sz w:val="16"/>
                <w:szCs w:val="16"/>
                <w:color w:val="auto"/>
              </w:rPr>
              <w:t>1,100,621</w:t>
            </w:r>
          </w:p>
        </w:tc>
        <w:tc>
          <w:tcPr>
            <w:tcW w:w="2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1,132,085</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1,153,578</w:t>
            </w: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1,153,680</w:t>
            </w:r>
          </w:p>
        </w:tc>
        <w:tc>
          <w:tcPr>
            <w:tcW w:w="2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1,299,048</w:t>
            </w: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1,318,055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Borrowings outstanding</w:t>
            </w:r>
            <w:r>
              <w:rPr>
                <w:rFonts w:ascii="Arial" w:cs="Arial" w:eastAsia="Arial" w:hAnsi="Arial"/>
                <w:sz w:val="23"/>
                <w:szCs w:val="23"/>
                <w:color w:val="auto"/>
                <w:vertAlign w:val="superscript"/>
              </w:rPr>
              <w:t>(4)</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562,308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510,315</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504,342</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526,067</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559,589</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602,865</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526,668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Total net asset value</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615,941</w:t>
            </w:r>
          </w:p>
        </w:tc>
        <w:tc>
          <w:tcPr>
            <w:tcW w:w="840" w:type="dxa"/>
            <w:vAlign w:val="bottom"/>
          </w:tcPr>
          <w:p>
            <w:pPr>
              <w:jc w:val="right"/>
              <w:spacing w:after="0"/>
              <w:rPr>
                <w:sz w:val="20"/>
                <w:szCs w:val="20"/>
                <w:color w:val="auto"/>
              </w:rPr>
            </w:pPr>
            <w:r>
              <w:rPr>
                <w:rFonts w:ascii="Arial" w:cs="Arial" w:eastAsia="Arial" w:hAnsi="Arial"/>
                <w:sz w:val="16"/>
                <w:szCs w:val="16"/>
                <w:color w:val="auto"/>
              </w:rPr>
              <w:t>646,313</w:t>
            </w:r>
          </w:p>
        </w:tc>
        <w:tc>
          <w:tcPr>
            <w:tcW w:w="2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628,902</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646,808</w:t>
            </w: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643,367</w:t>
            </w:r>
          </w:p>
        </w:tc>
        <w:tc>
          <w:tcPr>
            <w:tcW w:w="2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716,591</w:t>
            </w: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828,010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4"/>
                <w:szCs w:val="14"/>
                <w:color w:val="auto"/>
              </w:rPr>
              <w:t>Total return</w:t>
            </w:r>
            <w:r>
              <w:rPr>
                <w:rFonts w:ascii="Arial" w:cs="Arial" w:eastAsia="Arial" w:hAnsi="Arial"/>
                <w:sz w:val="23"/>
                <w:szCs w:val="23"/>
                <w:color w:val="auto"/>
                <w:vertAlign w:val="superscript"/>
              </w:rPr>
              <w:t>(5)</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(12.39)%</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(5.62)%</w:t>
            </w: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9.70%</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10.80%</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36.64%</w:t>
            </w:r>
          </w:p>
        </w:tc>
        <w:tc>
          <w:tcPr>
            <w:tcW w:w="1120" w:type="dxa"/>
            <w:vAlign w:val="bottom"/>
            <w:gridSpan w:val="3"/>
          </w:tcPr>
          <w:p>
            <w:pPr>
              <w:jc w:val="right"/>
              <w:ind w:right="100"/>
              <w:spacing w:after="0"/>
              <w:rPr>
                <w:sz w:val="20"/>
                <w:szCs w:val="20"/>
                <w:color w:val="auto"/>
              </w:rPr>
            </w:pPr>
            <w:r>
              <w:rPr>
                <w:rFonts w:ascii="Arial" w:cs="Arial" w:eastAsia="Arial" w:hAnsi="Arial"/>
                <w:sz w:val="16"/>
                <w:szCs w:val="16"/>
                <w:color w:val="auto"/>
              </w:rPr>
              <w:t>(32.51)%</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Number of portfolio companies</w:t>
            </w:r>
            <w:r>
              <w:rPr>
                <w:rFonts w:ascii="Arial" w:cs="Arial" w:eastAsia="Arial" w:hAnsi="Arial"/>
                <w:sz w:val="23"/>
                <w:szCs w:val="23"/>
                <w:color w:val="auto"/>
                <w:vertAlign w:val="superscript"/>
              </w:rPr>
              <w:t>(6)</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56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Yield on debt portfolio</w:t>
            </w:r>
            <w:r>
              <w:rPr>
                <w:rFonts w:ascii="Arial" w:cs="Arial" w:eastAsia="Arial" w:hAnsi="Arial"/>
                <w:sz w:val="27"/>
                <w:szCs w:val="27"/>
                <w:color w:val="auto"/>
                <w:vertAlign w:val="superscript"/>
              </w:rPr>
              <w:t>(6)</w:t>
            </w:r>
          </w:p>
        </w:tc>
        <w:tc>
          <w:tcPr>
            <w:tcW w:w="1120" w:type="dxa"/>
            <w:vAlign w:val="bottom"/>
            <w:gridSpan w:val="2"/>
          </w:tcPr>
          <w:p>
            <w:pPr>
              <w:jc w:val="right"/>
              <w:ind w:right="88"/>
              <w:spacing w:after="0"/>
              <w:rPr>
                <w:sz w:val="20"/>
                <w:szCs w:val="20"/>
                <w:color w:val="auto"/>
              </w:rPr>
            </w:pPr>
            <w:r>
              <w:rPr>
                <w:rFonts w:ascii="Arial" w:cs="Arial" w:eastAsia="Arial" w:hAnsi="Arial"/>
                <w:sz w:val="16"/>
                <w:szCs w:val="16"/>
                <w:color w:val="auto"/>
              </w:rPr>
              <w:t>10.9%</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11.8%</w:t>
            </w: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11.2%</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11.5%</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11.9%</w:t>
            </w: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12.1%</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wp:posOffset>
            </wp:positionV>
            <wp:extent cx="694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ind w:left="640" w:right="200" w:hanging="436"/>
        <w:spacing w:after="0" w:line="258"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before base management fee and incentive fee waivers were for the three months ended December 31, 2017, $15,928 and for the years ended September 30, 2018, 2017, and 2016, $56,371, $73,743 and $77,996, respectively.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640" w:right="46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w:t>
      </w: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fair value, excluding our SBA debentures.</w:t>
      </w:r>
    </w:p>
    <w:p>
      <w:pPr>
        <w:spacing w:after="0" w:line="9" w:lineRule="exact"/>
        <w:rPr>
          <w:rFonts w:ascii="Arial" w:cs="Arial" w:eastAsia="Arial" w:hAnsi="Arial"/>
          <w:sz w:val="18"/>
          <w:szCs w:val="18"/>
          <w:color w:val="auto"/>
        </w:rPr>
      </w:pPr>
    </w:p>
    <w:p>
      <w:pPr>
        <w:ind w:left="640" w:right="32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Unaudited, at period end.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27,380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(5,796)</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in net assets resulting from operations per common share*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27,624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24,760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27,226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28,668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13,975</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11,776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13,415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(1,502)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(7,380)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(1,873)</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12,473</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16,910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6,035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in net assets resulting from operations per common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9.11</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27,866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31,084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33,715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31,869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12,768</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12,460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16,169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(5,344)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(4,709)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7,424</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18,779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11,460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in net assets resulting from operations per common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5620" w:right="4620" w:hanging="5416"/>
        <w:spacing w:after="0" w:line="413" w:lineRule="auto"/>
        <w:tabs>
          <w:tab w:leader="none" w:pos="632"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the weighted average shares outstanding for the respective periods. 43</w:t>
      </w:r>
    </w:p>
    <w:p>
      <w:pPr>
        <w:sectPr>
          <w:pgSz w:w="11900" w:h="16838" w:orient="portrait"/>
          <w:cols w:equalWidth="0" w:num="1">
            <w:col w:w="10780"/>
          </w:cols>
          <w:pgMar w:left="240" w:top="459" w:right="8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18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believe middle-market companies offer attractive risk-reward to investors due to a limited amount of capital available for such companies and the potential for rising interest rates.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69"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2010 and 2012, respectively. SBIC LP and SBIC II received licenses from the SBA to operate as SBICs under Section 301(c) of the 1958 Act. As of December 31, 2018, SBIC LP and SBIC II held approximately $80.5 million and $226.6 million in assets, respectively, which accounted for 6.6% and 18.5% of our total assets.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73"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supervises our day-to-day activities.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generate revenue in the form of interest income on the debt securities we hold and capital gains and distributions,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94"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75" w:lineRule="exact"/>
        <w:rPr>
          <w:rFonts w:ascii="Arial" w:cs="Arial" w:eastAsia="Arial" w:hAnsi="Arial"/>
          <w:sz w:val="18"/>
          <w:szCs w:val="18"/>
          <w:color w:val="auto"/>
        </w:rPr>
      </w:pPr>
    </w:p>
    <w:p>
      <w:pPr>
        <w:jc w:val="both"/>
        <w:ind w:left="1060" w:right="120" w:hanging="316"/>
        <w:spacing w:after="0" w:line="279"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4"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4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7 of this prospectus rather than as a percentage of total assets. Total assets include assets that have been funded with borrowed money (leverage). For reference, the chart below illustrates our “Total Estimated Annual Expenses” as a percentage of average total assets:</w:t>
      </w:r>
    </w:p>
    <w:p>
      <w:pPr>
        <w:spacing w:after="0" w:line="285"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ind w:left="960"/>
              <w:spacing w:after="0"/>
              <w:rPr>
                <w:sz w:val="20"/>
                <w:szCs w:val="20"/>
                <w:color w:val="auto"/>
              </w:rPr>
            </w:pPr>
            <w:r>
              <w:rPr>
                <w:rFonts w:ascii="Arial" w:cs="Arial" w:eastAsia="Arial" w:hAnsi="Arial"/>
                <w:sz w:val="18"/>
                <w:szCs w:val="18"/>
                <w:b w:val="1"/>
                <w:bCs w:val="1"/>
                <w:color w:val="auto"/>
                <w:w w:val="91"/>
              </w:rPr>
              <w:t>Estimated Annual Expenses (as a Percentage of Average Total Assets)</w:t>
            </w:r>
            <w:r>
              <w:rPr>
                <w:rFonts w:ascii="Arial" w:cs="Arial" w:eastAsia="Arial" w:hAnsi="Arial"/>
                <w:sz w:val="15"/>
                <w:szCs w:val="15"/>
                <w:b w:val="1"/>
                <w:bCs w:val="1"/>
                <w:color w:val="auto"/>
                <w:w w:val="91"/>
              </w:rPr>
              <w:t>(1)</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0.93%</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2.20%</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0.50%</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5.13%</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Total Assets equals average adjusted gross assets as of December 31, 2018.</w:t>
      </w:r>
    </w:p>
    <w:p>
      <w:pPr>
        <w:spacing w:after="0" w:line="23" w:lineRule="exact"/>
        <w:rPr>
          <w:rFonts w:ascii="Arial" w:cs="Arial" w:eastAsia="Arial" w:hAnsi="Arial"/>
          <w:sz w:val="18"/>
          <w:szCs w:val="18"/>
          <w:color w:val="auto"/>
        </w:rPr>
      </w:pPr>
    </w:p>
    <w:p>
      <w:pPr>
        <w:ind w:left="640" w:right="320" w:hanging="436"/>
        <w:spacing w:after="0" w:line="250"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1.50% of our average adjusted gross assets. See “Certain Relationships and Transactions—Investment Management Agreement” for more information.</w:t>
      </w:r>
    </w:p>
    <w:p>
      <w:pPr>
        <w:ind w:left="640" w:hanging="436"/>
        <w:spacing w:after="0" w:line="286"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and capital gains, if any, is based on actual amounts incurred during the three months ended December 31, 2018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years, if any, may be substantially different than the fee earned during the three months ended December 31, 2018.</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24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58" w:lineRule="auto"/>
        <w:rPr>
          <w:sz w:val="20"/>
          <w:szCs w:val="20"/>
          <w:color w:val="auto"/>
        </w:rPr>
      </w:pPr>
      <w:r>
        <w:rPr>
          <w:rFonts w:ascii="Arial" w:cs="Arial" w:eastAsia="Arial" w:hAnsi="Arial"/>
          <w:sz w:val="18"/>
          <w:szCs w:val="18"/>
          <w:color w:val="auto"/>
        </w:rPr>
        <w:t>For more detailed information about the incentive fee, please see “Certain Relationships and Transactions—Investment Management Agreement” for more information.</w:t>
      </w:r>
    </w:p>
    <w:p>
      <w:pPr>
        <w:spacing w:after="0" w:line="1" w:lineRule="exact"/>
        <w:rPr>
          <w:sz w:val="20"/>
          <w:szCs w:val="20"/>
          <w:color w:val="auto"/>
        </w:rPr>
      </w:pPr>
    </w:p>
    <w:p>
      <w:pPr>
        <w:ind w:left="640" w:hanging="436"/>
        <w:spacing w:after="0" w:line="281"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December 31, 2018, we had $270.9 million of unused borrowing capacity, subject to maintenance of the applicable total assets to debt ratio, under the 1940 Act. As of such date, we had $174.1 million in borrowings outstanding under our $445.0 million Credit Facility and $250.0 million in aggregate principal of 2019 Notes at an annual interest rate of 4.50%. As of December 31, 2018, our SBIC Funds had debenture commitments from the SBA in the amount of $150.0 million all of which were outstanding with a weighted average interest rate of 3.11%, exclusive of the</w:t>
      </w:r>
    </w:p>
    <w:p>
      <w:pPr>
        <w:spacing w:after="0" w:line="2" w:lineRule="exact"/>
        <w:rPr>
          <w:rFonts w:ascii="Arial" w:cs="Arial" w:eastAsia="Arial" w:hAnsi="Arial"/>
          <w:sz w:val="16"/>
          <w:szCs w:val="16"/>
          <w:color w:val="auto"/>
        </w:rPr>
      </w:pPr>
    </w:p>
    <w:p>
      <w:pPr>
        <w:ind w:left="640" w:right="40"/>
        <w:spacing w:after="0" w:line="250" w:lineRule="auto"/>
        <w:rPr>
          <w:rFonts w:ascii="Arial" w:cs="Arial" w:eastAsia="Arial" w:hAnsi="Arial"/>
          <w:sz w:val="16"/>
          <w:szCs w:val="16"/>
          <w:color w:val="auto"/>
        </w:rPr>
      </w:pPr>
      <w:r>
        <w:rPr>
          <w:rFonts w:ascii="Arial" w:cs="Arial" w:eastAsia="Arial" w:hAnsi="Arial"/>
          <w:sz w:val="18"/>
          <w:szCs w:val="18"/>
          <w:color w:val="auto"/>
        </w:rPr>
        <w:t>3.43% of upfront fees.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incurred for the quarter ended December 31, 2018 annualized for a full year and amendment costs, if any, and we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 w:lineRule="exact"/>
        <w:rPr>
          <w:rFonts w:ascii="Arial" w:cs="Arial" w:eastAsia="Arial" w:hAnsi="Arial"/>
          <w:sz w:val="16"/>
          <w:szCs w:val="16"/>
          <w:color w:val="auto"/>
        </w:rPr>
      </w:pPr>
    </w:p>
    <w:p>
      <w:pPr>
        <w:ind w:left="640" w:right="260" w:hanging="436"/>
        <w:spacing w:after="0" w:line="281"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640" w:right="80" w:hanging="436"/>
        <w:spacing w:after="0" w:line="252"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table above is intended to assist you in understanding the various costs and expenses that an investor in shares of our common stock will bear as a percentage of our average gross assets as of December 31, 2018.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of December 31, 2018, our portfolio totaled $1,191.5 million and consisted of $577.4 million of first lien secured debt, $403.2 million of second lien secured debt, $48.1 million of subordinated debt and $162.8 million of preferred and common equity. Our debt portfolio consisted of 90% variable-rate investments and 10% fixed-rate investments. As of December 31, 2018, we had no companies on non-accrual. Overall, the portfolio had net unrealized depreciation of $132.2 million as of December 31, 2018. Our overall portfolio consisted of 56 companies with an average investment size of $21.3 million, had a weighted average yield on interest bearing debt investments of 10.9% and was invested 48% in first lien secured debt, 34% in second lien secured debt, 4% in subordinated debt and 14% in preferred and common equity.</w:t>
      </w:r>
    </w:p>
    <w:p>
      <w:pPr>
        <w:spacing w:after="0" w:line="178"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7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As of December 31, 2017, our portfolio totaled $1,100.6 million and consisted of $444.9 million of first lien secured debt, $375.6 million of second lien secured debt, $107.2 million of subordinated debt and $172.9 million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of preferred and common equity. Our debt portfolio consisted of 82% variable-rate investments (including 12% where LIBOR was below the floor) and 18% fixed-rate investments. As of December 31, 2017, we had no companies on non-accrual. Overall, the portfolio had net unrealized depreciation of $63.2 million as of December 31, 2017. Our overall portfolio consisted of 57 companies with an average investment size of $19.3 million, had a weighted average yield on interest bearing debt investments of 11.8% and was invested 40% in first lien secured debt, 34% in second lien secured debt, 10% in subordinated debt and 16% in preferred and common equity.</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LIBOR was below the floor) and 18% fixed-rate investments. As of September 30, 2017, we had no portfolio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For the three months ended December 31, 2018, we invested $194.5 million in six new and 13 existing portfolio companies with a weighted</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average yield on debt investments of 9.5%. Sales and repayments of investments for the three months ended December 31, 2018 totaled $125.8 million.</w:t>
      </w:r>
    </w:p>
    <w:p>
      <w:pPr>
        <w:spacing w:after="0" w:line="23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For the three months ended December 31, 2017, we invested $138.4 million in five new and seven existing portfolio companies with a weighted average yield on debt investments of 10.8%. Sales and repayments of investments for the three months ended December 31, 2017 totaled $192.3 million.</w:t>
      </w:r>
    </w:p>
    <w:p>
      <w:pPr>
        <w:spacing w:after="0" w:line="18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For the year ended September 30, 2018, we invested $604.7 million of investments in 17 new and 33 existing portfolio companies with a weighted average yield on debt investments of 10.2%. Sales and repayments of investments for the year ended September 30, 2018 totaled $630.5 million.</w:t>
      </w:r>
    </w:p>
    <w:p>
      <w:pPr>
        <w:spacing w:after="0" w:line="124"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For the year ended September 30, 2017, we invested $508.3 million of investments in 18 new and 24 existing portfolio companies with a weighted average yield on debt investments of 10.5%. Sales and repayments of investments for the year ended September 30, 2018 totaled $544.0 million.</w:t>
      </w:r>
    </w:p>
    <w:p>
      <w:pPr>
        <w:spacing w:after="0" w:line="124"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For the year ended September 30, 2016, we invested $330.6 million of investments in four new and 25 existing portfolio companies with a weighted average yield on debt investments of 11.9%. Sales and repayments of investments for the year ended September 30, 2017 totaled $439.7 million.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prospectus.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060" w:right="10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60" w:right="240" w:hanging="424"/>
        <w:spacing w:after="0" w:line="279"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180" w:hanging="424"/>
        <w:spacing w:after="0" w:line="312"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060" w:right="24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8" w:lineRule="exact"/>
        <w:rPr>
          <w:sz w:val="20"/>
          <w:szCs w:val="20"/>
          <w:color w:val="auto"/>
        </w:rPr>
      </w:pPr>
    </w:p>
    <w:p>
      <w:pPr>
        <w:jc w:val="both"/>
        <w:ind w:left="200" w:right="380" w:firstLine="441"/>
        <w:spacing w:after="0" w:line="279" w:lineRule="auto"/>
        <w:rPr>
          <w:sz w:val="20"/>
          <w:szCs w:val="20"/>
          <w:color w:val="auto"/>
        </w:rPr>
      </w:pPr>
      <w:r>
        <w:rPr>
          <w:rFonts w:ascii="Arial" w:cs="Arial" w:eastAsia="Arial" w:hAnsi="Arial"/>
          <w:sz w:val="17"/>
          <w:szCs w:val="17"/>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2120" w:right="1120" w:hanging="1025"/>
        <w:spacing w:after="0" w:line="277" w:lineRule="auto"/>
        <w:tabs>
          <w:tab w:leader="none" w:pos="21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2120" w:right="940" w:hanging="1025"/>
        <w:spacing w:after="0" w:line="312" w:lineRule="auto"/>
        <w:tabs>
          <w:tab w:leader="none" w:pos="21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2120" w:right="1120" w:hanging="1025"/>
        <w:spacing w:after="0" w:line="277" w:lineRule="auto"/>
        <w:tabs>
          <w:tab w:leader="none" w:pos="21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our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prior to their redemption, the 2025 Notes to align the measurement attributes of both our assets and liabilities while mitigating volatility in earnings from using different measurement attributes. Due to that election and in accordance with GAAP, we incurred $0 relating to amendment costs on the Credit Facility costs during each of the three months ended December 31, 2018 and 2017 and $0, $3.9 million and $0 relating to amendment costs on the Credit Facility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2019 Notes are reported in our Consolidated Statements of Operations. We elected not to apply ASC 825-10 to any other financial assets or liabilities, including the SBA debentures. For the three months ended December 31, 2018 and 2017, our Credit Facility and the 2019 Notes had a net change in unrealized depreciation of $6.1 million and $1.1 million, respectively. For the year ended September 30, 2018, the Credit Facility and 2019 Notes had a net change in unrealized depreciation of $3.9 million. For the years ended September 30, 2017 and 2016, our Credit Facility and the 2019 Notes and 2025 Notes had a net change in unrealized (appreciation) depreciation of $(7.6) million and $3.7 million, respectively. As of December 31, 2018, September 30, 2018 and 2017, net unrealized depreciation (appreciation) on our Credit Facility and the 2019 Notes totaled $7.6 million, $1.6 million and $(2.3) million, respectively. We use a nationally recognized independent valuation service to fair value our Credit Facility and our 2019 Notes in a manner consistent with the valuation process that the board of directors uses to value investments.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2019 Notes and, prior to their redemption, the 2025 Notes during the reporting period, including any reversal of previously recorded unrealized appreciation or depreciation, when gains or losses are realized.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29" w:lineRule="exact"/>
        <w:rPr>
          <w:sz w:val="20"/>
          <w:szCs w:val="20"/>
          <w:color w:val="auto"/>
        </w:rPr>
      </w:pPr>
    </w:p>
    <w:p>
      <w:pPr>
        <w:ind w:left="1240" w:hanging="172"/>
        <w:spacing w:after="0"/>
        <w:tabs>
          <w:tab w:leader="none" w:pos="1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40" w:lineRule="exact"/>
        <w:rPr>
          <w:rFonts w:ascii="Arial" w:cs="Arial" w:eastAsia="Arial" w:hAnsi="Arial"/>
          <w:sz w:val="16"/>
          <w:szCs w:val="16"/>
          <w:color w:val="auto"/>
        </w:rPr>
      </w:pPr>
    </w:p>
    <w:p>
      <w:pPr>
        <w:ind w:left="640" w:right="480" w:firstLine="428"/>
        <w:spacing w:after="0" w:line="277" w:lineRule="auto"/>
        <w:tabs>
          <w:tab w:leader="none" w:pos="12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Payment-in-Kind Interest</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certain annual source-of-income and quarterly asset diversification requirements. We also must annually distribute dividends for U.S. federal income tax purposes to our stockholders out of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7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Subsidiaries,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the results of operations for the three months ended December 31, 2018 and 2017.</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Investment income for the three months ended December 31, 2018 was $27.4 million and was attributable to $13.2 million from first lien secured debt, $12.4 million from second lien secured debt and $1.8 million from subordinated debt, respectively. Investment income for the three months ended December 31, 2017 was $28.7 million and was attributable to $12.7 million from first lien secured debt, $12.9 million from second lien secured debt and $3.1 million from subordinated debt, respectively. The decrease in investment income compared to the same period in the prior year was primarily due to a decrease in other income.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Expenses for the three months ended December 31, 2018 totaled $14.8 million. Base management fee for the same period totaled $4.4 million, incentive fee totaled $2.7 million, debt related interest and expenses totaled $6.3 million, general and administrative expenses totaled $1.1 million and provision for taxes totaled $0.3 million. Net expenses for the three months ended December 31, 2017 totaled $14.5 million. Base management fee for the same period totaled $4.8 million (after a base management fee waiver of $0.9 million), incentive fee totaled $2.7 million (after an incentive fee waiver of $0.5 million), debt related interest and expenses totaled $5.9 million and general and administrative expenses totaled $1.1 million. The increase in expenses compared to the same period in the prior year was primarily due to an increase in leverage, which resulted in an increased interest expense.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Net investment income totaled $12.6 million, or $0.18 per share, for the three months ended December 31, 2018, and $14.2 million, or $0.20 per share, for the three months ended December 31, 2017. The decrease in net investment income compared to the same period in the prior year was primarily due to a decrease in other income and an increase leverage, which resulted in an increased interest expense.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Sales and repayments of investments for the three months ended December 31, 2018 totaled $125.8 million and net realized gains totaled</w:t>
      </w:r>
    </w:p>
    <w:p>
      <w:pPr>
        <w:spacing w:after="0" w:line="35" w:lineRule="exact"/>
        <w:rPr>
          <w:sz w:val="20"/>
          <w:szCs w:val="20"/>
          <w:color w:val="auto"/>
        </w:rPr>
      </w:pPr>
    </w:p>
    <w:p>
      <w:pPr>
        <w:jc w:val="both"/>
        <w:ind w:left="200" w:right="40"/>
        <w:spacing w:after="0" w:line="255" w:lineRule="auto"/>
        <w:rPr>
          <w:sz w:val="20"/>
          <w:szCs w:val="20"/>
          <w:color w:val="auto"/>
        </w:rPr>
      </w:pPr>
      <w:r>
        <w:rPr>
          <w:rFonts w:ascii="Arial" w:cs="Arial" w:eastAsia="Arial" w:hAnsi="Arial"/>
          <w:sz w:val="18"/>
          <w:szCs w:val="18"/>
          <w:color w:val="auto"/>
        </w:rPr>
        <w:t>$8.5 million. Sales and repayments of investments for the three months ended December 31, 2017 totaled $192.3 million and net realized gains totaled $3.8 million. The change in realized gains/losses was primarily due to changes in the market conditions of our investments and the values at which they were realized.</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Unrealized Appreciation or Depreciation on Investments, the Credit Facility and the 2019 Notes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For the three months ended December 31, 2018 and 2017, we reported net change in unrealized depreciation on investments of $20.4 million and $6.8 million, respectively. As of December 31, 2018 and September 30, 2018, our net unrealized depreciation on investments totaled $132.2 million and $111.8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three months ended December 31, 2018 and 2017, our Credit Facility and the 2019 Notes had a net change in unrealized depreciation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$6.1 million and $1.1 million, respectively. As of December 31, 2018 and September 30, 2018, the net unrealized depreciation on the Credit Facility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2019 Notes totaled $7.6 million and $1.6 million, respectively. The net change in net unrealized depreciation compared to the same period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prior year was primarily due to changes in the capital markets.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Net change in net assets resulting from operations totaled $6.8 million, or $0.10 per share, for the three months ended December 31, 2018. This compares to a net change in net assets resulting from operations of $12.3 million, or $0.18 per share, for the three months ended December 31, 2017. The decrease in the net change in net assets from operations compared to the same period in the prior year was primarily due to a lower yielding portfolio and depreciation of our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our results of operations for the fiscal years ended September 30, 2018, 2017 and 2016.</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Investment income for the year ended September 30, 2018 was $108.3 million and was attributable to $49.5 million from first lien secured debt, $49.8 million from second lien secured debt and $9.0 million from subordinated debt and preferred and common equity. The decrease in investment income over the prior year was primarily due to a reduction of our portfolio at cost.</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Investment income for the year ended September 30, 2017 was $124.5 million and was attributable to $54.4 million from first lien secured debt, $50.4 million from second lien secured debt, $19.7 million from subordinated debt and preferred and common equity. The decrease in investment income over the prior year was primarily due to a reduction of our portfolio at cost.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Investment income for the year ended September 30, 2016 was $142.1 million and was attributable to $59.9 million from first lien secured debt, $60.5 million from second lien secured debt, $21.7 million from subordinated debt and preferred and common equity.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Net expenses for the year ended September 30, 2018 totaled $54.9 million. Base management fee for the same period totaled $16.5 million (after a base management fee waiver of $0.9 million), incentive fee totaled $11.0 million (after an incentive fee waiver of $0.5 million), debt related interest and expenses totaled $22.8 million and general and administrative expenses totaled $4.6 million. The decrease in expenses over the prior year was primarily due to a decrease in debt related expenses and base management fees.</w:t>
      </w:r>
    </w:p>
    <w:p>
      <w:pPr>
        <w:spacing w:after="0" w:line="18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Net expenses for the year ended September 30, 2017 totaled $68.1 million. Base management fee for the same period totaled $20.3 million (after a base management fee waiver of $3.9 million), incentive fee totaled $9.3 million (after an incentive fee waiver of $1.8 million), debt related interest and expenses totaled $30.5 million (including $3.9 million in amendment costs on the Credit Facility), general and administrative expenses totaled</w:t>
      </w:r>
    </w:p>
    <w:p>
      <w:pPr>
        <w:ind w:left="200" w:right="360"/>
        <w:spacing w:after="0" w:line="261" w:lineRule="auto"/>
        <w:rPr>
          <w:sz w:val="20"/>
          <w:szCs w:val="20"/>
          <w:color w:val="auto"/>
        </w:rPr>
      </w:pPr>
      <w:r>
        <w:rPr>
          <w:rFonts w:ascii="Arial" w:cs="Arial" w:eastAsia="Arial" w:hAnsi="Arial"/>
          <w:sz w:val="18"/>
          <w:szCs w:val="18"/>
          <w:color w:val="auto"/>
        </w:rPr>
        <w:t>$6.3 million and provision for taxes totaled $1.7 million. The decrease in expenses over the prior year was primarily due to lower incentive fees and general and administrative expenses.</w:t>
      </w:r>
    </w:p>
    <w:p>
      <w:pPr>
        <w:spacing w:after="0" w:line="184"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Net expenses for the year ended September 30, 2016 totaled $71.5 million. Base management fee for the same period totaled $20.9 million (after a base management fee waiver of $4.0 million), incentive fee totaled $13.5 million (after an incentive fee waiver of $2.5 million), debt related interest and expenses totaled $27.6 million, general and administrative expenses totaled $7.1 million and provision for taxes totaled $2.4 million.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Net investment income totaled $53.3 million or $0.75 per share, $56.4 million or $0.79 per share and $70.6 million or $0.99 per share for the years ended September 30, 2018, 2017 and 2016, respectively. The decrease in net investment income per share compared to the prior year was primarily due to a lower yielding portfolio partially offset by a decrease in debt related expenses and base management fees.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Sales and repayments of investments for the years ended September 30, 2018, 2017 and 2016 totaled $630.5 million, $544.0 million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$439.7 million, respectively, and net realized gains (losses) totaled $45.9 million, $(31.0) million and $(80.5) million, respectively. The change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realized gains/losses was primarily due to changes in the market conditions of our investments and the values at which they were realized.</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the 2019 Notes and the 2025 Notes</w:t>
      </w:r>
    </w:p>
    <w:p>
      <w:pPr>
        <w:spacing w:after="0" w:line="117" w:lineRule="exact"/>
        <w:rPr>
          <w:sz w:val="20"/>
          <w:szCs w:val="20"/>
          <w:color w:val="auto"/>
        </w:rPr>
      </w:pPr>
    </w:p>
    <w:p>
      <w:pPr>
        <w:ind w:left="200" w:right="360" w:firstLine="441"/>
        <w:spacing w:after="0" w:line="297" w:lineRule="auto"/>
        <w:rPr>
          <w:sz w:val="20"/>
          <w:szCs w:val="20"/>
          <w:color w:val="auto"/>
        </w:rPr>
      </w:pPr>
      <w:r>
        <w:rPr>
          <w:rFonts w:ascii="Arial" w:cs="Arial" w:eastAsia="Arial" w:hAnsi="Arial"/>
          <w:sz w:val="16"/>
          <w:szCs w:val="16"/>
          <w:color w:val="auto"/>
        </w:rPr>
        <w:t>For the years ended September 30, 2018, 2017 and 2016, we reported net change in unrealized (depreciation) appreciation on investments of $(55.3) million, $43.9 million and $24.9 million, respectively. As of September 30, 2018 and 2017, our net unrealized depreciation on investments totaled $111.8 million and $56.4 million, respectively. The net change in unrealized appreciation/depreciation on our investments for the year ended September 30, 2018 compared to the prior year was primarily due to changes in the capital market conditions, the financial performance of certain portfolio companies and the reversal of unrealized appreciation/depreciation on investments that were realized.</w:t>
      </w:r>
    </w:p>
    <w:p>
      <w:pPr>
        <w:spacing w:after="0" w:line="15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For the year ended September 30, 2018, our Credit Facility and the 2019 Notes had a net change in unrealized depreciation of $3.9 million. For the years ended September 30, 2017 and 2016, our Credit Facility, 2019 Notes and 2025 Notes had a net change in unrealized (appreciation) depreciation of $(7.6) million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$3.7 million. As of September 30, 2018 and 2017, our net unrealized depreciation (appreciation) on our Credit Facility and the 2019 Notes totaled</w:t>
      </w:r>
    </w:p>
    <w:p>
      <w:pPr>
        <w:spacing w:after="0" w:line="35" w:lineRule="exact"/>
        <w:rPr>
          <w:sz w:val="20"/>
          <w:szCs w:val="20"/>
          <w:color w:val="auto"/>
        </w:rPr>
      </w:pPr>
    </w:p>
    <w:p>
      <w:pPr>
        <w:ind w:left="200" w:right="280"/>
        <w:spacing w:after="0" w:line="261" w:lineRule="auto"/>
        <w:rPr>
          <w:sz w:val="20"/>
          <w:szCs w:val="20"/>
          <w:color w:val="auto"/>
        </w:rPr>
      </w:pPr>
      <w:r>
        <w:rPr>
          <w:rFonts w:ascii="Arial" w:cs="Arial" w:eastAsia="Arial" w:hAnsi="Arial"/>
          <w:sz w:val="18"/>
          <w:szCs w:val="18"/>
          <w:color w:val="auto"/>
        </w:rPr>
        <w:t>$1.6 million and $(2.3) million, respectively. The net change in unrealized depreciation for the year ended September 30, 2018 compared to the prior year was primarily due to changes in the capital markets.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Net change in net assets resulting from operations totaled $47.7 million or $0.68 per share, $61.7 million or $0.87 per share and $18.7 million or $0.26 per share for the years ended September 30, 2018, 2017 and 2016, respectively. The decrease in the net change in net assets from operations for year ended September 30, 2018 compared to the prior year was primarily due to a lower yielding portfolio and depreciation of our investments.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December 31,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requirements applicable to us for senior securities have been reduced from 200% (i.e., $1 of debt outstanding for each $1 of equity) to 150% (i.e., $2 of debt outstanding for each $1 of equity), subject to compliance with certain disclosure requirements. As of December 31, 2018 and September 30, 2018, our asset coverage ratio, as computed in accordance with the 1940 Act, was 248% and 291%, respectively.</w:t>
      </w:r>
    </w:p>
    <w:p>
      <w:pPr>
        <w:spacing w:after="0" w:line="193"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annualized weighted average cost of debt for the three months ended December 31, 2018 and 2017, inclusive of the fee on the undrawn commitment and amendment costs on the Credit Facility, amortized upfront fees on SBA debentures and debt issuance costs, was 4.71% and 4.32%, respectively.</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annualized weighted average cost of debt for the years ended September 30, 2018, 2017 and 2016, inclusive of the fee on the undrawn commitment and amendment costs on the Credit Facility, amortized upfront fees on SBA debentures and debt issuance costs, was 4.52%, 5.04% and 4.35%, respectively.</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December 31, 2018, we had a $445 million multi-currency Credit Facility with certain lenders and SunTrust Bank, acting as administrative agent, and JPMorgan Chase Bank, N.A., acting as syndication agent for the lenders. As of December 31, 2018, September 30, 2018 and 2017, we had $174.1 million, $80.5 million (including a $2.0 million temporary draw) and $79.4 million, respectively, in outstanding borrowings under the Credit Facility. The Credit Facility had a weighted average interest rate of 4.39%, 3.79% and 2.42%, respectively, exclusive of the fee on undrawn commitments of 0.375%, as of December 31, 2018, September 30, 2018 and 2017. The Credit Facility is a five-year revolving facility with a stated maturity date of May 25, 2022, a one-year term-out period following its fourth year and pricing set at 225 basis points over LIBOR. As of December 31, 2018, September 30, 2018 and 2017, we had $270.9 million, $364.5 million and $365.6 million of unused borrowing capacity under our Credit Facility, respectively, subject to the regulatory restrictions. The Credit Facility is secured by substantially all of our assets excluding assets held by our SBIC Funds. For a complete list of covenants contained in the Credit Facility, please refer to the Credit Facility agreement filed as Exhibit 10.1 on our Form 10-Q filed August 7, 2017 and incorporated by reference therein.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2018, we were in compliance with the terms of our Credit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58" w:lineRule="exact"/>
        <w:rPr>
          <w:sz w:val="20"/>
          <w:szCs w:val="20"/>
          <w:color w:val="auto"/>
        </w:rPr>
      </w:pPr>
    </w:p>
    <w:p>
      <w:pPr>
        <w:ind w:left="200" w:right="320" w:firstLine="441"/>
        <w:spacing w:after="0" w:line="293" w:lineRule="auto"/>
        <w:rPr>
          <w:sz w:val="20"/>
          <w:szCs w:val="20"/>
          <w:color w:val="auto"/>
        </w:rPr>
      </w:pPr>
      <w:r>
        <w:rPr>
          <w:rFonts w:ascii="Arial" w:cs="Arial" w:eastAsia="Arial" w:hAnsi="Arial"/>
          <w:sz w:val="16"/>
          <w:szCs w:val="16"/>
          <w:color w:val="auto"/>
        </w:rPr>
        <w:t>In January 2013, we issued $71.3 million in aggregate principal amount of 2025 Notes. Interest on the 2025 Notes was paid quarterly on February 1, May 1, August 1 and November 1, at a rate of 6.25% per year. On June 29, 2017, the 2025 Notes were redeemed in full and no amounts were outstanding as of September 30, 2018.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 Please see our Base Indenture and the supplemental indenture filed as Exhibit (d)(9) in our post-effective amendment filed on January 22, 2013 for more information.</w:t>
      </w:r>
    </w:p>
    <w:p>
      <w:pPr>
        <w:spacing w:after="0" w:line="165"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2019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7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On May 9, 2018, we announced a share repurchase program which allows us to repurchase up to $30 million of our outstanding common stock in the open market at prices below our NAV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months ended December 31, 2018 and 2017, we repurchased 1.0 million and zero shares of common stock in open market transactions for an aggregate cost (including transaction costs) of $7.5 million and zero, respectively. For the years ended September 30, 2018, 2017 and 2016, we repurchased 2.0 million, zero and 1.9 million shares of common stock in open market transactions for an aggregate cost (including transaction costs) of $15.0 million, zero and $12.2 million, respectively.</w:t>
      </w:r>
    </w:p>
    <w:p>
      <w:pPr>
        <w:spacing w:after="0" w:line="17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zero SBA debentures outstanding as of December 31, 2018. We have funded SBIC II with $75.0 million of equity capital and it had SBA debentures outstanding of $150.0 million as of December 31,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As of December 31, 2018, September 30, 2018 and 2017, our SBIC Funds had $150.0 million, $300.0 million and $300.0 million in debt commitments, respectively, of which $150.0 million, $180.0 million and $199.0 million was drawn, respectively. As of December 31, 2018, September 30, 2018 and 2017, the unamortized fees on the SBA debentures were $4.2 million, $4.6 million and $4.6 million, respectively. The SBA debentures’ upfront fees of 3.43% consist of a commitment fee of 1.00% and an issuance discount of 2.43%, which are being amortized.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fixed-rate SBA debentures as of December 31, 2018 and September 30, 2018 were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Fixed All-in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Maturity</w:t>
            </w:r>
          </w:p>
        </w:tc>
        <w:tc>
          <w:tcPr>
            <w:tcW w:w="8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2240" w:type="dxa"/>
            <w:vAlign w:val="bottom"/>
            <w:gridSpan w:val="3"/>
          </w:tcPr>
          <w:p>
            <w:pPr>
              <w:jc w:val="center"/>
              <w:ind w:left="195"/>
              <w:spacing w:after="0" w:line="158" w:lineRule="exact"/>
              <w:rPr>
                <w:sz w:val="20"/>
                <w:szCs w:val="20"/>
                <w:color w:val="auto"/>
              </w:rPr>
            </w:pPr>
            <w:r>
              <w:rPr>
                <w:rFonts w:ascii="Arial" w:cs="Arial" w:eastAsia="Arial" w:hAnsi="Arial"/>
                <w:sz w:val="14"/>
                <w:szCs w:val="14"/>
                <w:b w:val="1"/>
                <w:bCs w:val="1"/>
                <w:color w:val="auto"/>
                <w:w w:val="94"/>
              </w:rPr>
              <w:t>Coupon Rate</w:t>
            </w:r>
            <w:r>
              <w:rPr>
                <w:rFonts w:ascii="Arial" w:cs="Arial" w:eastAsia="Arial" w:hAnsi="Arial"/>
                <w:sz w:val="12"/>
                <w:szCs w:val="12"/>
                <w:b w:val="1"/>
                <w:bCs w:val="1"/>
                <w:color w:val="auto"/>
                <w:w w:val="94"/>
              </w:rPr>
              <w:t>(1)</w:t>
            </w:r>
          </w:p>
        </w:tc>
        <w:tc>
          <w:tcPr>
            <w:tcW w:w="340" w:type="dxa"/>
            <w:vAlign w:val="bottom"/>
          </w:tcPr>
          <w:p>
            <w:pPr>
              <w:spacing w:after="0"/>
              <w:rPr>
                <w:sz w:val="13"/>
                <w:szCs w:val="13"/>
                <w:color w:val="auto"/>
              </w:rPr>
            </w:pPr>
          </w:p>
        </w:tc>
        <w:tc>
          <w:tcPr>
            <w:tcW w:w="12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23, 2016</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1, 2026</w:t>
            </w:r>
          </w:p>
        </w:tc>
        <w:tc>
          <w:tcPr>
            <w:tcW w:w="8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40"/>
              <w:spacing w:after="0" w:line="203" w:lineRule="exact"/>
              <w:rPr>
                <w:sz w:val="20"/>
                <w:szCs w:val="20"/>
                <w:color w:val="auto"/>
              </w:rPr>
            </w:pPr>
            <w:r>
              <w:rPr>
                <w:rFonts w:ascii="Arial" w:cs="Arial" w:eastAsia="Arial" w:hAnsi="Arial"/>
                <w:sz w:val="18"/>
                <w:szCs w:val="18"/>
                <w:color w:val="auto"/>
              </w:rPr>
              <w:t>2.86%</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September 21, 2016</w:t>
            </w:r>
          </w:p>
        </w:tc>
        <w:tc>
          <w:tcPr>
            <w:tcW w:w="1400" w:type="dxa"/>
            <w:vAlign w:val="bottom"/>
          </w:tcPr>
          <w:p>
            <w:pPr>
              <w:jc w:val="right"/>
              <w:spacing w:after="0"/>
              <w:rPr>
                <w:sz w:val="20"/>
                <w:szCs w:val="20"/>
                <w:color w:val="auto"/>
              </w:rPr>
            </w:pPr>
            <w:r>
              <w:rPr>
                <w:rFonts w:ascii="Arial" w:cs="Arial" w:eastAsia="Arial" w:hAnsi="Arial"/>
                <w:sz w:val="18"/>
                <w:szCs w:val="18"/>
                <w:color w:val="auto"/>
                <w:w w:val="90"/>
              </w:rPr>
              <w:t>September 1, 2026</w:t>
            </w:r>
          </w:p>
        </w:tc>
        <w:tc>
          <w:tcPr>
            <w:tcW w:w="1760" w:type="dxa"/>
            <w:vAlign w:val="bottom"/>
            <w:gridSpan w:val="2"/>
          </w:tcPr>
          <w:p>
            <w:pPr>
              <w:ind w:left="1440"/>
              <w:spacing w:after="0"/>
              <w:rPr>
                <w:sz w:val="20"/>
                <w:szCs w:val="20"/>
                <w:color w:val="auto"/>
              </w:rPr>
            </w:pPr>
            <w:r>
              <w:rPr>
                <w:rFonts w:ascii="Arial" w:cs="Arial" w:eastAsia="Arial" w:hAnsi="Arial"/>
                <w:sz w:val="18"/>
                <w:szCs w:val="18"/>
                <w:color w:val="auto"/>
                <w:w w:val="85"/>
              </w:rPr>
              <w:t>2.41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September 1, 2027</w:t>
            </w:r>
          </w:p>
        </w:tc>
        <w:tc>
          <w:tcPr>
            <w:tcW w:w="17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85"/>
              </w:rPr>
              <w:t>2.87</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March 21, 2018</w:t>
            </w:r>
          </w:p>
        </w:tc>
        <w:tc>
          <w:tcPr>
            <w:tcW w:w="1400" w:type="dxa"/>
            <w:vAlign w:val="bottom"/>
          </w:tcPr>
          <w:p>
            <w:pPr>
              <w:jc w:val="right"/>
              <w:spacing w:after="0"/>
              <w:rPr>
                <w:sz w:val="20"/>
                <w:szCs w:val="20"/>
                <w:color w:val="auto"/>
              </w:rPr>
            </w:pPr>
            <w:r>
              <w:rPr>
                <w:rFonts w:ascii="Arial" w:cs="Arial" w:eastAsia="Arial" w:hAnsi="Arial"/>
                <w:sz w:val="18"/>
                <w:szCs w:val="18"/>
                <w:color w:val="auto"/>
              </w:rPr>
              <w:t>March 1, 2028</w:t>
            </w:r>
          </w:p>
        </w:tc>
        <w:tc>
          <w:tcPr>
            <w:tcW w:w="800" w:type="dxa"/>
            <w:vAlign w:val="bottom"/>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5"/>
              </w:rPr>
              <w:t>3.53</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Rate / Total</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3.11%</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8"/>
              </w:rPr>
              <w:t>Fixed All-in</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Maturity</w:t>
            </w:r>
          </w:p>
        </w:tc>
        <w:tc>
          <w:tcPr>
            <w:tcW w:w="8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2240" w:type="dxa"/>
            <w:vAlign w:val="bottom"/>
            <w:gridSpan w:val="3"/>
          </w:tcPr>
          <w:p>
            <w:pPr>
              <w:jc w:val="center"/>
              <w:ind w:left="195"/>
              <w:spacing w:after="0" w:line="158" w:lineRule="exact"/>
              <w:rPr>
                <w:sz w:val="20"/>
                <w:szCs w:val="20"/>
                <w:color w:val="auto"/>
              </w:rPr>
            </w:pPr>
            <w:r>
              <w:rPr>
                <w:rFonts w:ascii="Arial" w:cs="Arial" w:eastAsia="Arial" w:hAnsi="Arial"/>
                <w:sz w:val="14"/>
                <w:szCs w:val="14"/>
                <w:b w:val="1"/>
                <w:bCs w:val="1"/>
                <w:color w:val="auto"/>
                <w:w w:val="94"/>
              </w:rPr>
              <w:t>Coupon Rate</w:t>
            </w:r>
            <w:r>
              <w:rPr>
                <w:rFonts w:ascii="Arial" w:cs="Arial" w:eastAsia="Arial" w:hAnsi="Arial"/>
                <w:sz w:val="12"/>
                <w:szCs w:val="12"/>
                <w:b w:val="1"/>
                <w:bCs w:val="1"/>
                <w:color w:val="auto"/>
                <w:w w:val="94"/>
              </w:rPr>
              <w:t>(1)</w:t>
            </w:r>
          </w:p>
        </w:tc>
        <w:tc>
          <w:tcPr>
            <w:tcW w:w="340" w:type="dxa"/>
            <w:vAlign w:val="bottom"/>
          </w:tcPr>
          <w:p>
            <w:pPr>
              <w:spacing w:after="0"/>
              <w:rPr>
                <w:sz w:val="13"/>
                <w:szCs w:val="13"/>
                <w:color w:val="auto"/>
              </w:rPr>
            </w:pPr>
          </w:p>
        </w:tc>
        <w:tc>
          <w:tcPr>
            <w:tcW w:w="12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21, 2011</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September 1, 2021</w:t>
            </w:r>
          </w:p>
        </w:tc>
        <w:tc>
          <w:tcPr>
            <w:tcW w:w="8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40"/>
              <w:spacing w:after="0" w:line="203" w:lineRule="exact"/>
              <w:rPr>
                <w:sz w:val="20"/>
                <w:szCs w:val="20"/>
                <w:color w:val="auto"/>
              </w:rPr>
            </w:pPr>
            <w:r>
              <w:rPr>
                <w:rFonts w:ascii="Arial" w:cs="Arial" w:eastAsia="Arial" w:hAnsi="Arial"/>
                <w:sz w:val="18"/>
                <w:szCs w:val="18"/>
                <w:color w:val="auto"/>
              </w:rPr>
              <w:t>3.35%</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1400" w:type="dxa"/>
            <w:vAlign w:val="bottom"/>
          </w:tcPr>
          <w:p>
            <w:pPr>
              <w:jc w:val="right"/>
              <w:spacing w:after="0"/>
              <w:rPr>
                <w:sz w:val="20"/>
                <w:szCs w:val="20"/>
                <w:color w:val="auto"/>
              </w:rPr>
            </w:pPr>
            <w:r>
              <w:rPr>
                <w:rFonts w:ascii="Arial" w:cs="Arial" w:eastAsia="Arial" w:hAnsi="Arial"/>
                <w:sz w:val="18"/>
                <w:szCs w:val="18"/>
                <w:color w:val="auto"/>
              </w:rPr>
              <w:t>March 1, 2026</w:t>
            </w:r>
          </w:p>
        </w:tc>
        <w:tc>
          <w:tcPr>
            <w:tcW w:w="1760" w:type="dxa"/>
            <w:vAlign w:val="bottom"/>
            <w:gridSpan w:val="2"/>
          </w:tcPr>
          <w:p>
            <w:pPr>
              <w:ind w:left="1440"/>
              <w:spacing w:after="0"/>
              <w:rPr>
                <w:sz w:val="20"/>
                <w:szCs w:val="20"/>
                <w:color w:val="auto"/>
              </w:rPr>
            </w:pPr>
            <w:r>
              <w:rPr>
                <w:rFonts w:ascii="Arial" w:cs="Arial" w:eastAsia="Arial" w:hAnsi="Arial"/>
                <w:sz w:val="18"/>
                <w:szCs w:val="18"/>
                <w:color w:val="auto"/>
                <w:w w:val="85"/>
              </w:rPr>
              <w:t>2.86</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September 1, 2026</w:t>
            </w:r>
          </w:p>
        </w:tc>
        <w:tc>
          <w:tcPr>
            <w:tcW w:w="17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85"/>
              </w:rPr>
              <w:t>2.41</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September 20, 2017</w:t>
            </w:r>
          </w:p>
        </w:tc>
        <w:tc>
          <w:tcPr>
            <w:tcW w:w="1400" w:type="dxa"/>
            <w:vAlign w:val="bottom"/>
          </w:tcPr>
          <w:p>
            <w:pPr>
              <w:jc w:val="right"/>
              <w:spacing w:after="0"/>
              <w:rPr>
                <w:sz w:val="20"/>
                <w:szCs w:val="20"/>
                <w:color w:val="auto"/>
              </w:rPr>
            </w:pPr>
            <w:r>
              <w:rPr>
                <w:rFonts w:ascii="Arial" w:cs="Arial" w:eastAsia="Arial" w:hAnsi="Arial"/>
                <w:sz w:val="18"/>
                <w:szCs w:val="18"/>
                <w:color w:val="auto"/>
                <w:w w:val="90"/>
              </w:rPr>
              <w:t>September 1, 2027</w:t>
            </w:r>
          </w:p>
        </w:tc>
        <w:tc>
          <w:tcPr>
            <w:tcW w:w="1760" w:type="dxa"/>
            <w:vAlign w:val="bottom"/>
            <w:gridSpan w:val="2"/>
          </w:tcPr>
          <w:p>
            <w:pPr>
              <w:ind w:left="1440"/>
              <w:spacing w:after="0"/>
              <w:rPr>
                <w:sz w:val="20"/>
                <w:szCs w:val="20"/>
                <w:color w:val="auto"/>
              </w:rPr>
            </w:pPr>
            <w:r>
              <w:rPr>
                <w:rFonts w:ascii="Arial" w:cs="Arial" w:eastAsia="Arial" w:hAnsi="Arial"/>
                <w:sz w:val="18"/>
                <w:szCs w:val="18"/>
                <w:color w:val="auto"/>
                <w:w w:val="85"/>
              </w:rPr>
              <w:t>2.87</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 2028</w:t>
            </w:r>
          </w:p>
        </w:tc>
        <w:tc>
          <w:tcPr>
            <w:tcW w:w="8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5"/>
              </w:rPr>
              <w:t>3.53</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gridSpan w:val="2"/>
          </w:tcPr>
          <w:p>
            <w:pPr>
              <w:ind w:left="640"/>
              <w:spacing w:after="0"/>
              <w:rPr>
                <w:sz w:val="20"/>
                <w:szCs w:val="20"/>
                <w:color w:val="auto"/>
              </w:rPr>
            </w:pPr>
            <w:r>
              <w:rPr>
                <w:rFonts w:ascii="Arial" w:cs="Arial" w:eastAsia="Arial" w:hAnsi="Arial"/>
                <w:sz w:val="18"/>
                <w:szCs w:val="18"/>
                <w:color w:val="auto"/>
              </w:rPr>
              <w:t>3.15%</w:t>
            </w:r>
          </w:p>
        </w:tc>
        <w:tc>
          <w:tcPr>
            <w:tcW w:w="3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180,000,000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28"/>
        </w:numPr>
        <w:rPr>
          <w:rFonts w:ascii="Arial" w:cs="Arial" w:eastAsia="Arial" w:hAnsi="Arial"/>
          <w:sz w:val="15"/>
          <w:szCs w:val="15"/>
          <w:color w:val="auto"/>
        </w:rPr>
      </w:pPr>
      <w:r>
        <w:rPr>
          <w:rFonts w:ascii="Arial" w:cs="Arial" w:eastAsia="Arial" w:hAnsi="Arial"/>
          <w:sz w:val="18"/>
          <w:szCs w:val="18"/>
          <w:color w:val="auto"/>
        </w:rPr>
        <w:t>Excluding 3.43% of upfront fees.</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2018, our SBIC Funds were in compliance with their regulatory requirements.</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our required 150% asset coverage ratio is met after such borrowing. As of December 31, 2018, September 30, 2018 and 2017,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24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As of December 31, 2018, September 30, 2018 and 2017, we had cash and cash equivalents of $24.7 million, $19.5 million and $38.2 million, respectively, available for investing and general corporate purposes. We believe our liquidity and capital resources are sufficient to take advantage of market opportunities.</w:t>
      </w:r>
    </w:p>
    <w:p>
      <w:pPr>
        <w:spacing w:after="0" w:line="18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Our operating activities used cash of $38.6 million for the three months ended December 31, 2018, and our financing activities provided cash of $43.7 million for the same period. Our operating activities used cash primarily for our investment activities and our financing activities provided cash primarily from net borrowings under the Credit Facility.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operating activities provided cash of $62.4 million for the three months ended December 31, 2017, and our financing activities used cash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$27.8 million for the same period. Our operating activities provided cash from sales and repayments on our investments and our financing activities used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primarily to pay distributions to stockholders and repay the SBA debentures.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operating activities provided cash of $66.9 million for the year ended September 30, 2018, and our financing activities used cash of</w:t>
      </w:r>
    </w:p>
    <w:p>
      <w:pPr>
        <w:spacing w:after="0" w:line="35"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$85.6 million for the same period. Our operating activities provided cash from sales and repayments on our investments and our financing activities used cash primarily for net repayments of the SBA debentures and our stock repurchase program.</w:t>
      </w:r>
    </w:p>
    <w:p>
      <w:pPr>
        <w:spacing w:after="0" w:line="18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operating activities provided cash of $69.2 million for the year ended September 30, 2017, and our financing activities used cash proceeds of $107.6 million for the same period. Our operating activities provided cash primarily from sales and repayments on our investments and our financing activities used cash primarily to redeem our 2025 Notes.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operating activities provided cash of $157.7 million for the year ended September 30, 2016, and our financing activities used cash proceeds of $132.7 million for the same period. Our operating activities provided cash primarily from sales and repayments on our investments and our financing activities used cash primarily for net repayments on our Credit Facility and our stock repurchase program.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 summary of our significant contractual payment obligations at cost as of December 31, 2018, including borrowings under our various debt facilities and other contractual obligations, is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w w:val="98"/>
              </w:rPr>
              <w:t>Payments due by period (in millions)</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0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2"/>
              </w:rPr>
              <w:t>1-3 years</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3-5 years</w:t>
            </w:r>
          </w:p>
        </w:tc>
        <w:tc>
          <w:tcPr>
            <w:tcW w:w="112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1 year</w:t>
            </w:r>
          </w:p>
        </w:tc>
        <w:tc>
          <w:tcPr>
            <w:tcW w:w="102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$174.1</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$ 174.1</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SBA debentures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 xml:space="preserve">Total debt outstanding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574.1</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5"/>
                <w:szCs w:val="15"/>
                <w:color w:val="auto"/>
              </w:rPr>
              <w:t>(2)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615.1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$ 201.1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420" w:hanging="436"/>
        <w:spacing w:after="0" w:line="258" w:lineRule="auto"/>
        <w:tabs>
          <w:tab w:leader="none" w:pos="6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annualized weighted average cost of debt as of December 31, 2018, excluding debt issuance costs, was 4.10% exclusive of the fee on the undrawn commitment on the Credit Facility and 3.43% of upfront fees on SBA debentures.</w:t>
      </w:r>
    </w:p>
    <w:p>
      <w:pPr>
        <w:spacing w:after="0" w:line="1" w:lineRule="exact"/>
        <w:rPr>
          <w:rFonts w:ascii="Arial" w:cs="Arial" w:eastAsia="Arial" w:hAnsi="Arial"/>
          <w:sz w:val="15"/>
          <w:szCs w:val="15"/>
          <w:color w:val="auto"/>
        </w:rPr>
      </w:pPr>
    </w:p>
    <w:p>
      <w:pPr>
        <w:ind w:left="640" w:right="480" w:hanging="436"/>
        <w:spacing w:after="0" w:line="261" w:lineRule="auto"/>
        <w:tabs>
          <w:tab w:leader="none" w:pos="6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Unfunded debt and equity investments are disclosed in the Consolidated Schedule of Investments and Note 11 of our Consolidated Financial Statements</w:t>
      </w:r>
    </w:p>
    <w:p>
      <w:pPr>
        <w:spacing w:after="0" w:line="184"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most recently reapproved by our board of directors, including 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majority of our directors who are not interested persons of us or the Investment Adviser, in February 2019,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58"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2019, the Administrator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6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(i.e., $1 of debt outstanding for each $1 of equity) to 150% (i.e., $2 of debt outstanding for each $1 of equity),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On January 31, 2019, the Company announced the redemption of $250.0 million outstanding aggregate principal amount of its 2019 Notes due October 1, 2019. The 2019 Notes were prepaid at 100% of the principal amount, plus accrued and unpaid interest through the payment date of March 4, 2019, as well as a make-whole premium.</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On February 22, 2019, Borrower, a wholly-owned subsidiary of the Company, entered into the BNP Credit Facility. In connection with the BNP Credit Facility, the Borrower entered into, among other agreements, (i) the BNP Credit Agreement, (ii) the Control Agreement, (iii) the Custodian Agreement, and (iv) the Purchase and Sale Agreement.</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BNP Credit Agreement provides for borrowings in an aggregate amount up to $250,000,000. Borrowings under the BNP Credit Agreement will bear interest based on an annual adjusted London interbank offered rate for the relevant interest period, plus an applicable spread. Interest is payable quarterly in arrears. Any amounts borrowed under the BNP Credit Agreement will mature, and all accrued and unpaid interest thereunder will be due and payable, on the earlier of (i) February 22, 2024 or (ii) upon certain other events which result in accelerated maturity under the BNP Credit Facility. Borrowing under the BNP Credit Facility is subject to certain restrictions contained in the Investment Company Act of 1940, as amended. Borrowings under the BNP Credit Agreement are secured by all of the assets held by the Borrower.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9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During both the three months ended December 31, 2018 and 2017, we declared distributions of $0.18 per share, for total distributions of $12.2 million and $12.8 million, respectively. During the years ended September 30, 2018, 2017 and 2016, we declared distributions of $0.72 per share, $0.82 per share and $1.12 per share, respectively, for total distributions of $50.6 million, $58.3 million and $79.8 million, respectively. We monitor available net investment income to determine if a return of capital for tax purposes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7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Our quarterly distributions, if any, are determined by our board of directors.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stockholders specifically “opt out” of the dividend reinvestment plan so as to receive cash distributions.</w:t>
      </w:r>
    </w:p>
    <w:p>
      <w:pPr>
        <w:spacing w:after="0" w:line="181" w:lineRule="exact"/>
        <w:rPr>
          <w:sz w:val="20"/>
          <w:szCs w:val="20"/>
          <w:color w:val="auto"/>
        </w:rPr>
      </w:pPr>
    </w:p>
    <w:p>
      <w:pPr>
        <w:ind w:left="200" w:right="500" w:firstLine="441"/>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In August 2018, the FASB issued ASU 2018-13, Fair Value Measurement (Topic 820): Disclosure Framework—Changes to the Disclosure Requirements for Fair Value Measurement, which changes the fair value measurement disclosure requirements of ASC 820. The key provisions include new, eliminated and modified disclosure requirements. The new guidance is effective for fiscal years beginning after December 15, 2019,</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color w:val="auto"/>
        </w:rPr>
        <w:t>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In August 2018, the SEC issued the Final Rule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The amendments are intended to facilitate the disclosure of information to investors and simplify compliance. The final rule was effective on November 5, 2018. We do not anticipate the impact of this final rule to have a material impact on our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December 31, 2018, our debt portfolio consisted of 90% variable-rate investments and 10%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78"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5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20" w:type="dxa"/>
            <w:vAlign w:val="bottom"/>
            <w:gridSpan w:val="4"/>
          </w:tcPr>
          <w:p>
            <w:pPr>
              <w:jc w:val="center"/>
              <w:ind w:left="2594"/>
              <w:spacing w:after="0"/>
              <w:rPr>
                <w:sz w:val="20"/>
                <w:szCs w:val="20"/>
                <w:color w:val="auto"/>
              </w:rPr>
            </w:pPr>
            <w:r>
              <w:rPr>
                <w:rFonts w:ascii="Arial" w:cs="Arial" w:eastAsia="Arial" w:hAnsi="Arial"/>
                <w:sz w:val="14"/>
                <w:szCs w:val="14"/>
                <w:b w:val="1"/>
                <w:bCs w:val="1"/>
                <w:color w:val="auto"/>
                <w:w w:val="93"/>
              </w:rPr>
              <w:t>Change In Interest</w:t>
            </w:r>
          </w:p>
        </w:tc>
        <w:tc>
          <w:tcPr>
            <w:tcW w:w="1800" w:type="dxa"/>
            <w:vAlign w:val="bottom"/>
            <w:gridSpan w:val="4"/>
          </w:tcPr>
          <w:p>
            <w:pPr>
              <w:jc w:val="center"/>
              <w:ind w:left="354"/>
              <w:spacing w:after="0"/>
              <w:rPr>
                <w:sz w:val="20"/>
                <w:szCs w:val="20"/>
                <w:color w:val="auto"/>
              </w:rPr>
            </w:pPr>
            <w:r>
              <w:rPr>
                <w:rFonts w:ascii="Arial" w:cs="Arial" w:eastAsia="Arial" w:hAnsi="Arial"/>
                <w:sz w:val="14"/>
                <w:szCs w:val="14"/>
                <w:b w:val="1"/>
                <w:bCs w:val="1"/>
                <w:color w:val="auto"/>
                <w:w w:val="94"/>
              </w:rPr>
              <w:t>Change In 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0" w:type="dxa"/>
            <w:vAlign w:val="bottom"/>
          </w:tcPr>
          <w:p>
            <w:pPr>
              <w:spacing w:after="0"/>
              <w:rPr>
                <w:sz w:val="1"/>
                <w:szCs w:val="1"/>
                <w:color w:val="auto"/>
              </w:rPr>
            </w:pPr>
          </w:p>
        </w:tc>
      </w:tr>
      <w:tr>
        <w:trPr>
          <w:trHeight w:val="149"/>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Change In Interest Rates</w:t>
            </w:r>
          </w:p>
        </w:tc>
        <w:tc>
          <w:tcPr>
            <w:tcW w:w="3280" w:type="dxa"/>
            <w:vAlign w:val="bottom"/>
          </w:tcPr>
          <w:p>
            <w:pPr>
              <w:spacing w:after="0"/>
              <w:rPr>
                <w:sz w:val="12"/>
                <w:szCs w:val="12"/>
                <w:color w:val="auto"/>
              </w:rPr>
            </w:pPr>
          </w:p>
        </w:tc>
        <w:tc>
          <w:tcPr>
            <w:tcW w:w="17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54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0" w:type="dxa"/>
            <w:vAlign w:val="bottom"/>
          </w:tcPr>
          <w:p>
            <w:pPr>
              <w:spacing w:after="0"/>
              <w:rPr>
                <w:sz w:val="1"/>
                <w:szCs w:val="1"/>
                <w:color w:val="auto"/>
              </w:rPr>
            </w:pPr>
          </w:p>
        </w:tc>
      </w:tr>
      <w:tr>
        <w:trPr>
          <w:trHeight w:val="178"/>
        </w:trPr>
        <w:tc>
          <w:tcPr>
            <w:tcW w:w="1560" w:type="dxa"/>
            <w:vAlign w:val="bottom"/>
            <w:gridSpan w:val="2"/>
            <w:vMerge w:val="continue"/>
          </w:tcPr>
          <w:p>
            <w:pPr>
              <w:spacing w:after="0"/>
              <w:rPr>
                <w:sz w:val="15"/>
                <w:szCs w:val="15"/>
                <w:color w:val="auto"/>
              </w:rPr>
            </w:pP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Down 1%</w:t>
            </w:r>
          </w:p>
        </w:tc>
        <w:tc>
          <w:tcPr>
            <w:tcW w:w="3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(7,515)</w:t>
            </w: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Up 1%</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7,515</w:t>
            </w:r>
          </w:p>
        </w:tc>
        <w:tc>
          <w:tcPr>
            <w:tcW w:w="5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2%</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Up 3%</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22,544</w:t>
            </w:r>
          </w:p>
        </w:tc>
        <w:tc>
          <w:tcPr>
            <w:tcW w:w="5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4%</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30,066</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66"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Information about our senior securities is shown in the following table as of December 31, 2018 (unaudited) and September 30, 2018, 2017, 2016, 2015, 2014, 2013, 2012, 2011, 2010, and 2009 is from our Consolidated Financial Statements, which has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Amount</w:t>
            </w:r>
          </w:p>
        </w:tc>
        <w:tc>
          <w:tcPr>
            <w:tcW w:w="380" w:type="dxa"/>
            <w:vAlign w:val="bottom"/>
          </w:tcPr>
          <w:p>
            <w:pPr>
              <w:spacing w:after="0"/>
              <w:rPr>
                <w:sz w:val="12"/>
                <w:szCs w:val="12"/>
                <w:color w:val="auto"/>
              </w:rPr>
            </w:pPr>
          </w:p>
        </w:tc>
        <w:tc>
          <w:tcPr>
            <w:tcW w:w="108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Coverage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4240" w:type="dxa"/>
            <w:vAlign w:val="bottom"/>
            <w:vMerge w:val="restart"/>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40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5"/>
        </w:trPr>
        <w:tc>
          <w:tcPr>
            <w:tcW w:w="940" w:type="dxa"/>
            <w:vAlign w:val="bottom"/>
            <w:tcBorders>
              <w:bottom w:val="single" w:sz="8" w:color="auto"/>
            </w:tcBorders>
            <w:vMerge w:val="continue"/>
          </w:tcPr>
          <w:p>
            <w:pPr>
              <w:spacing w:after="0"/>
              <w:rPr>
                <w:sz w:val="15"/>
                <w:szCs w:val="15"/>
                <w:color w:val="auto"/>
              </w:rPr>
            </w:pPr>
          </w:p>
        </w:tc>
        <w:tc>
          <w:tcPr>
            <w:tcW w:w="4240" w:type="dxa"/>
            <w:vAlign w:val="bottom"/>
            <w:vMerge w:val="continue"/>
          </w:tcPr>
          <w:p>
            <w:pPr>
              <w:spacing w:after="0"/>
              <w:rPr>
                <w:sz w:val="15"/>
                <w:szCs w:val="15"/>
                <w:color w:val="auto"/>
              </w:rPr>
            </w:pPr>
          </w:p>
        </w:tc>
        <w:tc>
          <w:tcPr>
            <w:tcW w:w="13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(4)</w:t>
            </w:r>
          </w:p>
        </w:tc>
        <w:tc>
          <w:tcPr>
            <w:tcW w:w="0" w:type="dxa"/>
            <w:vAlign w:val="bottom"/>
          </w:tcPr>
          <w:p>
            <w:pPr>
              <w:spacing w:after="0"/>
              <w:rPr>
                <w:sz w:val="1"/>
                <w:szCs w:val="1"/>
                <w:color w:val="auto"/>
              </w:rPr>
            </w:pPr>
          </w:p>
        </w:tc>
      </w:tr>
      <w:tr>
        <w:trPr>
          <w:trHeight w:val="190"/>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2019 Notes and 2025 Notes</w:t>
            </w: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Fiscal 2019 (As of December 31, 2018, unaudited)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424,136</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2,479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330,520</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2,912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329,393</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2,950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371,590</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2,756</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458,114</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2,569</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376,476</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3,198</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216,750</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4,261</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145,000</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5,636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240,900</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2,937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247,600</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2,655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225,100</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2,713</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260" w:hanging="436"/>
        <w:spacing w:after="0" w:line="25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 As of December 31, 2018 and September 30, 2018, 2017, 2016, 2015, 2014, 2013, 2012, 2011, 2010, and 2009, the fair value of our senior securities outstanding presented in thousands (000s) was $416,518, $328,968, $331,702, $366,344, $456,595, $376,668, $213,900, $144,453, $238,792, $233,641, and $175,475, respectively.</w:t>
      </w:r>
    </w:p>
    <w:p>
      <w:pPr>
        <w:spacing w:after="0" w:line="2" w:lineRule="exact"/>
        <w:rPr>
          <w:rFonts w:ascii="Arial" w:cs="Arial" w:eastAsia="Arial" w:hAnsi="Arial"/>
          <w:sz w:val="18"/>
          <w:szCs w:val="18"/>
          <w:color w:val="auto"/>
        </w:rPr>
      </w:pPr>
    </w:p>
    <w:p>
      <w:pPr>
        <w:ind w:left="640" w:right="24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640" w:right="34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total amount outstanding and asset coverage per unit computation pursuant to an exemptive relief letter provided by the SEC in June 2011.</w:t>
      </w:r>
    </w:p>
    <w:p>
      <w:pPr>
        <w:ind w:left="64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trading on NYSE under the symbol “PNTA” since issuance, which were issued in increments of $25 per unit. On June 29, 2017, the 2025 Notes were redeemed in full and no amounts were outstanding as of December 31,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amount includes SBIC LP’s SBA debentures in the total amount outstanding and our asset coverage per unit computation.</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0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2016. On April 11, 2019, the last reported closing price of our common stock was $7.04 per share.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Closing Sales Price</w:t>
            </w:r>
          </w:p>
        </w:tc>
        <w:tc>
          <w:tcPr>
            <w:tcW w:w="210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3"/>
              </w:rPr>
              <w:t>Premium (Discount)</w:t>
            </w:r>
          </w:p>
        </w:tc>
        <w:tc>
          <w:tcPr>
            <w:tcW w:w="1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Premium (Discount)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80" w:type="dxa"/>
            <w:vAlign w:val="bottom"/>
            <w:tcBorders>
              <w:bottom w:val="single" w:sz="8" w:color="auto"/>
            </w:tcBorders>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62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 High Sales</w:t>
            </w:r>
          </w:p>
        </w:tc>
        <w:tc>
          <w:tcPr>
            <w:tcW w:w="240" w:type="dxa"/>
            <w:vAlign w:val="bottom"/>
          </w:tcPr>
          <w:p>
            <w:pPr>
              <w:spacing w:after="0"/>
              <w:rPr>
                <w:sz w:val="6"/>
                <w:szCs w:val="6"/>
                <w:color w:val="auto"/>
              </w:rPr>
            </w:pPr>
          </w:p>
        </w:tc>
        <w:tc>
          <w:tcPr>
            <w:tcW w:w="16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1100" w:type="dxa"/>
            <w:vAlign w:val="bottom"/>
            <w:gridSpan w:val="4"/>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52"/>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480" w:type="dxa"/>
            <w:vAlign w:val="bottom"/>
          </w:tcPr>
          <w:p>
            <w:pPr>
              <w:spacing w:after="0"/>
              <w:rPr>
                <w:sz w:val="4"/>
                <w:szCs w:val="4"/>
                <w:color w:val="auto"/>
              </w:rPr>
            </w:pP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4"/>
                <w:szCs w:val="4"/>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3080" w:type="dxa"/>
            <w:vAlign w:val="bottom"/>
            <w:gridSpan w:val="3"/>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6"/>
              </w:rPr>
              <w:t>Price to NAV</w:t>
            </w:r>
            <w:r>
              <w:rPr>
                <w:rFonts w:ascii="Arial" w:cs="Arial" w:eastAsia="Arial" w:hAnsi="Arial"/>
                <w:sz w:val="12"/>
                <w:szCs w:val="12"/>
                <w:b w:val="1"/>
                <w:bCs w:val="1"/>
                <w:color w:val="auto"/>
                <w:w w:val="96"/>
              </w:rPr>
              <w:t>(2)</w:t>
            </w:r>
          </w:p>
        </w:tc>
        <w:tc>
          <w:tcPr>
            <w:tcW w:w="240" w:type="dxa"/>
            <w:vAlign w:val="bottom"/>
          </w:tcPr>
          <w:p>
            <w:pPr>
              <w:spacing w:after="0"/>
              <w:rPr>
                <w:sz w:val="13"/>
                <w:szCs w:val="13"/>
                <w:color w:val="auto"/>
              </w:rPr>
            </w:pPr>
          </w:p>
        </w:tc>
        <w:tc>
          <w:tcPr>
            <w:tcW w:w="16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Ending September 30, 2019</w:t>
            </w: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Third quarter (As of April 11, 2019)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N/A</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$ 7.11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7.00</w:t>
            </w:r>
          </w:p>
        </w:tc>
        <w:tc>
          <w:tcPr>
            <w:tcW w:w="480" w:type="dxa"/>
            <w:vAlign w:val="bottom"/>
          </w:tcPr>
          <w:p>
            <w:pPr>
              <w:spacing w:after="0"/>
              <w:rPr>
                <w:sz w:val="18"/>
                <w:szCs w:val="18"/>
                <w:color w:val="auto"/>
              </w:rPr>
            </w:pPr>
          </w:p>
        </w:tc>
        <w:tc>
          <w:tcPr>
            <w:tcW w:w="162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640" w:type="dxa"/>
            <w:vAlign w:val="bottom"/>
            <w:gridSpan w:val="2"/>
          </w:tcPr>
          <w:p>
            <w:pPr>
              <w:jc w:val="center"/>
              <w:ind w:left="619"/>
              <w:spacing w:after="0"/>
              <w:rPr>
                <w:sz w:val="20"/>
                <w:szCs w:val="20"/>
                <w:color w:val="auto"/>
              </w:rPr>
            </w:pPr>
            <w:r>
              <w:rPr>
                <w:rFonts w:ascii="Arial" w:cs="Arial" w:eastAsia="Arial" w:hAnsi="Arial"/>
                <w:sz w:val="18"/>
                <w:szCs w:val="18"/>
                <w:color w:val="auto"/>
                <w:w w:val="99"/>
              </w:rPr>
              <w:t>N/A%</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4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(16)</w:t>
            </w:r>
          </w:p>
        </w:tc>
        <w:tc>
          <w:tcPr>
            <w:tcW w:w="188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2018</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(14)</w:t>
            </w:r>
          </w:p>
        </w:tc>
        <w:tc>
          <w:tcPr>
            <w:tcW w:w="188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88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(20)</w:t>
            </w:r>
          </w:p>
        </w:tc>
        <w:tc>
          <w:tcPr>
            <w:tcW w:w="188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88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2017</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88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(11)</w:t>
            </w:r>
          </w:p>
        </w:tc>
        <w:tc>
          <w:tcPr>
            <w:tcW w:w="188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188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(12)</w:t>
            </w:r>
          </w:p>
        </w:tc>
        <w:tc>
          <w:tcPr>
            <w:tcW w:w="188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7" w:lineRule="exact"/>
        <w:rPr>
          <w:sz w:val="20"/>
          <w:szCs w:val="20"/>
          <w:color w:val="auto"/>
        </w:rPr>
      </w:pPr>
    </w:p>
    <w:p>
      <w:pPr>
        <w:ind w:left="640" w:right="160" w:hanging="436"/>
        <w:spacing w:after="0" w:line="258"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21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Shares of BDCs may trade at a market price both above and below the NAV that is attributable to those shares. Our shares have traded above and below our NAV. Our shares closed on the NASDAQ Global Select Market at $6.37 and $7.46 as of December 31, 2018 and September 30, 2018, respectively. Our NAV per share was $9.05 and $9.11 as of December 31, 2018 and September 30, 2018,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March 31, 2019, we had 10 stockholders of record.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06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200" w:right="140" w:firstLine="441"/>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8"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1</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323"/>
              <w:spacing w:after="0"/>
              <w:rPr>
                <w:sz w:val="20"/>
                <w:szCs w:val="20"/>
                <w:color w:val="auto"/>
              </w:rPr>
            </w:pPr>
            <w:r>
              <w:rPr>
                <w:rFonts w:ascii="Arial" w:cs="Arial" w:eastAsia="Arial" w:hAnsi="Arial"/>
                <w:sz w:val="14"/>
                <w:szCs w:val="14"/>
                <w:b w:val="1"/>
                <w:bCs w:val="1"/>
                <w:color w:val="auto"/>
                <w:w w:val="95"/>
              </w:rPr>
              <w:t>Example 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2"/>
              </w:rPr>
              <w:t>Example 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at 10%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2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gridSpan w:val="3"/>
          </w:tcPr>
          <w:p>
            <w:pPr>
              <w:jc w:val="right"/>
              <w:ind w:right="56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gridSpan w:val="3"/>
          </w:tcPr>
          <w:p>
            <w:pPr>
              <w:jc w:val="right"/>
              <w:ind w:right="56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1,050,000</w:t>
            </w:r>
          </w:p>
        </w:tc>
        <w:tc>
          <w:tcPr>
            <w:tcW w:w="4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NAV per share</w:t>
            </w:r>
          </w:p>
        </w:tc>
        <w:tc>
          <w:tcPr>
            <w:tcW w:w="420" w:type="dxa"/>
            <w:vAlign w:val="bottom"/>
            <w:gridSpan w:val="2"/>
          </w:tcPr>
          <w:p>
            <w:pPr>
              <w:ind w:left="3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8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(0.90)%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8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0.95%</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0.91%</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(9.00)%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0.80%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Example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Example 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2"/>
              </w:rPr>
              <w:t>Prior to Sale</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6"/>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6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4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40" w:type="dxa"/>
            <w:vAlign w:val="bottom"/>
            <w:tcBorders>
              <w:top w:val="single" w:sz="8" w:color="auto"/>
            </w:tcBorders>
            <w:gridSpan w:val="2"/>
          </w:tcPr>
          <w:p>
            <w:pPr>
              <w:jc w:val="right"/>
              <w:ind w:right="72"/>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Below NAV</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Asset Values</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300"/>
              <w:spacing w:after="0"/>
              <w:rPr>
                <w:sz w:val="20"/>
                <w:szCs w:val="20"/>
                <w:color w:val="auto"/>
              </w:rPr>
            </w:pPr>
            <w:r>
              <w:rPr>
                <w:rFonts w:ascii="Arial" w:cs="Arial" w:eastAsia="Arial" w:hAnsi="Arial"/>
                <w:sz w:val="16"/>
                <w:szCs w:val="16"/>
                <w:color w:val="auto"/>
              </w:rPr>
              <w:t>Total NAV held by stockholder A</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100,000</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99,800</w:t>
            </w:r>
          </w:p>
        </w:tc>
        <w:tc>
          <w:tcPr>
            <w:tcW w:w="20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99,100</w:t>
            </w:r>
          </w:p>
        </w:tc>
        <w:tc>
          <w:tcPr>
            <w:tcW w:w="20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95,000</w:t>
            </w:r>
          </w:p>
        </w:tc>
        <w:tc>
          <w:tcPr>
            <w:tcW w:w="22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investment by stockholder A (assumed to be</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$10.00 per share)</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60" w:type="dxa"/>
            <w:vAlign w:val="bottom"/>
          </w:tcPr>
          <w:p>
            <w:pPr>
              <w:ind w:left="300"/>
              <w:spacing w:after="0"/>
              <w:rPr>
                <w:sz w:val="20"/>
                <w:szCs w:val="20"/>
                <w:color w:val="auto"/>
              </w:rPr>
            </w:pPr>
            <w:r>
              <w:rPr>
                <w:rFonts w:ascii="Arial" w:cs="Arial" w:eastAsia="Arial" w:hAnsi="Arial"/>
                <w:sz w:val="16"/>
                <w:szCs w:val="16"/>
                <w:color w:val="auto"/>
              </w:rPr>
              <w:t>Total dilution to stockholder A (total NAV less total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ind w:left="480"/>
              <w:spacing w:after="0"/>
              <w:rPr>
                <w:sz w:val="20"/>
                <w:szCs w:val="20"/>
                <w:color w:val="auto"/>
              </w:rPr>
            </w:pPr>
            <w:r>
              <w:rPr>
                <w:rFonts w:ascii="Arial" w:cs="Arial" w:eastAsia="Arial" w:hAnsi="Arial"/>
                <w:sz w:val="16"/>
                <w:szCs w:val="16"/>
                <w:color w:val="auto"/>
              </w:rPr>
              <w:t>investment)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(200)</w:t>
            </w: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(900)</w:t>
            </w: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(5,000)</w:t>
            </w: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Amounts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Arial" w:cs="Arial" w:eastAsia="Arial" w:hAnsi="Arial"/>
                <w:sz w:val="16"/>
                <w:szCs w:val="16"/>
                <w:color w:val="auto"/>
              </w:rPr>
              <w:t>NAV per share held by stockholder 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7"/>
              </w:rPr>
              <w:t>Investment per share held by stockholder A (assumed</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7"/>
              </w:rPr>
              <w:t>to be $10.00 per share on shares held prior to sale)</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60" w:type="dxa"/>
            <w:vAlign w:val="bottom"/>
          </w:tcPr>
          <w:p>
            <w:pPr>
              <w:ind w:left="300"/>
              <w:spacing w:after="0"/>
              <w:rPr>
                <w:sz w:val="20"/>
                <w:szCs w:val="20"/>
                <w:color w:val="auto"/>
              </w:rPr>
            </w:pPr>
            <w:r>
              <w:rPr>
                <w:rFonts w:ascii="Arial" w:cs="Arial" w:eastAsia="Arial" w:hAnsi="Arial"/>
                <w:sz w:val="16"/>
                <w:szCs w:val="16"/>
                <w:color w:val="auto"/>
              </w:rPr>
              <w:t>Dilution per share held by stockholder A (NAV per</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ind w:left="480"/>
              <w:spacing w:after="0"/>
              <w:rPr>
                <w:sz w:val="20"/>
                <w:szCs w:val="20"/>
                <w:color w:val="auto"/>
              </w:rPr>
            </w:pPr>
            <w:r>
              <w:rPr>
                <w:rFonts w:ascii="Arial" w:cs="Arial" w:eastAsia="Arial" w:hAnsi="Arial"/>
                <w:sz w:val="16"/>
                <w:szCs w:val="16"/>
                <w:color w:val="auto"/>
              </w:rPr>
              <w:t>share less investment per share)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(0.02)</w:t>
            </w: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(0.09)</w:t>
            </w: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(0.50)</w:t>
            </w:r>
          </w:p>
        </w:tc>
        <w:tc>
          <w:tcPr>
            <w:tcW w:w="1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6"/>
              </w:rPr>
              <w:t>Percentage dilution to stockholder A (dilution per share</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divided by investment per share)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 of the offering (i.e., 3,750 shares which is 1.50% of the offering of 250,000 shares rather than their 1.00% proportionate share).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Prior to Sale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50% Participation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Following</w:t>
            </w:r>
          </w:p>
        </w:tc>
        <w:tc>
          <w:tcPr>
            <w:tcW w:w="66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Following</w:t>
            </w:r>
          </w:p>
        </w:tc>
        <w:tc>
          <w:tcPr>
            <w:tcW w:w="66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Below NAV</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w:t>
            </w: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6"/>
                <w:szCs w:val="16"/>
                <w:b w:val="1"/>
                <w:bCs w:val="1"/>
                <w:i w:val="1"/>
                <w:iCs w:val="1"/>
                <w:color w:val="auto"/>
              </w:rPr>
              <w:t>Increases in Shares and Decrease to NAV</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25.00 %</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3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NAV per share</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3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32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(5.00)%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32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(Dilution)/Accretion to Participating Stockholder A</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11,250</w:t>
            </w:r>
          </w:p>
        </w:tc>
        <w:tc>
          <w:tcPr>
            <w:tcW w:w="320" w:type="dxa"/>
            <w:vAlign w:val="bottom"/>
          </w:tcPr>
          <w:p>
            <w:pPr>
              <w:spacing w:after="0"/>
              <w:rPr>
                <w:sz w:val="17"/>
                <w:szCs w:val="17"/>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12.50 %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13,750</w:t>
            </w:r>
          </w:p>
        </w:tc>
        <w:tc>
          <w:tcPr>
            <w:tcW w:w="32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37.50 %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0.90%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1.10%</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106,875</w:t>
            </w: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6.88 %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3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30.63 %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80" w:type="dxa"/>
            <w:vAlign w:val="bottom"/>
          </w:tcPr>
          <w:p>
            <w:pPr>
              <w:ind w:left="140"/>
              <w:spacing w:after="0"/>
              <w:rPr>
                <w:sz w:val="20"/>
                <w:szCs w:val="20"/>
                <w:color w:val="auto"/>
              </w:rPr>
            </w:pPr>
            <w:r>
              <w:rPr>
                <w:rFonts w:ascii="Arial" w:cs="Arial" w:eastAsia="Arial" w:hAnsi="Arial"/>
                <w:sz w:val="16"/>
                <w:szCs w:val="16"/>
                <w:color w:val="auto"/>
              </w:rPr>
              <w:t>held prior to sale)</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109,863</w:t>
            </w:r>
          </w:p>
        </w:tc>
        <w:tc>
          <w:tcPr>
            <w:tcW w:w="320" w:type="dxa"/>
            <w:vAlign w:val="bottom"/>
          </w:tcPr>
          <w:p>
            <w:pPr>
              <w:spacing w:after="0"/>
              <w:rPr>
                <w:sz w:val="17"/>
                <w:szCs w:val="17"/>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9.86 %</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129,588</w:t>
            </w:r>
          </w:p>
        </w:tc>
        <w:tc>
          <w:tcPr>
            <w:tcW w:w="32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29.59 %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(2,988)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NAV per share held by stockholder A</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tcPr>
          <w:p>
            <w:pPr>
              <w:ind w:left="300"/>
              <w:spacing w:after="0"/>
              <w:rPr>
                <w:sz w:val="20"/>
                <w:szCs w:val="20"/>
                <w:color w:val="auto"/>
              </w:rPr>
            </w:pPr>
            <w:r>
              <w:rPr>
                <w:rFonts w:ascii="Arial" w:cs="Arial" w:eastAsia="Arial" w:hAnsi="Arial"/>
                <w:sz w:val="16"/>
                <w:szCs w:val="16"/>
                <w:color w:val="auto"/>
                <w:w w:val="98"/>
              </w:rPr>
              <w:t>Investment per share held by stockholder A (assumed to be $10.00 per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ind w:left="480"/>
              <w:spacing w:after="0"/>
              <w:rPr>
                <w:sz w:val="20"/>
                <w:szCs w:val="20"/>
                <w:color w:val="auto"/>
              </w:rPr>
            </w:pPr>
            <w:r>
              <w:rPr>
                <w:rFonts w:ascii="Arial" w:cs="Arial" w:eastAsia="Arial" w:hAnsi="Arial"/>
                <w:sz w:val="16"/>
                <w:szCs w:val="16"/>
                <w:color w:val="auto"/>
              </w:rPr>
              <w:t>share on shares held prior to sale)</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9.77</w:t>
            </w:r>
          </w:p>
        </w:tc>
        <w:tc>
          <w:tcPr>
            <w:tcW w:w="32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(2.30)%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9.42</w:t>
            </w:r>
          </w:p>
        </w:tc>
        <w:tc>
          <w:tcPr>
            <w:tcW w:w="3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7"/>
              </w:rPr>
              <w:t>(Dilution)/accretion per share held by stockholder A (NAV per share less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tcPr>
          <w:p>
            <w:pPr>
              <w:ind w:left="300"/>
              <w:spacing w:after="0"/>
              <w:rPr>
                <w:sz w:val="20"/>
                <w:szCs w:val="20"/>
                <w:color w:val="auto"/>
              </w:rPr>
            </w:pPr>
            <w:r>
              <w:rPr>
                <w:rFonts w:ascii="Arial" w:cs="Arial" w:eastAsia="Arial" w:hAnsi="Arial"/>
                <w:sz w:val="16"/>
                <w:szCs w:val="16"/>
                <w:color w:val="auto"/>
                <w:w w:val="99"/>
              </w:rPr>
              <w:t>Percentage (dilution)/accretion to stockholder A (dilution)/accretion per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8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(2.76)%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1</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2</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2"/>
              </w:rPr>
              <w:t>Example 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at 10%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2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80" w:type="dxa"/>
            <w:vAlign w:val="bottom"/>
          </w:tcPr>
          <w:p>
            <w:pPr>
              <w:spacing w:after="0"/>
              <w:rPr>
                <w:sz w:val="17"/>
                <w:szCs w:val="17"/>
                <w:color w:val="auto"/>
              </w:rPr>
            </w:pP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1,050,000</w:t>
            </w:r>
          </w:p>
        </w:tc>
        <w:tc>
          <w:tcPr>
            <w:tcW w:w="4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5.00 %</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10.00 %</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NAV per share</w:t>
            </w:r>
          </w:p>
        </w:tc>
        <w:tc>
          <w:tcPr>
            <w:tcW w:w="180" w:type="dxa"/>
            <w:vAlign w:val="bottom"/>
          </w:tcPr>
          <w:p>
            <w:pPr>
              <w:spacing w:after="0"/>
              <w:rPr>
                <w:sz w:val="17"/>
                <w:szCs w:val="17"/>
                <w:color w:val="auto"/>
              </w:rPr>
            </w:pP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880" w:type="dxa"/>
            <w:vAlign w:val="bottom"/>
            <w:gridSpan w:val="3"/>
          </w:tcPr>
          <w:p>
            <w:pPr>
              <w:ind w:left="16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6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(0.90)%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48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80" w:type="dxa"/>
            <w:vAlign w:val="bottom"/>
          </w:tcPr>
          <w:p>
            <w:pPr>
              <w:spacing w:after="0"/>
              <w:rPr>
                <w:sz w:val="17"/>
                <w:szCs w:val="17"/>
                <w:color w:val="auto"/>
              </w:rPr>
            </w:pP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2,500</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0.05%</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0.09%</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0.20%</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NAV held by stockholder A</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300"/>
              <w:spacing w:after="0"/>
              <w:rPr>
                <w:sz w:val="20"/>
                <w:szCs w:val="20"/>
                <w:color w:val="auto"/>
              </w:rPr>
            </w:pPr>
            <w:r>
              <w:rPr>
                <w:rFonts w:ascii="Arial" w:cs="Arial" w:eastAsia="Arial" w:hAnsi="Arial"/>
                <w:sz w:val="16"/>
                <w:szCs w:val="16"/>
                <w:color w:val="auto"/>
              </w:rPr>
              <w:t>Total investment by stockholder A</w:t>
            </w:r>
          </w:p>
        </w:tc>
        <w:tc>
          <w:tcPr>
            <w:tcW w:w="180" w:type="dxa"/>
            <w:vAlign w:val="bottom"/>
          </w:tcPr>
          <w:p>
            <w:pPr>
              <w:spacing w:after="0"/>
              <w:rPr>
                <w:sz w:val="17"/>
                <w:szCs w:val="17"/>
                <w:color w:val="auto"/>
              </w:rPr>
            </w:pP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5,000</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9,470</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19,725</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(dilution)/accretion to stockholder A</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NAV per share held by stockholder A</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20" w:type="dxa"/>
            <w:vAlign w:val="bottom"/>
          </w:tcPr>
          <w:p>
            <w:pPr>
              <w:ind w:left="300"/>
              <w:spacing w:after="0"/>
              <w:rPr>
                <w:sz w:val="20"/>
                <w:szCs w:val="20"/>
                <w:color w:val="auto"/>
              </w:rPr>
            </w:pPr>
            <w:r>
              <w:rPr>
                <w:rFonts w:ascii="Arial" w:cs="Arial" w:eastAsia="Arial" w:hAnsi="Arial"/>
                <w:sz w:val="16"/>
                <w:szCs w:val="16"/>
                <w:color w:val="auto"/>
                <w:w w:val="99"/>
              </w:rPr>
              <w:t>Investment per share held by stockholder</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480"/>
              <w:spacing w:after="0"/>
              <w:rPr>
                <w:sz w:val="20"/>
                <w:szCs w:val="20"/>
                <w:color w:val="auto"/>
              </w:rPr>
            </w:pPr>
            <w:r>
              <w:rPr>
                <w:rFonts w:ascii="Arial" w:cs="Arial" w:eastAsia="Arial" w:hAnsi="Arial"/>
                <w:sz w:val="16"/>
                <w:szCs w:val="16"/>
                <w:color w:val="auto"/>
              </w:rPr>
              <w:t>A</w:t>
            </w:r>
          </w:p>
        </w:tc>
        <w:tc>
          <w:tcPr>
            <w:tcW w:w="180" w:type="dxa"/>
            <w:vAlign w:val="bottom"/>
          </w:tcPr>
          <w:p>
            <w:pPr>
              <w:spacing w:after="0"/>
              <w:rPr>
                <w:sz w:val="18"/>
                <w:szCs w:val="18"/>
                <w:color w:val="auto"/>
              </w:rPr>
            </w:pP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(Dilution)/accretion per share held by</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(0.02)</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20" w:type="dxa"/>
            <w:vAlign w:val="bottom"/>
          </w:tcPr>
          <w:p>
            <w:pPr>
              <w:ind w:left="300"/>
              <w:spacing w:after="0"/>
              <w:rPr>
                <w:sz w:val="20"/>
                <w:szCs w:val="20"/>
                <w:color w:val="auto"/>
              </w:rPr>
            </w:pPr>
            <w:r>
              <w:rPr>
                <w:rFonts w:ascii="Arial" w:cs="Arial" w:eastAsia="Arial" w:hAnsi="Arial"/>
                <w:sz w:val="16"/>
                <w:szCs w:val="16"/>
                <w:color w:val="auto"/>
              </w:rPr>
              <w:t>Percentage (dilution)/accretion to</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480"/>
              <w:spacing w:after="0"/>
              <w:rPr>
                <w:sz w:val="20"/>
                <w:szCs w:val="20"/>
                <w:color w:val="auto"/>
              </w:rPr>
            </w:pPr>
            <w:r>
              <w:rPr>
                <w:rFonts w:ascii="Arial" w:cs="Arial" w:eastAsia="Arial" w:hAnsi="Arial"/>
                <w:sz w:val="16"/>
                <w:szCs w:val="16"/>
                <w:color w:val="auto"/>
              </w:rPr>
              <w:t>stockholder A (dilution)/ accretion per</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180" w:type="dxa"/>
            <w:vAlign w:val="bottom"/>
          </w:tcPr>
          <w:p>
            <w:pPr>
              <w:spacing w:after="0"/>
              <w:rPr>
                <w:sz w:val="17"/>
                <w:szCs w:val="17"/>
                <w:color w:val="auto"/>
              </w:rPr>
            </w:pP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80" w:type="dxa"/>
            <w:vAlign w:val="bottom"/>
            <w:gridSpan w:val="3"/>
          </w:tcPr>
          <w:p>
            <w:pPr>
              <w:ind w:left="160"/>
              <w:spacing w:after="0"/>
              <w:rPr>
                <w:sz w:val="20"/>
                <w:szCs w:val="20"/>
                <w:color w:val="auto"/>
              </w:rPr>
            </w:pPr>
            <w:r>
              <w:rPr>
                <w:rFonts w:ascii="Arial" w:cs="Arial" w:eastAsia="Arial" w:hAnsi="Arial"/>
                <w:sz w:val="16"/>
                <w:szCs w:val="16"/>
                <w:color w:val="auto"/>
              </w:rPr>
              <w:t>(0.20)%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4.65 %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In January 2019, Form 1099-DIVs were sent to stockholders subject to information reporting that stated the amount and composition of distributions, and provided information with respect to appropriate tax treatment of our distributions.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2018 and</w:t>
      </w:r>
    </w:p>
    <w:p>
      <w:pPr>
        <w:spacing w:after="0" w:line="46" w:lineRule="exact"/>
        <w:rPr>
          <w:sz w:val="20"/>
          <w:szCs w:val="20"/>
          <w:color w:val="auto"/>
        </w:rPr>
      </w:pPr>
    </w:p>
    <w:p>
      <w:pPr>
        <w:ind w:left="200" w:right="420"/>
        <w:spacing w:after="0" w:line="261" w:lineRule="auto"/>
        <w:rPr>
          <w:sz w:val="20"/>
          <w:szCs w:val="20"/>
          <w:color w:val="auto"/>
        </w:rPr>
      </w:pPr>
      <w:r>
        <w:rPr>
          <w:rFonts w:ascii="Arial" w:cs="Arial" w:eastAsia="Arial" w:hAnsi="Arial"/>
          <w:sz w:val="18"/>
          <w:szCs w:val="18"/>
          <w:color w:val="auto"/>
        </w:rPr>
        <w:t>2017 from ordinary income (including short-term gains), if any, totaled $50.6 million and $58.3 million, or $0.72 and $0.82 per share, respectively, based on weighted average shares outstanding for the respective periods.</w:t>
      </w:r>
    </w:p>
    <w:p>
      <w:pPr>
        <w:spacing w:after="0" w:line="18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did not engage in any sales of unregistered securities during the three months ended December 31, 2018 and the years ended September 30, 2018, 2017 and 2016,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Investment Corporation</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May 2010 and July 2012, respectively. SBIC LP and SBIC II received licenses from the SBA to operate as SBICs, under Section 301(c) of the 1958 Act, in 2010 and 2013, respectively.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financial analysis with a focus on capital preservation, diversification and active management. Since our Investment Adviser’s inception in 2007, it has invested $8.8 billion in 507 companies with approximately 180 different financial sponsors through its managed funds.</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1060" w:right="720" w:hanging="316"/>
        <w:spacing w:after="0" w:line="266"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1060" w:hanging="316"/>
        <w:spacing w:after="0" w:line="261"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jc w:val="both"/>
        <w:ind w:left="1060" w:right="140" w:hanging="316"/>
        <w:spacing w:after="0" w:line="289"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risk-reward on our investments. </w:t>
      </w:r>
      <w:r>
        <w:rPr>
          <w:rFonts w:ascii="Arial" w:cs="Arial" w:eastAsia="Arial" w:hAnsi="Arial"/>
          <w:sz w:val="17"/>
          <w:szCs w:val="17"/>
          <w:color w:val="auto"/>
        </w:rPr>
        <w:t>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1060" w:right="120" w:hanging="316"/>
        <w:spacing w:after="0" w:line="281"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7"/>
          <w:szCs w:val="17"/>
          <w:color w:val="auto"/>
        </w:rPr>
        <w:t>We expect that private equity firms will continue to be active investors in middle-market</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These private equity funds generally seek to leverage their investments by combining their capital with loans provided by other sources, and we believe that we are well-positioned to partner with such equity investors.</w:t>
      </w:r>
    </w:p>
    <w:p>
      <w:pPr>
        <w:spacing w:after="0" w:line="70" w:lineRule="exact"/>
        <w:rPr>
          <w:rFonts w:ascii="Arial" w:cs="Arial" w:eastAsia="Arial" w:hAnsi="Arial"/>
          <w:sz w:val="17"/>
          <w:szCs w:val="17"/>
          <w:color w:val="auto"/>
        </w:rPr>
      </w:pPr>
    </w:p>
    <w:p>
      <w:pPr>
        <w:ind w:left="1060" w:right="40" w:hanging="316"/>
        <w:spacing w:after="0" w:line="256"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15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8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1060" w:hanging="316"/>
        <w:spacing w:after="0"/>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333" w:lineRule="exact"/>
        <w:rPr>
          <w:rFonts w:ascii="Arial" w:cs="Arial" w:eastAsia="Arial" w:hAnsi="Arial"/>
          <w:sz w:val="18"/>
          <w:szCs w:val="18"/>
          <w:color w:val="auto"/>
        </w:rPr>
      </w:pPr>
    </w:p>
    <w:p>
      <w:pPr>
        <w:ind w:left="600" w:hanging="176"/>
        <w:spacing w:after="0"/>
        <w:tabs>
          <w:tab w:leader="none" w:pos="600"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Proactive, Research Capability and Established Network</w:t>
      </w:r>
    </w:p>
    <w:p>
      <w:pPr>
        <w:spacing w:after="0" w:line="14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20" w:firstLine="551"/>
        <w:spacing w:after="0" w:line="297"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31" w:lineRule="exact"/>
        <w:rPr>
          <w:sz w:val="20"/>
          <w:szCs w:val="20"/>
          <w:color w:val="auto"/>
        </w:rPr>
      </w:pPr>
    </w:p>
    <w:p>
      <w:pPr>
        <w:ind w:left="200" w:right="160" w:firstLine="551"/>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Policy Overview</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seek to create a diversified portfolio that includes first lien secured debt, second lien secured debt, subordinated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unrated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6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Over time, we expect that our portfolio will continue to consist primarily of first lien secured debt, second lien secured debt, subordinated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178"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First Lien Secured Debt</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 Lien Secured Debt</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Subordinated Debt</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Selection Criteria</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Leading and defensible competitive market positions</w:t>
      </w:r>
    </w:p>
    <w:p>
      <w:pPr>
        <w:spacing w:after="0" w:line="117"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Investing in stable borrowers with positive cash flow</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 Proven management teams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Financial sponsorship</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 Investments in different borrowers, industries and geographies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 Viable exit strategy</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Due Diligence</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due diligence may include:</w:t>
      </w:r>
    </w:p>
    <w:p>
      <w:pPr>
        <w:spacing w:after="0" w:line="13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expect our first lien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8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2" w:lineRule="exact"/>
        <w:rPr>
          <w:sz w:val="20"/>
          <w:szCs w:val="20"/>
          <w:color w:val="auto"/>
        </w:rPr>
      </w:pPr>
    </w:p>
    <w:p>
      <w:pPr>
        <w:ind w:left="1060" w:right="60" w:hanging="640"/>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75" w:lineRule="exact"/>
        <w:rPr>
          <w:rFonts w:ascii="Arial" w:cs="Arial" w:eastAsia="Arial" w:hAnsi="Arial"/>
          <w:sz w:val="18"/>
          <w:szCs w:val="18"/>
          <w:color w:val="auto"/>
        </w:rPr>
      </w:pPr>
    </w:p>
    <w:p>
      <w:pPr>
        <w:ind w:left="1060" w:hanging="640"/>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30" w:lineRule="exact"/>
        <w:rPr>
          <w:rFonts w:ascii="Arial" w:cs="Arial" w:eastAsia="Arial" w:hAnsi="Arial"/>
          <w:sz w:val="18"/>
          <w:szCs w:val="18"/>
          <w:color w:val="auto"/>
        </w:rPr>
      </w:pPr>
    </w:p>
    <w:p>
      <w:pPr>
        <w:ind w:left="1060" w:right="280" w:hanging="640"/>
        <w:spacing w:after="0" w:line="312" w:lineRule="auto"/>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9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76"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assessment of success in adhering to a portfolio company’s business plan and compliance with covenants;</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Staffing</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Portfolio</w:t>
      </w:r>
    </w:p>
    <w:p>
      <w:pPr>
        <w:spacing w:after="0" w:line="117"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Our principal investment focus is to provide first lien secured debt, second lien secured debt and subordinated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Aerospace and Defense</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Cable Television</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Auto Sector</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Capital Equipment</w:t>
            </w:r>
          </w:p>
        </w:tc>
      </w:tr>
      <w:tr>
        <w:trPr>
          <w:trHeight w:val="338"/>
        </w:trPr>
        <w:tc>
          <w:tcPr>
            <w:tcW w:w="3800" w:type="dxa"/>
            <w:vAlign w:val="bottom"/>
            <w:gridSpan w:val="2"/>
          </w:tcPr>
          <w:p>
            <w:pPr>
              <w:spacing w:after="0"/>
              <w:rPr>
                <w:sz w:val="20"/>
                <w:szCs w:val="20"/>
                <w:color w:val="auto"/>
              </w:rPr>
            </w:pPr>
            <w:r>
              <w:rPr>
                <w:rFonts w:ascii="Arial" w:cs="Arial" w:eastAsia="Arial" w:hAnsi="Arial"/>
                <w:sz w:val="18"/>
                <w:szCs w:val="18"/>
                <w:color w:val="auto"/>
              </w:rPr>
              <w:t>•   Beverage, Food and Tobacco</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Cargo Transportation</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4420" w:type="dxa"/>
            <w:vAlign w:val="bottom"/>
            <w:gridSpan w:val="2"/>
          </w:tcPr>
          <w:p>
            <w:pPr>
              <w:ind w:left="1820"/>
              <w:spacing w:after="0"/>
              <w:rPr>
                <w:sz w:val="20"/>
                <w:szCs w:val="20"/>
                <w:color w:val="auto"/>
              </w:rPr>
            </w:pPr>
            <w:r>
              <w:rPr>
                <w:rFonts w:ascii="Arial" w:cs="Arial" w:eastAsia="Arial" w:hAnsi="Arial"/>
                <w:sz w:val="18"/>
                <w:szCs w:val="18"/>
                <w:color w:val="auto"/>
                <w:w w:val="93"/>
              </w:rPr>
              <w:t>•   Chemicals, Plastics and Rubber</w:t>
            </w:r>
          </w:p>
        </w:tc>
      </w:tr>
      <w:tr>
        <w:trPr>
          <w:trHeight w:val="338"/>
        </w:trPr>
        <w:tc>
          <w:tcPr>
            <w:tcW w:w="3800" w:type="dxa"/>
            <w:vAlign w:val="bottom"/>
            <w:gridSpan w:val="2"/>
          </w:tcPr>
          <w:p>
            <w:pPr>
              <w:spacing w:after="0"/>
              <w:rPr>
                <w:sz w:val="20"/>
                <w:szCs w:val="20"/>
                <w:color w:val="auto"/>
              </w:rPr>
            </w:pPr>
            <w:r>
              <w:rPr>
                <w:rFonts w:ascii="Arial" w:cs="Arial" w:eastAsia="Arial" w:hAnsi="Arial"/>
                <w:sz w:val="18"/>
                <w:szCs w:val="18"/>
                <w:color w:val="auto"/>
              </w:rPr>
              <w:t>•   Buildings and Real Estate</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Communications</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Building Materials</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Consumer Products</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Consumer Services</w:t>
            </w:r>
          </w:p>
        </w:tc>
      </w:tr>
      <w:tr>
        <w:trPr>
          <w:trHeight w:val="513"/>
        </w:trPr>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20" w:type="dxa"/>
            <w:vAlign w:val="bottom"/>
          </w:tcPr>
          <w:p>
            <w:pPr>
              <w:ind w:left="1160"/>
              <w:spacing w:after="0"/>
              <w:rPr>
                <w:sz w:val="20"/>
                <w:szCs w:val="20"/>
                <w:color w:val="auto"/>
              </w:rPr>
            </w:pPr>
            <w:r>
              <w:rPr>
                <w:rFonts w:ascii="Arial" w:cs="Arial" w:eastAsia="Arial" w:hAnsi="Arial"/>
                <w:sz w:val="18"/>
                <w:szCs w:val="18"/>
                <w:color w:val="auto"/>
              </w:rPr>
              <w:t>78</w:t>
            </w:r>
          </w:p>
        </w:tc>
        <w:tc>
          <w:tcPr>
            <w:tcW w:w="24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4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588"/>
        </w:trPr>
        <w:tc>
          <w:tcPr>
            <w:tcW w:w="5840" w:type="dxa"/>
            <w:vAlign w:val="bottom"/>
            <w:gridSpan w:val="3"/>
          </w:tcPr>
          <w:p>
            <w:pPr>
              <w:ind w:left="660"/>
              <w:spacing w:after="0"/>
              <w:rPr>
                <w:sz w:val="20"/>
                <w:szCs w:val="20"/>
                <w:color w:val="auto"/>
              </w:rPr>
            </w:pPr>
            <w:r>
              <w:rPr>
                <w:rFonts w:ascii="Arial" w:cs="Arial" w:eastAsia="Arial" w:hAnsi="Arial"/>
                <w:sz w:val="18"/>
                <w:szCs w:val="18"/>
                <w:color w:val="auto"/>
              </w:rPr>
              <w:t>•   Containers Packaging &amp; Glass</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Hotels, Motels, Inns and Gaming</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Distribution</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Diversified/Conglomerate Manufacturing</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w w:val="94"/>
              </w:rPr>
              <w:t>•   Leisure, Amusement, Motion Picture, Entertainment</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Diversified/Conglomerate Services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338"/>
        </w:trPr>
        <w:tc>
          <w:tcPr>
            <w:tcW w:w="5840" w:type="dxa"/>
            <w:vAlign w:val="bottom"/>
            <w:gridSpan w:val="3"/>
          </w:tcPr>
          <w:p>
            <w:pPr>
              <w:ind w:left="660"/>
              <w:spacing w:after="0"/>
              <w:rPr>
                <w:sz w:val="20"/>
                <w:szCs w:val="20"/>
                <w:color w:val="auto"/>
              </w:rPr>
            </w:pPr>
            <w:r>
              <w:rPr>
                <w:rFonts w:ascii="Arial" w:cs="Arial" w:eastAsia="Arial" w:hAnsi="Arial"/>
                <w:sz w:val="18"/>
                <w:szCs w:val="18"/>
                <w:color w:val="auto"/>
              </w:rPr>
              <w:t>•   Diversified Natural Resources, Precious Metals and Minerals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Manufacturing/Basic Industries</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Education</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Electronics</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Mining, Steel, Iron and Non-Precious Metals</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Energy/Utilities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Environmental Services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Financial Services</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Personal, Food and Miscellaneous Services</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Grocery</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338"/>
        </w:trPr>
        <w:tc>
          <w:tcPr>
            <w:tcW w:w="5840" w:type="dxa"/>
            <w:vAlign w:val="bottom"/>
            <w:gridSpan w:val="3"/>
          </w:tcPr>
          <w:p>
            <w:pPr>
              <w:ind w:left="660"/>
              <w:spacing w:after="0"/>
              <w:rPr>
                <w:sz w:val="20"/>
                <w:szCs w:val="20"/>
                <w:color w:val="auto"/>
              </w:rPr>
            </w:pPr>
            <w:r>
              <w:rPr>
                <w:rFonts w:ascii="Arial" w:cs="Arial" w:eastAsia="Arial" w:hAnsi="Arial"/>
                <w:sz w:val="18"/>
                <w:szCs w:val="18"/>
                <w:color w:val="auto"/>
              </w:rPr>
              <w:t>•   Healthcare, Education and Childcare</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Retail</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High Tech Industries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Wholesale</w:t>
            </w:r>
          </w:p>
        </w:tc>
      </w:tr>
    </w:tbl>
    <w:p>
      <w:pPr>
        <w:spacing w:after="0" w:line="107" w:lineRule="exact"/>
        <w:rPr>
          <w:sz w:val="20"/>
          <w:szCs w:val="20"/>
          <w:color w:val="auto"/>
        </w:rPr>
      </w:pPr>
    </w:p>
    <w:p>
      <w:pPr>
        <w:ind w:left="980" w:right="6460" w:hanging="317"/>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346"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and cash equivalents) as of:</w:t>
      </w:r>
    </w:p>
    <w:p>
      <w:pPr>
        <w:spacing w:after="0" w:line="200" w:lineRule="exact"/>
        <w:rPr>
          <w:sz w:val="20"/>
          <w:szCs w:val="20"/>
          <w:color w:val="auto"/>
        </w:rPr>
      </w:pP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2260" w:type="dxa"/>
            <w:vAlign w:val="bottom"/>
            <w:gridSpan w:val="3"/>
          </w:tcPr>
          <w:p>
            <w:pPr>
              <w:ind w:left="500"/>
              <w:spacing w:after="0"/>
              <w:rPr>
                <w:sz w:val="20"/>
                <w:szCs w:val="20"/>
                <w:color w:val="auto"/>
              </w:rPr>
            </w:pPr>
            <w:r>
              <w:rPr>
                <w:rFonts w:ascii="Arial" w:cs="Arial" w:eastAsia="Arial" w:hAnsi="Arial"/>
                <w:sz w:val="18"/>
                <w:szCs w:val="18"/>
                <w:b w:val="1"/>
                <w:bCs w:val="1"/>
                <w:color w:val="auto"/>
              </w:rPr>
              <w:t>December 31, 2018</w:t>
            </w:r>
          </w:p>
        </w:tc>
        <w:tc>
          <w:tcPr>
            <w:tcW w:w="3600" w:type="dxa"/>
            <w:vAlign w:val="bottom"/>
            <w:gridSpan w:val="3"/>
          </w:tcPr>
          <w:p>
            <w:pPr>
              <w:ind w:left="640"/>
              <w:spacing w:after="0"/>
              <w:rPr>
                <w:sz w:val="20"/>
                <w:szCs w:val="20"/>
                <w:color w:val="auto"/>
              </w:rPr>
            </w:pPr>
            <w:r>
              <w:rPr>
                <w:rFonts w:ascii="Arial" w:cs="Arial" w:eastAsia="Arial" w:hAnsi="Arial"/>
                <w:sz w:val="18"/>
                <w:szCs w:val="18"/>
                <w:b w:val="1"/>
                <w:bCs w:val="1"/>
                <w:color w:val="auto"/>
              </w:rPr>
              <w:t>Portfolio Company</w:t>
            </w:r>
          </w:p>
        </w:tc>
        <w:tc>
          <w:tcPr>
            <w:tcW w:w="2160" w:type="dxa"/>
            <w:vAlign w:val="bottom"/>
            <w:gridSpan w:val="3"/>
          </w:tcPr>
          <w:p>
            <w:pPr>
              <w:ind w:left="440"/>
              <w:spacing w:after="0"/>
              <w:rPr>
                <w:sz w:val="20"/>
                <w:szCs w:val="20"/>
                <w:color w:val="auto"/>
              </w:rPr>
            </w:pPr>
            <w:r>
              <w:rPr>
                <w:rFonts w:ascii="Arial" w:cs="Arial" w:eastAsia="Arial" w:hAnsi="Arial"/>
                <w:sz w:val="18"/>
                <w:szCs w:val="18"/>
                <w:b w:val="1"/>
                <w:bCs w:val="1"/>
                <w:color w:val="auto"/>
              </w:rPr>
              <w:t>September 30, 2018</w:t>
            </w:r>
          </w:p>
        </w:tc>
      </w:tr>
      <w:tr>
        <w:trPr>
          <w:trHeight w:val="20"/>
        </w:trPr>
        <w:tc>
          <w:tcPr>
            <w:tcW w:w="20" w:type="dxa"/>
            <w:vAlign w:val="bottom"/>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RAM Energy Holdings</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LLC</w:t>
            </w:r>
          </w:p>
        </w:tc>
        <w:tc>
          <w:tcPr>
            <w:tcW w:w="2260" w:type="dxa"/>
            <w:vAlign w:val="bottom"/>
            <w:gridSpan w:val="3"/>
            <w:shd w:val="clear" w:color="auto" w:fill="CCEEFF"/>
          </w:tcPr>
          <w:p>
            <w:pPr>
              <w:ind w:left="1860"/>
              <w:spacing w:after="0"/>
              <w:rPr>
                <w:sz w:val="20"/>
                <w:szCs w:val="20"/>
                <w:color w:val="auto"/>
              </w:rPr>
            </w:pPr>
            <w:r>
              <w:rPr>
                <w:rFonts w:ascii="Arial" w:cs="Arial" w:eastAsia="Arial" w:hAnsi="Arial"/>
                <w:sz w:val="18"/>
                <w:szCs w:val="18"/>
                <w:color w:val="auto"/>
              </w:rPr>
              <w:t>8%</w:t>
            </w:r>
          </w:p>
        </w:tc>
        <w:tc>
          <w:tcPr>
            <w:tcW w:w="36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Parq Holdings Limited Partnership</w:t>
            </w:r>
          </w:p>
        </w:tc>
        <w:tc>
          <w:tcPr>
            <w:tcW w:w="2160" w:type="dxa"/>
            <w:vAlign w:val="bottom"/>
            <w:gridSpan w:val="3"/>
            <w:shd w:val="clear" w:color="auto" w:fill="CCEEFF"/>
          </w:tcPr>
          <w:p>
            <w:pPr>
              <w:ind w:left="18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Parq Holdings Limited Partnership</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7</w:t>
            </w:r>
          </w:p>
        </w:tc>
        <w:tc>
          <w:tcPr>
            <w:tcW w:w="300" w:type="dxa"/>
            <w:vAlign w:val="bottom"/>
          </w:tcPr>
          <w:p>
            <w:pPr>
              <w:spacing w:after="0"/>
              <w:rPr>
                <w:sz w:val="18"/>
                <w:szCs w:val="18"/>
                <w:color w:val="auto"/>
              </w:rPr>
            </w:pPr>
          </w:p>
        </w:tc>
        <w:tc>
          <w:tcPr>
            <w:tcW w:w="3600" w:type="dxa"/>
            <w:vAlign w:val="bottom"/>
            <w:gridSpan w:val="3"/>
          </w:tcPr>
          <w:p>
            <w:pPr>
              <w:ind w:left="640"/>
              <w:spacing w:after="0"/>
              <w:rPr>
                <w:sz w:val="20"/>
                <w:szCs w:val="20"/>
                <w:color w:val="auto"/>
              </w:rPr>
            </w:pPr>
            <w:r>
              <w:rPr>
                <w:rFonts w:ascii="Arial" w:cs="Arial" w:eastAsia="Arial" w:hAnsi="Arial"/>
                <w:sz w:val="18"/>
                <w:szCs w:val="18"/>
                <w:color w:val="auto"/>
              </w:rPr>
              <w:t>RAM Energy Holdings LLC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AKW Holdings Limited</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4</w:t>
            </w:r>
          </w:p>
        </w:tc>
        <w:tc>
          <w:tcPr>
            <w:tcW w:w="30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AKW Holdings Limited</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Halo Buyer, Inc.</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4</w:t>
            </w:r>
          </w:p>
        </w:tc>
        <w:tc>
          <w:tcPr>
            <w:tcW w:w="300" w:type="dxa"/>
            <w:vAlign w:val="bottom"/>
          </w:tcPr>
          <w:p>
            <w:pPr>
              <w:spacing w:after="0"/>
              <w:rPr>
                <w:sz w:val="18"/>
                <w:szCs w:val="18"/>
                <w:color w:val="auto"/>
              </w:rPr>
            </w:pPr>
          </w:p>
        </w:tc>
        <w:tc>
          <w:tcPr>
            <w:tcW w:w="3600" w:type="dxa"/>
            <w:vAlign w:val="bottom"/>
            <w:gridSpan w:val="3"/>
          </w:tcPr>
          <w:p>
            <w:pPr>
              <w:ind w:left="640"/>
              <w:spacing w:after="0"/>
              <w:rPr>
                <w:sz w:val="20"/>
                <w:szCs w:val="20"/>
                <w:color w:val="auto"/>
              </w:rPr>
            </w:pPr>
            <w:r>
              <w:rPr>
                <w:rFonts w:ascii="Arial" w:cs="Arial" w:eastAsia="Arial" w:hAnsi="Arial"/>
                <w:sz w:val="18"/>
                <w:szCs w:val="18"/>
                <w:color w:val="auto"/>
              </w:rPr>
              <w:t>Halo Buyer, Inc.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MailSouth, Inc.</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4</w:t>
            </w:r>
          </w:p>
        </w:tc>
        <w:tc>
          <w:tcPr>
            <w:tcW w:w="30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MailSouth, Inc.</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PT Network, LLC</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4</w:t>
            </w:r>
          </w:p>
        </w:tc>
        <w:tc>
          <w:tcPr>
            <w:tcW w:w="300" w:type="dxa"/>
            <w:vAlign w:val="bottom"/>
          </w:tcPr>
          <w:p>
            <w:pPr>
              <w:spacing w:after="0"/>
              <w:rPr>
                <w:sz w:val="18"/>
                <w:szCs w:val="18"/>
                <w:color w:val="auto"/>
              </w:rPr>
            </w:pPr>
          </w:p>
        </w:tc>
        <w:tc>
          <w:tcPr>
            <w:tcW w:w="3600" w:type="dxa"/>
            <w:vAlign w:val="bottom"/>
            <w:gridSpan w:val="3"/>
          </w:tcPr>
          <w:p>
            <w:pPr>
              <w:ind w:left="640"/>
              <w:spacing w:after="0"/>
              <w:rPr>
                <w:sz w:val="20"/>
                <w:szCs w:val="20"/>
                <w:color w:val="auto"/>
              </w:rPr>
            </w:pPr>
            <w:r>
              <w:rPr>
                <w:rFonts w:ascii="Arial" w:cs="Arial" w:eastAsia="Arial" w:hAnsi="Arial"/>
                <w:sz w:val="18"/>
                <w:szCs w:val="18"/>
                <w:color w:val="auto"/>
              </w:rPr>
              <w:t>PT Network, LLC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Cano Health, LLC</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3</w:t>
            </w:r>
          </w:p>
        </w:tc>
        <w:tc>
          <w:tcPr>
            <w:tcW w:w="30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Cano Health, LLC</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Cascade Environmental LLC</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18"/>
                <w:szCs w:val="18"/>
                <w:color w:val="auto"/>
              </w:rPr>
            </w:pPr>
          </w:p>
        </w:tc>
        <w:tc>
          <w:tcPr>
            <w:tcW w:w="3600" w:type="dxa"/>
            <w:vAlign w:val="bottom"/>
            <w:gridSpan w:val="3"/>
          </w:tcPr>
          <w:p>
            <w:pPr>
              <w:ind w:left="640"/>
              <w:spacing w:after="0"/>
              <w:rPr>
                <w:sz w:val="20"/>
                <w:szCs w:val="20"/>
                <w:color w:val="auto"/>
              </w:rPr>
            </w:pPr>
            <w:r>
              <w:rPr>
                <w:rFonts w:ascii="Arial" w:cs="Arial" w:eastAsia="Arial" w:hAnsi="Arial"/>
                <w:sz w:val="18"/>
                <w:szCs w:val="18"/>
                <w:color w:val="auto"/>
              </w:rPr>
              <w:t>Cascade Environmental LLC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Shift4 Payments, LLC</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3</w:t>
            </w:r>
          </w:p>
        </w:tc>
        <w:tc>
          <w:tcPr>
            <w:tcW w:w="30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Shift4 Payments, LLC</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3</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Winter Park Intermediate, Inc.</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20"/>
                <w:szCs w:val="20"/>
                <w:color w:val="auto"/>
              </w:rPr>
            </w:pPr>
          </w:p>
        </w:tc>
        <w:tc>
          <w:tcPr>
            <w:tcW w:w="3600" w:type="dxa"/>
            <w:vAlign w:val="bottom"/>
            <w:gridSpan w:val="3"/>
          </w:tcPr>
          <w:p>
            <w:pPr>
              <w:ind w:left="640"/>
              <w:spacing w:after="0"/>
              <w:rPr>
                <w:sz w:val="20"/>
                <w:szCs w:val="20"/>
                <w:color w:val="auto"/>
              </w:rPr>
            </w:pPr>
            <w:r>
              <w:rPr>
                <w:rFonts w:ascii="Arial" w:cs="Arial" w:eastAsia="Arial" w:hAnsi="Arial"/>
                <w:sz w:val="18"/>
                <w:szCs w:val="18"/>
                <w:color w:val="auto"/>
              </w:rPr>
              <w:t>Winter Park Intermediate, Inc.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3</w:t>
            </w:r>
          </w:p>
        </w:tc>
        <w:tc>
          <w:tcPr>
            <w:tcW w:w="2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79</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46"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60" w:type="dxa"/>
            <w:vAlign w:val="bottom"/>
            <w:gridSpan w:val="3"/>
          </w:tcPr>
          <w:p>
            <w:pPr>
              <w:spacing w:after="0"/>
              <w:rPr>
                <w:sz w:val="20"/>
                <w:szCs w:val="20"/>
                <w:color w:val="auto"/>
              </w:rPr>
            </w:pPr>
            <w:r>
              <w:rPr>
                <w:rFonts w:ascii="Arial" w:cs="Arial" w:eastAsia="Arial" w:hAnsi="Arial"/>
                <w:sz w:val="18"/>
                <w:szCs w:val="18"/>
                <w:b w:val="1"/>
                <w:bCs w:val="1"/>
                <w:color w:val="auto"/>
              </w:rPr>
              <w:t>Industry</w:t>
            </w:r>
          </w:p>
        </w:tc>
        <w:tc>
          <w:tcPr>
            <w:tcW w:w="24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December 31, 2018</w:t>
            </w:r>
          </w:p>
        </w:tc>
        <w:tc>
          <w:tcPr>
            <w:tcW w:w="3360" w:type="dxa"/>
            <w:vAlign w:val="bottom"/>
            <w:gridSpan w:val="3"/>
          </w:tcPr>
          <w:p>
            <w:pPr>
              <w:ind w:left="420"/>
              <w:spacing w:after="0"/>
              <w:rPr>
                <w:sz w:val="20"/>
                <w:szCs w:val="20"/>
                <w:color w:val="auto"/>
              </w:rPr>
            </w:pPr>
            <w:r>
              <w:rPr>
                <w:rFonts w:ascii="Arial" w:cs="Arial" w:eastAsia="Arial" w:hAnsi="Arial"/>
                <w:sz w:val="18"/>
                <w:szCs w:val="18"/>
                <w:b w:val="1"/>
                <w:bCs w:val="1"/>
                <w:color w:val="auto"/>
              </w:rPr>
              <w:t>Industry</w:t>
            </w:r>
          </w:p>
        </w:tc>
        <w:tc>
          <w:tcPr>
            <w:tcW w:w="2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September 30, 2018</w:t>
            </w: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Healthcare, Education and Childcare</w:t>
            </w:r>
          </w:p>
        </w:tc>
        <w:tc>
          <w:tcPr>
            <w:tcW w:w="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36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rPr>
              <w:t>Healthcare, Education and</w:t>
            </w: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Childcare</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rPr>
              <w:t>Consumer Products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Energy and Utilities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rPr>
              <w:t>Hotels, Motels, Inns and Gaming</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Media</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rPr>
              <w:t>Printing and Publishing</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Financial Services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rPr>
              <w:t>Oil and Gas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Business Services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rPr>
              <w:t>Personal, Food and Miscellaneous</w:t>
            </w: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gridSpan w:val="3"/>
          </w:tcPr>
          <w:p>
            <w:pPr>
              <w:ind w:left="420"/>
              <w:spacing w:after="0" w:line="201" w:lineRule="exact"/>
              <w:rPr>
                <w:sz w:val="20"/>
                <w:szCs w:val="20"/>
                <w:color w:val="auto"/>
              </w:rPr>
            </w:pPr>
            <w:r>
              <w:rPr>
                <w:rFonts w:ascii="Arial" w:cs="Arial" w:eastAsia="Arial" w:hAnsi="Arial"/>
                <w:sz w:val="18"/>
                <w:szCs w:val="18"/>
                <w:color w:val="auto"/>
              </w:rPr>
              <w:t>Personal, Food and Miscellaneous</w:t>
            </w: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r>
    </w:tbl>
    <w:p>
      <w:pPr>
        <w:spacing w:after="0" w:line="202"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8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December 31, 2018.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December 31, 2018 Consolidated Financial Statements included elsewhere in this prospectus.</w:t>
      </w:r>
    </w:p>
    <w:p>
      <w:pPr>
        <w:spacing w:after="0" w:line="18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36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Voting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840" w:type="dxa"/>
            <w:vAlign w:val="bottom"/>
            <w:gridSpan w:val="3"/>
            <w:vMerge w:val="continue"/>
          </w:tcPr>
          <w:p>
            <w:pPr>
              <w:spacing w:after="0"/>
              <w:rPr>
                <w:sz w:val="12"/>
                <w:szCs w:val="12"/>
                <w:color w:val="auto"/>
              </w:rPr>
            </w:pPr>
          </w:p>
        </w:tc>
        <w:tc>
          <w:tcPr>
            <w:tcW w:w="17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Nature of Business</w:t>
            </w:r>
          </w:p>
        </w:tc>
        <w:tc>
          <w:tcPr>
            <w:tcW w:w="2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jc w:val="right"/>
              <w:ind w:right="3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40" w:type="dxa"/>
            <w:vAlign w:val="bottom"/>
            <w:gridSpan w:val="2"/>
            <w:vMerge w:val="continue"/>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4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140" w:type="dxa"/>
            <w:vAlign w:val="bottom"/>
            <w:gridSpan w:val="4"/>
          </w:tcPr>
          <w:p>
            <w:pPr>
              <w:ind w:left="20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20" w:type="dxa"/>
            <w:vAlign w:val="bottom"/>
            <w:gridSpan w:val="2"/>
          </w:tcPr>
          <w:p>
            <w:pPr>
              <w:spacing w:after="0" w:line="130" w:lineRule="exact"/>
              <w:rPr>
                <w:sz w:val="20"/>
                <w:szCs w:val="20"/>
                <w:color w:val="auto"/>
              </w:rPr>
            </w:pPr>
            <w:r>
              <w:rPr>
                <w:rFonts w:ascii="Arial" w:cs="Arial" w:eastAsia="Arial" w:hAnsi="Arial"/>
                <w:sz w:val="14"/>
                <w:szCs w:val="14"/>
                <w:color w:val="auto"/>
              </w:rPr>
              <w:t>AH Holdings, Inc.</w:t>
            </w:r>
          </w:p>
        </w:tc>
        <w:tc>
          <w:tcPr>
            <w:tcW w:w="1740" w:type="dxa"/>
            <w:vAlign w:val="bottom"/>
            <w:gridSpan w:val="2"/>
          </w:tcPr>
          <w:p>
            <w:pPr>
              <w:jc w:val="center"/>
              <w:ind w:right="380"/>
              <w:spacing w:after="0" w:line="130" w:lineRule="exact"/>
              <w:rPr>
                <w:sz w:val="20"/>
                <w:szCs w:val="20"/>
                <w:color w:val="auto"/>
              </w:rPr>
            </w:pPr>
            <w:r>
              <w:rPr>
                <w:rFonts w:ascii="Arial" w:cs="Arial" w:eastAsia="Arial" w:hAnsi="Arial"/>
                <w:sz w:val="14"/>
                <w:szCs w:val="14"/>
                <w:color w:val="auto"/>
                <w:w w:val="92"/>
              </w:rPr>
              <w:t>Healthcare, Education</w:t>
            </w:r>
          </w:p>
        </w:tc>
        <w:tc>
          <w:tcPr>
            <w:tcW w:w="2840" w:type="dxa"/>
            <w:vAlign w:val="bottom"/>
          </w:tcPr>
          <w:p>
            <w:pPr>
              <w:jc w:val="center"/>
              <w:spacing w:after="0" w:line="130" w:lineRule="exact"/>
              <w:rPr>
                <w:sz w:val="20"/>
                <w:szCs w:val="20"/>
                <w:color w:val="auto"/>
              </w:rPr>
            </w:pPr>
            <w:r>
              <w:rPr>
                <w:rFonts w:ascii="Arial" w:cs="Arial" w:eastAsia="Arial" w:hAnsi="Arial"/>
                <w:sz w:val="14"/>
                <w:szCs w:val="14"/>
                <w:color w:val="auto"/>
                <w:w w:val="94"/>
              </w:rPr>
              <w:t>Preferred Equity</w:t>
            </w:r>
          </w:p>
        </w:tc>
        <w:tc>
          <w:tcPr>
            <w:tcW w:w="360" w:type="dxa"/>
            <w:vAlign w:val="bottom"/>
          </w:tcPr>
          <w:p>
            <w:pPr>
              <w:spacing w:after="0"/>
              <w:rPr>
                <w:sz w:val="11"/>
                <w:szCs w:val="11"/>
                <w:color w:val="auto"/>
              </w:rPr>
            </w:pPr>
          </w:p>
        </w:tc>
        <w:tc>
          <w:tcPr>
            <w:tcW w:w="1120" w:type="dxa"/>
            <w:vAlign w:val="bottom"/>
            <w:gridSpan w:val="2"/>
          </w:tcPr>
          <w:p>
            <w:pPr>
              <w:jc w:val="right"/>
              <w:ind w:right="380"/>
              <w:spacing w:after="0" w:line="130"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0" w:lineRule="exact"/>
              <w:rPr>
                <w:sz w:val="20"/>
                <w:szCs w:val="20"/>
                <w:color w:val="auto"/>
              </w:rPr>
            </w:pPr>
            <w:r>
              <w:rPr>
                <w:rFonts w:ascii="Arial" w:cs="Arial" w:eastAsia="Arial" w:hAnsi="Arial"/>
                <w:sz w:val="14"/>
                <w:szCs w:val="14"/>
                <w:color w:val="auto"/>
              </w:rPr>
              <w:t>463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7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and Childcare</w:t>
            </w:r>
          </w:p>
        </w:tc>
        <w:tc>
          <w:tcPr>
            <w:tcW w:w="2840" w:type="dxa"/>
            <w:vAlign w:val="bottom"/>
          </w:tcPr>
          <w:p>
            <w:pPr>
              <w:jc w:val="center"/>
              <w:spacing w:after="0" w:line="149" w:lineRule="exact"/>
              <w:rPr>
                <w:sz w:val="20"/>
                <w:szCs w:val="20"/>
                <w:color w:val="auto"/>
              </w:rPr>
            </w:pPr>
            <w:r>
              <w:rPr>
                <w:rFonts w:ascii="Arial" w:cs="Arial" w:eastAsia="Arial" w:hAnsi="Arial"/>
                <w:sz w:val="14"/>
                <w:szCs w:val="14"/>
                <w:color w:val="auto"/>
                <w:w w:val="91"/>
              </w:rPr>
              <w:t>Warrants</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Houston, TX 77036</w:t>
            </w: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AG Investco LP</w:t>
            </w:r>
            <w:r>
              <w:rPr>
                <w:rFonts w:ascii="Arial" w:cs="Arial" w:eastAsia="Arial" w:hAnsi="Arial"/>
                <w:sz w:val="12"/>
                <w:szCs w:val="12"/>
                <w:color w:val="auto"/>
              </w:rPr>
              <w:t>(5)</w:t>
            </w:r>
          </w:p>
        </w:tc>
        <w:tc>
          <w:tcPr>
            <w:tcW w:w="174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0"/>
              </w:rPr>
              <w:t>Business Services</w:t>
            </w:r>
          </w:p>
        </w:tc>
        <w:tc>
          <w:tcPr>
            <w:tcW w:w="28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48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 Little Falls Drive</w:t>
            </w:r>
          </w:p>
        </w:tc>
        <w:tc>
          <w:tcPr>
            <w:tcW w:w="1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19808</w:t>
            </w:r>
          </w:p>
        </w:tc>
        <w:tc>
          <w:tcPr>
            <w:tcW w:w="1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Allied America, Inc.</w:t>
            </w: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Business Services</w:t>
            </w:r>
          </w:p>
        </w:tc>
        <w:tc>
          <w:tcPr>
            <w:tcW w:w="28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80" w:type="dxa"/>
            <w:vAlign w:val="bottom"/>
            <w:gridSpan w:val="3"/>
          </w:tcPr>
          <w:p>
            <w:pPr>
              <w:jc w:val="right"/>
              <w:ind w:right="180"/>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22,698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(CI (Allied) Investment Holdings, LLC</w:t>
            </w:r>
            <w:r>
              <w:rPr>
                <w:rFonts w:ascii="Arial" w:cs="Arial" w:eastAsia="Arial" w:hAnsi="Arial"/>
                <w:sz w:val="12"/>
                <w:szCs w:val="12"/>
                <w:color w:val="auto"/>
              </w:rPr>
              <w:t>(5)</w:t>
            </w:r>
            <w:r>
              <w:rPr>
                <w:rFonts w:ascii="Arial" w:cs="Arial" w:eastAsia="Arial" w:hAnsi="Arial"/>
                <w:sz w:val="14"/>
                <w:szCs w:val="14"/>
                <w:color w:val="auto"/>
              </w:rPr>
              <w:t>)</w:t>
            </w: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L+700, 08/08/2022</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One North LaSalle Street</w:t>
            </w: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Chicago, IL 60602</w:t>
            </w: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Insulated Glass, LLC</w:t>
            </w:r>
          </w:p>
        </w:tc>
        <w:tc>
          <w:tcPr>
            <w:tcW w:w="174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7"/>
              </w:rPr>
              <w:t>Building Materials</w:t>
            </w:r>
          </w:p>
        </w:tc>
        <w:tc>
          <w:tcPr>
            <w:tcW w:w="28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8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31,251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 Dawgs Capital III, LP</w:t>
            </w:r>
            <w:r>
              <w:rPr>
                <w:rFonts w:ascii="Arial" w:cs="Arial" w:eastAsia="Arial" w:hAnsi="Arial"/>
                <w:sz w:val="12"/>
                <w:szCs w:val="12"/>
                <w:color w:val="auto"/>
              </w:rPr>
              <w:t>(5)</w:t>
            </w:r>
            <w:r>
              <w:rPr>
                <w:rFonts w:ascii="Arial" w:cs="Arial" w:eastAsia="Arial" w:hAnsi="Arial"/>
                <w:sz w:val="14"/>
                <w:szCs w:val="14"/>
                <w:color w:val="auto"/>
              </w:rPr>
              <w:t>)</w:t>
            </w:r>
          </w:p>
        </w:tc>
        <w:tc>
          <w:tcPr>
            <w:tcW w:w="1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12/21/2023</w:t>
            </w: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3965 E. Conley Road</w:t>
            </w:r>
          </w:p>
        </w:tc>
        <w:tc>
          <w:tcPr>
            <w:tcW w:w="1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Conley, GA 30288</w:t>
            </w:r>
          </w:p>
        </w:tc>
        <w:tc>
          <w:tcPr>
            <w:tcW w:w="1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ASP LCG Holdings, Inc.</w:t>
            </w: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Education</w:t>
            </w:r>
          </w:p>
        </w:tc>
        <w:tc>
          <w:tcPr>
            <w:tcW w:w="2840" w:type="dxa"/>
            <w:vAlign w:val="bottom"/>
          </w:tcPr>
          <w:p>
            <w:pPr>
              <w:jc w:val="center"/>
              <w:spacing w:after="0"/>
              <w:rPr>
                <w:sz w:val="20"/>
                <w:szCs w:val="20"/>
                <w:color w:val="auto"/>
              </w:rPr>
            </w:pPr>
            <w:r>
              <w:rPr>
                <w:rFonts w:ascii="Arial" w:cs="Arial" w:eastAsia="Arial" w:hAnsi="Arial"/>
                <w:sz w:val="14"/>
                <w:szCs w:val="14"/>
                <w:color w:val="auto"/>
                <w:w w:val="91"/>
              </w:rPr>
              <w:t>Warrants</w:t>
            </w:r>
          </w:p>
        </w:tc>
        <w:tc>
          <w:tcPr>
            <w:tcW w:w="36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Novi, MI 48375</w:t>
            </w: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174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1"/>
              </w:rPr>
              <w:t>Broadcasting and</w:t>
            </w:r>
          </w:p>
        </w:tc>
        <w:tc>
          <w:tcPr>
            <w:tcW w:w="28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48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174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1"/>
              </w:rPr>
              <w:t>Entertainment</w:t>
            </w:r>
          </w:p>
        </w:tc>
        <w:tc>
          <w:tcPr>
            <w:tcW w:w="2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Bazaarvoice, Inc.</w:t>
            </w: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Printing and Publishing</w:t>
            </w:r>
          </w:p>
        </w:tc>
        <w:tc>
          <w:tcPr>
            <w:tcW w:w="28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36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10901 South Stonelake Blvd.</w:t>
            </w: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L+575, 02/01/2024</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Austin, TX 78759</w:t>
            </w: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Bottom Line Systems, LLC</w:t>
            </w:r>
          </w:p>
        </w:tc>
        <w:tc>
          <w:tcPr>
            <w:tcW w:w="174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Healthcare, Education</w:t>
            </w:r>
          </w:p>
        </w:tc>
        <w:tc>
          <w:tcPr>
            <w:tcW w:w="28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3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19,583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541 Buttermilk Pike, Suite 401</w:t>
            </w:r>
          </w:p>
        </w:tc>
        <w:tc>
          <w:tcPr>
            <w:tcW w:w="174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2"/>
              </w:rPr>
              <w:t>and Childcare</w:t>
            </w:r>
          </w:p>
        </w:tc>
        <w:tc>
          <w:tcPr>
            <w:tcW w:w="2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L+750, 02/13/2023</w:t>
            </w: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Crescent Springs, KY 41017</w:t>
            </w:r>
          </w:p>
        </w:tc>
        <w:tc>
          <w:tcPr>
            <w:tcW w:w="1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Broder Bros., Co.</w:t>
            </w: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Consumer Products</w:t>
            </w:r>
          </w:p>
        </w:tc>
        <w:tc>
          <w:tcPr>
            <w:tcW w:w="28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36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31,515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Six Neshaminy Interplex, 6 Floor</w:t>
            </w: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12/02/2022</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Trevose, PA 19053</w:t>
            </w: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80" w:type="dxa"/>
            <w:vAlign w:val="bottom"/>
          </w:tcPr>
          <w:p>
            <w:pPr>
              <w:spacing w:after="0"/>
              <w:rPr>
                <w:sz w:val="14"/>
                <w:szCs w:val="14"/>
                <w:color w:val="auto"/>
              </w:rPr>
            </w:pPr>
          </w:p>
        </w:tc>
        <w:tc>
          <w:tcPr>
            <w:tcW w:w="1100" w:type="dxa"/>
            <w:vAlign w:val="bottom"/>
            <w:gridSpan w:val="2"/>
          </w:tcPr>
          <w:p>
            <w:pPr>
              <w:jc w:val="right"/>
              <w:ind w:right="438"/>
              <w:spacing w:after="0"/>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00" w:type="dxa"/>
            <w:vAlign w:val="bottom"/>
            <w:gridSpan w:val="3"/>
            <w:vMerge w:val="continue"/>
          </w:tcPr>
          <w:p>
            <w:pPr>
              <w:spacing w:after="0"/>
              <w:rPr>
                <w:sz w:val="12"/>
                <w:szCs w:val="12"/>
                <w:color w:val="auto"/>
              </w:rPr>
            </w:pPr>
          </w:p>
        </w:tc>
        <w:tc>
          <w:tcPr>
            <w:tcW w:w="1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Nature of Business</w:t>
            </w:r>
          </w:p>
        </w:tc>
        <w:tc>
          <w:tcPr>
            <w:tcW w:w="29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98"/>
              <w:spacing w:after="0" w:line="145" w:lineRule="exact"/>
              <w:rPr>
                <w:sz w:val="20"/>
                <w:szCs w:val="20"/>
                <w:color w:val="auto"/>
              </w:rPr>
            </w:pPr>
            <w:r>
              <w:rPr>
                <w:rFonts w:ascii="Arial" w:cs="Arial" w:eastAsia="Arial" w:hAnsi="Arial"/>
                <w:sz w:val="14"/>
                <w:szCs w:val="14"/>
                <w:b w:val="1"/>
                <w:bCs w:val="1"/>
                <w:color w:val="auto"/>
                <w:w w:val="95"/>
              </w:rPr>
              <w:t>Percentage</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80" w:type="dxa"/>
            <w:vAlign w:val="bottom"/>
            <w:gridSpan w:val="2"/>
            <w:vMerge w:val="continue"/>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380" w:type="dxa"/>
            <w:vAlign w:val="bottom"/>
            <w:gridSpan w:val="3"/>
          </w:tcPr>
          <w:p>
            <w:pPr>
              <w:jc w:val="right"/>
              <w:ind w:right="218"/>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1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378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Blackhawk Industrial Distribution, Inc.</w:t>
            </w:r>
          </w:p>
        </w:tc>
        <w:tc>
          <w:tcPr>
            <w:tcW w:w="150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Distribution</w:t>
            </w:r>
          </w:p>
        </w:tc>
        <w:tc>
          <w:tcPr>
            <w:tcW w:w="280" w:type="dxa"/>
            <w:vAlign w:val="bottom"/>
            <w:shd w:val="clear" w:color="auto" w:fill="CCEEFF"/>
          </w:tcPr>
          <w:p>
            <w:pPr>
              <w:spacing w:after="0"/>
              <w:rPr>
                <w:sz w:val="9"/>
                <w:szCs w:val="9"/>
                <w:color w:val="auto"/>
              </w:rPr>
            </w:pPr>
          </w:p>
        </w:tc>
        <w:tc>
          <w:tcPr>
            <w:tcW w:w="298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Subordinated Debt,</w:t>
            </w:r>
          </w:p>
        </w:tc>
        <w:tc>
          <w:tcPr>
            <w:tcW w:w="2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1.5</w:t>
            </w:r>
          </w:p>
        </w:tc>
        <w:tc>
          <w:tcPr>
            <w:tcW w:w="280" w:type="dxa"/>
            <w:vAlign w:val="bottom"/>
            <w:shd w:val="clear" w:color="auto" w:fill="CCEEFF"/>
          </w:tcPr>
          <w:p>
            <w:pPr>
              <w:jc w:val="right"/>
              <w:ind w:right="98"/>
              <w:spacing w:after="0" w:line="109" w:lineRule="exact"/>
              <w:rPr>
                <w:sz w:val="20"/>
                <w:szCs w:val="20"/>
                <w:color w:val="auto"/>
              </w:rPr>
            </w:pPr>
            <w:r>
              <w:rPr>
                <w:rFonts w:ascii="Arial" w:cs="Arial" w:eastAsia="Arial" w:hAnsi="Arial"/>
                <w:sz w:val="12"/>
                <w:szCs w:val="12"/>
                <w:color w:val="auto"/>
                <w:w w:val="93"/>
              </w:rPr>
              <w:t>%</w:t>
            </w: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16,105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(Cowboy Parent LLC)</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12.0% fixed (PIK 2.0%), 03/17/2025</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SW Expressway Drive</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Broken Arrow, OK 74012</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3"/>
          </w:tcPr>
          <w:p>
            <w:pPr>
              <w:spacing w:after="0"/>
              <w:rPr>
                <w:sz w:val="20"/>
                <w:szCs w:val="20"/>
                <w:color w:val="auto"/>
              </w:rPr>
            </w:pPr>
            <w:r>
              <w:rPr>
                <w:rFonts w:ascii="Arial" w:cs="Arial" w:eastAsia="Arial" w:hAnsi="Arial"/>
                <w:sz w:val="14"/>
                <w:szCs w:val="14"/>
                <w:color w:val="auto"/>
              </w:rPr>
              <w:t>Cano Health, LLC</w:t>
            </w: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Healthcare, Education</w:t>
            </w:r>
          </w:p>
        </w:tc>
        <w:tc>
          <w:tcPr>
            <w:tcW w:w="298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tcPr>
          <w:p>
            <w:pPr>
              <w:jc w:val="right"/>
              <w:ind w:right="98"/>
              <w:spacing w:after="0"/>
              <w:rPr>
                <w:sz w:val="20"/>
                <w:szCs w:val="20"/>
                <w:color w:val="auto"/>
              </w:rPr>
            </w:pPr>
            <w:r>
              <w:rPr>
                <w:rFonts w:ascii="Arial" w:cs="Arial" w:eastAsia="Arial" w:hAnsi="Arial"/>
                <w:sz w:val="14"/>
                <w:szCs w:val="14"/>
                <w:color w:val="auto"/>
              </w:rPr>
              <w:t>3.7%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41,198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spacing w:after="0" w:line="149" w:lineRule="exact"/>
              <w:rPr>
                <w:sz w:val="20"/>
                <w:szCs w:val="20"/>
                <w:color w:val="auto"/>
              </w:rPr>
            </w:pPr>
            <w:r>
              <w:rPr>
                <w:rFonts w:ascii="Arial" w:cs="Arial" w:eastAsia="Arial" w:hAnsi="Arial"/>
                <w:sz w:val="14"/>
                <w:szCs w:val="14"/>
                <w:color w:val="auto"/>
              </w:rPr>
              <w:t>(ITC Rumba, LLC</w:t>
            </w:r>
            <w:r>
              <w:rPr>
                <w:rFonts w:ascii="Arial" w:cs="Arial" w:eastAsia="Arial" w:hAnsi="Arial"/>
                <w:sz w:val="12"/>
                <w:szCs w:val="12"/>
                <w:color w:val="auto"/>
              </w:rPr>
              <w:t>(5)</w:t>
            </w:r>
            <w:r>
              <w:rPr>
                <w:rFonts w:ascii="Arial" w:cs="Arial" w:eastAsia="Arial" w:hAnsi="Arial"/>
                <w:sz w:val="14"/>
                <w:szCs w:val="14"/>
                <w:color w:val="auto"/>
              </w:rPr>
              <w:t>)</w:t>
            </w: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and Childcare</w:t>
            </w: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12/23/2021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spacing w:after="0" w:line="149" w:lineRule="exact"/>
              <w:rPr>
                <w:sz w:val="20"/>
                <w:szCs w:val="20"/>
                <w:color w:val="auto"/>
              </w:rPr>
            </w:pPr>
            <w:r>
              <w:rPr>
                <w:rFonts w:ascii="Arial" w:cs="Arial" w:eastAsia="Arial" w:hAnsi="Arial"/>
                <w:sz w:val="14"/>
                <w:szCs w:val="14"/>
                <w:color w:val="auto"/>
              </w:rPr>
              <w:t>680 N. University Drive</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3"/>
          </w:tcPr>
          <w:p>
            <w:pPr>
              <w:spacing w:after="0"/>
              <w:rPr>
                <w:sz w:val="20"/>
                <w:szCs w:val="20"/>
                <w:color w:val="auto"/>
              </w:rPr>
            </w:pPr>
            <w:r>
              <w:rPr>
                <w:rFonts w:ascii="Arial" w:cs="Arial" w:eastAsia="Arial" w:hAnsi="Arial"/>
                <w:sz w:val="14"/>
                <w:szCs w:val="14"/>
                <w:color w:val="auto"/>
              </w:rPr>
              <w:t>Pembroke Pines, FL 33024</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Cardinal Logistics Holdings LLC</w:t>
            </w:r>
            <w:r>
              <w:rPr>
                <w:rFonts w:ascii="Arial" w:cs="Arial" w:eastAsia="Arial" w:hAnsi="Arial"/>
                <w:sz w:val="12"/>
                <w:szCs w:val="12"/>
                <w:color w:val="auto"/>
              </w:rPr>
              <w:t>(5)</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Cargo Transport</w:t>
            </w:r>
          </w:p>
        </w:tc>
        <w:tc>
          <w:tcPr>
            <w:tcW w:w="2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380" w:type="dxa"/>
            <w:vAlign w:val="bottom"/>
            <w:gridSpan w:val="3"/>
            <w:shd w:val="clear" w:color="auto" w:fill="CCEEFF"/>
          </w:tcPr>
          <w:p>
            <w:pPr>
              <w:jc w:val="right"/>
              <w:ind w:right="98"/>
              <w:spacing w:after="0" w:line="130" w:lineRule="exact"/>
              <w:rPr>
                <w:sz w:val="20"/>
                <w:szCs w:val="20"/>
                <w:color w:val="auto"/>
              </w:rPr>
            </w:pPr>
            <w:r>
              <w:rPr>
                <w:rFonts w:ascii="Arial" w:cs="Arial" w:eastAsia="Arial" w:hAnsi="Arial"/>
                <w:sz w:val="14"/>
                <w:szCs w:val="14"/>
                <w:color w:val="auto"/>
              </w:rPr>
              <w:t>2.1%</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4,092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(Intermediate Transportation 100, LLC)</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11.0% fixed PIK, 03/01/2019</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12404 Park Central Drive, Ste. 300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Dallas, TX 75251</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3"/>
          </w:tcPr>
          <w:p>
            <w:pPr>
              <w:spacing w:after="0"/>
              <w:rPr>
                <w:sz w:val="20"/>
                <w:szCs w:val="20"/>
                <w:color w:val="auto"/>
              </w:rPr>
            </w:pPr>
            <w:r>
              <w:rPr>
                <w:rFonts w:ascii="Arial" w:cs="Arial" w:eastAsia="Arial" w:hAnsi="Arial"/>
                <w:sz w:val="14"/>
                <w:szCs w:val="14"/>
                <w:color w:val="auto"/>
              </w:rPr>
              <w:t>Cascade Environmental LLC</w:t>
            </w:r>
            <w:r>
              <w:rPr>
                <w:rFonts w:ascii="Arial" w:cs="Arial" w:eastAsia="Arial" w:hAnsi="Arial"/>
                <w:sz w:val="12"/>
                <w:szCs w:val="12"/>
                <w:color w:val="auto"/>
              </w:rPr>
              <w:t>(5)</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Environmental Services</w:t>
            </w:r>
          </w:p>
        </w:tc>
        <w:tc>
          <w:tcPr>
            <w:tcW w:w="2980" w:type="dxa"/>
            <w:vAlign w:val="bottom"/>
          </w:tcPr>
          <w:p>
            <w:pPr>
              <w:jc w:val="center"/>
              <w:spacing w:after="0"/>
              <w:rPr>
                <w:sz w:val="20"/>
                <w:szCs w:val="20"/>
                <w:color w:val="auto"/>
              </w:rPr>
            </w:pPr>
            <w:r>
              <w:rPr>
                <w:rFonts w:ascii="Arial" w:cs="Arial" w:eastAsia="Arial" w:hAnsi="Arial"/>
                <w:sz w:val="14"/>
                <w:szCs w:val="14"/>
                <w:color w:val="auto"/>
                <w:w w:val="92"/>
              </w:rPr>
              <w:t>Subordinated Debt,</w:t>
            </w:r>
          </w:p>
        </w:tc>
        <w:tc>
          <w:tcPr>
            <w:tcW w:w="1380" w:type="dxa"/>
            <w:vAlign w:val="bottom"/>
            <w:gridSpan w:val="3"/>
          </w:tcPr>
          <w:p>
            <w:pPr>
              <w:jc w:val="right"/>
              <w:ind w:right="98"/>
              <w:spacing w:after="0"/>
              <w:rPr>
                <w:sz w:val="20"/>
                <w:szCs w:val="20"/>
                <w:color w:val="auto"/>
              </w:rPr>
            </w:pPr>
            <w:r>
              <w:rPr>
                <w:rFonts w:ascii="Arial" w:cs="Arial" w:eastAsia="Arial" w:hAnsi="Arial"/>
                <w:sz w:val="14"/>
                <w:szCs w:val="14"/>
                <w:color w:val="auto"/>
              </w:rPr>
              <w:t>2.8%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35,074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spacing w:after="0" w:line="149" w:lineRule="exact"/>
              <w:rPr>
                <w:sz w:val="20"/>
                <w:szCs w:val="20"/>
                <w:color w:val="auto"/>
              </w:rPr>
            </w:pPr>
            <w:r>
              <w:rPr>
                <w:rFonts w:ascii="Arial" w:cs="Arial" w:eastAsia="Arial" w:hAnsi="Arial"/>
                <w:sz w:val="14"/>
                <w:szCs w:val="14"/>
                <w:color w:val="auto"/>
              </w:rPr>
              <w:t>17270 Woodinville-Redmond Road</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5"/>
              </w:rPr>
              <w:t>15.0% fixed (PIK 13.0%), 08/20/2021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3"/>
          </w:tcPr>
          <w:p>
            <w:pPr>
              <w:spacing w:after="0"/>
              <w:rPr>
                <w:sz w:val="20"/>
                <w:szCs w:val="20"/>
                <w:color w:val="auto"/>
              </w:rPr>
            </w:pPr>
            <w:r>
              <w:rPr>
                <w:rFonts w:ascii="Arial" w:cs="Arial" w:eastAsia="Arial" w:hAnsi="Arial"/>
                <w:sz w:val="14"/>
                <w:szCs w:val="14"/>
                <w:color w:val="auto"/>
              </w:rPr>
              <w:t>Woodinville, WA 98072</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Business Services</w:t>
            </w:r>
          </w:p>
        </w:tc>
        <w:tc>
          <w:tcPr>
            <w:tcW w:w="2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380" w:type="dxa"/>
            <w:vAlign w:val="bottom"/>
            <w:gridSpan w:val="3"/>
            <w:shd w:val="clear" w:color="auto" w:fill="CCEEFF"/>
          </w:tcPr>
          <w:p>
            <w:pPr>
              <w:jc w:val="right"/>
              <w:ind w:right="98"/>
              <w:spacing w:after="0" w:line="130" w:lineRule="exact"/>
              <w:rPr>
                <w:sz w:val="20"/>
                <w:szCs w:val="20"/>
                <w:color w:val="auto"/>
              </w:rPr>
            </w:pPr>
            <w:r>
              <w:rPr>
                <w:rFonts w:ascii="Arial" w:cs="Arial" w:eastAsia="Arial" w:hAnsi="Arial"/>
                <w:sz w:val="14"/>
                <w:szCs w:val="14"/>
                <w:color w:val="auto"/>
              </w:rPr>
              <w:t>0.3%</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13,034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(6)</w:t>
            </w:r>
            <w:r>
              <w:rPr>
                <w:rFonts w:ascii="Arial" w:cs="Arial" w:eastAsia="Arial" w:hAnsi="Arial"/>
                <w:sz w:val="14"/>
                <w:szCs w:val="14"/>
                <w:color w:val="auto"/>
              </w:rPr>
              <w:t>)</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L+875, 04/25/2025</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(6)</w:t>
            </w:r>
            <w:r>
              <w:rPr>
                <w:rFonts w:ascii="Arial" w:cs="Arial" w:eastAsia="Arial" w:hAnsi="Arial"/>
                <w:sz w:val="14"/>
                <w:szCs w:val="14"/>
                <w:color w:val="auto"/>
              </w:rPr>
              <w:t>)</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3"/>
          </w:tcPr>
          <w:p>
            <w:pPr>
              <w:spacing w:after="0"/>
              <w:rPr>
                <w:sz w:val="20"/>
                <w:szCs w:val="20"/>
                <w:color w:val="auto"/>
              </w:rPr>
            </w:pPr>
            <w:r>
              <w:rPr>
                <w:rFonts w:ascii="Arial" w:cs="Arial" w:eastAsia="Arial" w:hAnsi="Arial"/>
                <w:sz w:val="14"/>
                <w:szCs w:val="14"/>
                <w:color w:val="auto"/>
              </w:rPr>
              <w:t>Confie Seguros Holding Co.</w:t>
            </w: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Insurance</w:t>
            </w:r>
          </w:p>
        </w:tc>
        <w:tc>
          <w:tcPr>
            <w:tcW w:w="298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80" w:type="dxa"/>
            <w:vAlign w:val="bottom"/>
          </w:tcPr>
          <w:p>
            <w:pPr>
              <w:spacing w:after="0"/>
              <w:rPr>
                <w:sz w:val="20"/>
                <w:szCs w:val="20"/>
                <w:color w:val="auto"/>
              </w:rPr>
            </w:pPr>
          </w:p>
        </w:tc>
        <w:tc>
          <w:tcPr>
            <w:tcW w:w="1100" w:type="dxa"/>
            <w:vAlign w:val="bottom"/>
            <w:gridSpan w:val="2"/>
          </w:tcPr>
          <w:p>
            <w:pPr>
              <w:jc w:val="right"/>
              <w:ind w:right="29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14,041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spacing w:after="0" w:line="149" w:lineRule="exact"/>
              <w:rPr>
                <w:sz w:val="20"/>
                <w:szCs w:val="20"/>
                <w:color w:val="auto"/>
              </w:rPr>
            </w:pPr>
            <w:r>
              <w:rPr>
                <w:rFonts w:ascii="Arial" w:cs="Arial" w:eastAsia="Arial" w:hAnsi="Arial"/>
                <w:sz w:val="14"/>
                <w:szCs w:val="14"/>
                <w:color w:val="auto"/>
              </w:rPr>
              <w:t>7711 Center Avenue, Suite 200</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10/31/2025</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3"/>
          </w:tcPr>
          <w:p>
            <w:pPr>
              <w:spacing w:after="0"/>
              <w:rPr>
                <w:sz w:val="20"/>
                <w:szCs w:val="20"/>
                <w:color w:val="auto"/>
              </w:rPr>
            </w:pPr>
            <w:r>
              <w:rPr>
                <w:rFonts w:ascii="Arial" w:cs="Arial" w:eastAsia="Arial" w:hAnsi="Arial"/>
                <w:sz w:val="14"/>
                <w:szCs w:val="14"/>
                <w:color w:val="auto"/>
              </w:rPr>
              <w:t>Huntington Beach, CA 92647</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DecoPac, Inc.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1"/>
              </w:rPr>
              <w:t>Beverage, Food and</w:t>
            </w:r>
          </w:p>
        </w:tc>
        <w:tc>
          <w:tcPr>
            <w:tcW w:w="2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380" w:type="dxa"/>
            <w:vAlign w:val="bottom"/>
            <w:gridSpan w:val="3"/>
            <w:shd w:val="clear" w:color="auto" w:fill="CCEEFF"/>
          </w:tcPr>
          <w:p>
            <w:pPr>
              <w:jc w:val="right"/>
              <w:ind w:right="98"/>
              <w:spacing w:after="0" w:line="130" w:lineRule="exact"/>
              <w:rPr>
                <w:sz w:val="20"/>
                <w:szCs w:val="20"/>
                <w:color w:val="auto"/>
              </w:rPr>
            </w:pPr>
            <w:r>
              <w:rPr>
                <w:rFonts w:ascii="Arial" w:cs="Arial" w:eastAsia="Arial" w:hAnsi="Arial"/>
                <w:sz w:val="14"/>
                <w:szCs w:val="14"/>
                <w:color w:val="auto"/>
              </w:rPr>
              <w:t>2.0%</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28,237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Holdings Inc.)</w:t>
            </w:r>
          </w:p>
        </w:tc>
        <w:tc>
          <w:tcPr>
            <w:tcW w:w="17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89"/>
              </w:rPr>
              <w:t>Tobacco</w:t>
            </w: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L+825, 03/31/2025</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Thurston Avenue</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3"/>
          </w:tcPr>
          <w:p>
            <w:pPr>
              <w:spacing w:after="0"/>
              <w:rPr>
                <w:sz w:val="20"/>
                <w:szCs w:val="20"/>
                <w:color w:val="auto"/>
              </w:rPr>
            </w:pPr>
            <w:r>
              <w:rPr>
                <w:rFonts w:ascii="Arial" w:cs="Arial" w:eastAsia="Arial" w:hAnsi="Arial"/>
                <w:sz w:val="14"/>
                <w:szCs w:val="14"/>
                <w:color w:val="auto"/>
              </w:rPr>
              <w:t>DermaRite Industries LLC</w:t>
            </w: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Manufacturing / Basic</w:t>
            </w:r>
          </w:p>
        </w:tc>
        <w:tc>
          <w:tcPr>
            <w:tcW w:w="298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80" w:type="dxa"/>
            <w:vAlign w:val="bottom"/>
          </w:tcPr>
          <w:p>
            <w:pPr>
              <w:spacing w:after="0"/>
              <w:rPr>
                <w:sz w:val="20"/>
                <w:szCs w:val="20"/>
                <w:color w:val="auto"/>
              </w:rPr>
            </w:pPr>
          </w:p>
        </w:tc>
        <w:tc>
          <w:tcPr>
            <w:tcW w:w="1100" w:type="dxa"/>
            <w:vAlign w:val="bottom"/>
            <w:gridSpan w:val="2"/>
          </w:tcPr>
          <w:p>
            <w:pPr>
              <w:jc w:val="right"/>
              <w:ind w:right="29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9,557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spacing w:after="0" w:line="149" w:lineRule="exact"/>
              <w:rPr>
                <w:sz w:val="20"/>
                <w:szCs w:val="20"/>
                <w:color w:val="auto"/>
              </w:rPr>
            </w:pPr>
            <w:r>
              <w:rPr>
                <w:rFonts w:ascii="Arial" w:cs="Arial" w:eastAsia="Arial" w:hAnsi="Arial"/>
                <w:sz w:val="14"/>
                <w:szCs w:val="14"/>
                <w:color w:val="auto"/>
              </w:rPr>
              <w:t>7777 West Side Avenue</w:t>
            </w: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Industries</w:t>
            </w: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L+700, 03/03/2022</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3"/>
          </w:tcPr>
          <w:p>
            <w:pPr>
              <w:spacing w:after="0"/>
              <w:rPr>
                <w:sz w:val="20"/>
                <w:szCs w:val="20"/>
                <w:color w:val="auto"/>
              </w:rPr>
            </w:pPr>
            <w:r>
              <w:rPr>
                <w:rFonts w:ascii="Arial" w:cs="Arial" w:eastAsia="Arial" w:hAnsi="Arial"/>
                <w:sz w:val="14"/>
                <w:szCs w:val="14"/>
                <w:color w:val="auto"/>
              </w:rPr>
              <w:t>North Bergen, NJ 07047</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Consumer Products</w:t>
            </w:r>
          </w:p>
        </w:tc>
        <w:tc>
          <w:tcPr>
            <w:tcW w:w="2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9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4,520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L+625, 10/31/2023</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3"/>
          </w:tcPr>
          <w:p>
            <w:pPr>
              <w:spacing w:after="0"/>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(6)</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Financial Services</w:t>
            </w:r>
          </w:p>
        </w:tc>
        <w:tc>
          <w:tcPr>
            <w:tcW w:w="298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380" w:type="dxa"/>
            <w:vAlign w:val="bottom"/>
            <w:gridSpan w:val="3"/>
          </w:tcPr>
          <w:p>
            <w:pPr>
              <w:jc w:val="right"/>
              <w:ind w:right="98"/>
              <w:spacing w:after="0"/>
              <w:rPr>
                <w:sz w:val="20"/>
                <w:szCs w:val="20"/>
                <w:color w:val="auto"/>
              </w:rPr>
            </w:pPr>
            <w:r>
              <w:rPr>
                <w:rFonts w:ascii="Arial" w:cs="Arial" w:eastAsia="Arial" w:hAnsi="Arial"/>
                <w:sz w:val="14"/>
                <w:szCs w:val="14"/>
                <w:color w:val="auto"/>
              </w:rPr>
              <w:t>1.3%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spacing w:after="0" w:line="149" w:lineRule="exact"/>
              <w:rPr>
                <w:sz w:val="20"/>
                <w:szCs w:val="20"/>
                <w:color w:val="auto"/>
              </w:rPr>
            </w:pPr>
            <w:r>
              <w:rPr>
                <w:rFonts w:ascii="Arial" w:cs="Arial" w:eastAsia="Arial" w:hAnsi="Arial"/>
                <w:sz w:val="14"/>
                <w:szCs w:val="14"/>
                <w:color w:val="auto"/>
              </w:rPr>
              <w:t>11612 Bee Caves Road, Building II, Suite 200</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3"/>
          </w:tcPr>
          <w:p>
            <w:pPr>
              <w:spacing w:after="0"/>
              <w:rPr>
                <w:sz w:val="20"/>
                <w:szCs w:val="20"/>
                <w:color w:val="auto"/>
              </w:rPr>
            </w:pPr>
            <w:r>
              <w:rPr>
                <w:rFonts w:ascii="Arial" w:cs="Arial" w:eastAsia="Arial" w:hAnsi="Arial"/>
                <w:sz w:val="14"/>
                <w:szCs w:val="14"/>
                <w:color w:val="auto"/>
              </w:rPr>
              <w:t>Austin, TX, 78738</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7"/>
              </w:rPr>
              <w:t>Building Materials</w:t>
            </w:r>
          </w:p>
        </w:tc>
        <w:tc>
          <w:tcPr>
            <w:tcW w:w="2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380" w:type="dxa"/>
            <w:vAlign w:val="bottom"/>
            <w:gridSpan w:val="3"/>
            <w:shd w:val="clear" w:color="auto" w:fill="CCEEFF"/>
          </w:tcPr>
          <w:p>
            <w:pPr>
              <w:jc w:val="right"/>
              <w:ind w:right="98"/>
              <w:spacing w:after="0" w:line="130" w:lineRule="exact"/>
              <w:rPr>
                <w:sz w:val="20"/>
                <w:szCs w:val="20"/>
                <w:color w:val="auto"/>
              </w:rPr>
            </w:pPr>
            <w:r>
              <w:rPr>
                <w:rFonts w:ascii="Arial" w:cs="Arial" w:eastAsia="Arial" w:hAnsi="Arial"/>
                <w:sz w:val="14"/>
                <w:szCs w:val="14"/>
                <w:color w:val="auto"/>
              </w:rPr>
              <w:t>0.2%</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1,177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3"/>
          </w:tcPr>
          <w:p>
            <w:pPr>
              <w:spacing w:after="0"/>
              <w:rPr>
                <w:sz w:val="20"/>
                <w:szCs w:val="20"/>
                <w:color w:val="auto"/>
              </w:rPr>
            </w:pPr>
            <w:r>
              <w:rPr>
                <w:rFonts w:ascii="Arial" w:cs="Arial" w:eastAsia="Arial" w:hAnsi="Arial"/>
                <w:sz w:val="14"/>
                <w:szCs w:val="14"/>
                <w:color w:val="auto"/>
              </w:rPr>
              <w:t>Halo Buyer, Inc.</w:t>
            </w: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Consumer Products</w:t>
            </w:r>
          </w:p>
        </w:tc>
        <w:tc>
          <w:tcPr>
            <w:tcW w:w="298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80" w:type="dxa"/>
            <w:vAlign w:val="bottom"/>
          </w:tcPr>
          <w:p>
            <w:pPr>
              <w:spacing w:after="0"/>
              <w:rPr>
                <w:sz w:val="20"/>
                <w:szCs w:val="20"/>
                <w:color w:val="auto"/>
              </w:rPr>
            </w:pPr>
          </w:p>
        </w:tc>
        <w:tc>
          <w:tcPr>
            <w:tcW w:w="1100" w:type="dxa"/>
            <w:vAlign w:val="bottom"/>
            <w:gridSpan w:val="2"/>
          </w:tcPr>
          <w:p>
            <w:pPr>
              <w:jc w:val="right"/>
              <w:ind w:right="29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44,325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spacing w:after="0" w:line="149" w:lineRule="exact"/>
              <w:rPr>
                <w:sz w:val="20"/>
                <w:szCs w:val="20"/>
                <w:color w:val="auto"/>
              </w:rPr>
            </w:pPr>
            <w:r>
              <w:rPr>
                <w:rFonts w:ascii="Arial" w:cs="Arial" w:eastAsia="Arial" w:hAnsi="Arial"/>
                <w:sz w:val="14"/>
                <w:szCs w:val="14"/>
                <w:color w:val="auto"/>
              </w:rPr>
              <w:t>1980 Industrial Drive</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L+825, 07/06/2026</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3"/>
          </w:tcPr>
          <w:p>
            <w:pPr>
              <w:spacing w:after="0"/>
              <w:rPr>
                <w:sz w:val="20"/>
                <w:szCs w:val="20"/>
                <w:color w:val="auto"/>
              </w:rPr>
            </w:pPr>
            <w:r>
              <w:rPr>
                <w:rFonts w:ascii="Arial" w:cs="Arial" w:eastAsia="Arial" w:hAnsi="Arial"/>
                <w:sz w:val="14"/>
                <w:szCs w:val="14"/>
                <w:color w:val="auto"/>
              </w:rPr>
              <w:t>Sterling, IL 61081</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Hollander Sleep Products, LLC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Consumer Products</w:t>
            </w:r>
          </w:p>
        </w:tc>
        <w:tc>
          <w:tcPr>
            <w:tcW w:w="2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9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18,728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6501 Congress Avenue, Ste. 300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L+800, 06/09/2023</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Boca Raton, FL 33487</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3"/>
          </w:tcPr>
          <w:p>
            <w:pPr>
              <w:spacing w:after="0"/>
              <w:rPr>
                <w:sz w:val="20"/>
                <w:szCs w:val="20"/>
                <w:color w:val="auto"/>
              </w:rPr>
            </w:pPr>
            <w:r>
              <w:rPr>
                <w:rFonts w:ascii="Arial" w:cs="Arial" w:eastAsia="Arial" w:hAnsi="Arial"/>
                <w:sz w:val="14"/>
                <w:szCs w:val="14"/>
                <w:color w:val="auto"/>
              </w:rPr>
              <w:t>Impact Group, LLC</w:t>
            </w: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Personal, Food and</w:t>
            </w:r>
          </w:p>
        </w:tc>
        <w:tc>
          <w:tcPr>
            <w:tcW w:w="298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80" w:type="dxa"/>
            <w:vAlign w:val="bottom"/>
          </w:tcPr>
          <w:p>
            <w:pPr>
              <w:spacing w:after="0"/>
              <w:rPr>
                <w:sz w:val="20"/>
                <w:szCs w:val="20"/>
                <w:color w:val="auto"/>
              </w:rPr>
            </w:pPr>
          </w:p>
        </w:tc>
        <w:tc>
          <w:tcPr>
            <w:tcW w:w="1100" w:type="dxa"/>
            <w:vAlign w:val="bottom"/>
            <w:gridSpan w:val="2"/>
          </w:tcPr>
          <w:p>
            <w:pPr>
              <w:jc w:val="right"/>
              <w:ind w:right="29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27,273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spacing w:after="0" w:line="149" w:lineRule="exact"/>
              <w:rPr>
                <w:sz w:val="20"/>
                <w:szCs w:val="20"/>
                <w:color w:val="auto"/>
              </w:rPr>
            </w:pPr>
            <w:r>
              <w:rPr>
                <w:rFonts w:ascii="Arial" w:cs="Arial" w:eastAsia="Arial" w:hAnsi="Arial"/>
                <w:sz w:val="14"/>
                <w:szCs w:val="14"/>
                <w:color w:val="auto"/>
              </w:rPr>
              <w:t>915 W. Jefferson Street</w:t>
            </w: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Miscelleneous Services</w:t>
            </w: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L+650, 06/27/2023</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3"/>
          </w:tcPr>
          <w:p>
            <w:pPr>
              <w:spacing w:after="0"/>
              <w:rPr>
                <w:sz w:val="20"/>
                <w:szCs w:val="20"/>
                <w:color w:val="auto"/>
              </w:rPr>
            </w:pPr>
            <w:r>
              <w:rPr>
                <w:rFonts w:ascii="Arial" w:cs="Arial" w:eastAsia="Arial" w:hAnsi="Arial"/>
                <w:sz w:val="14"/>
                <w:szCs w:val="14"/>
                <w:color w:val="auto"/>
              </w:rPr>
              <w:t>Boise, ID 83702</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80" w:type="dxa"/>
            <w:vAlign w:val="bottom"/>
          </w:tcPr>
          <w:p>
            <w:pPr>
              <w:spacing w:after="0"/>
              <w:rPr>
                <w:sz w:val="14"/>
                <w:szCs w:val="14"/>
                <w:color w:val="auto"/>
              </w:rPr>
            </w:pPr>
          </w:p>
        </w:tc>
        <w:tc>
          <w:tcPr>
            <w:tcW w:w="1100" w:type="dxa"/>
            <w:vAlign w:val="bottom"/>
            <w:gridSpan w:val="2"/>
          </w:tcPr>
          <w:p>
            <w:pPr>
              <w:jc w:val="right"/>
              <w:ind w:right="438"/>
              <w:spacing w:after="0"/>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20" w:type="dxa"/>
            <w:vAlign w:val="bottom"/>
            <w:gridSpan w:val="3"/>
            <w:vMerge w:val="continue"/>
          </w:tcPr>
          <w:p>
            <w:pPr>
              <w:spacing w:after="0"/>
              <w:rPr>
                <w:sz w:val="12"/>
                <w:szCs w:val="12"/>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Nature of Business</w:t>
            </w:r>
          </w:p>
        </w:tc>
        <w:tc>
          <w:tcPr>
            <w:tcW w:w="29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98"/>
              <w:spacing w:after="0" w:line="145" w:lineRule="exact"/>
              <w:rPr>
                <w:sz w:val="20"/>
                <w:szCs w:val="20"/>
                <w:color w:val="auto"/>
              </w:rPr>
            </w:pPr>
            <w:r>
              <w:rPr>
                <w:rFonts w:ascii="Arial" w:cs="Arial" w:eastAsia="Arial" w:hAnsi="Arial"/>
                <w:sz w:val="14"/>
                <w:szCs w:val="14"/>
                <w:b w:val="1"/>
                <w:bCs w:val="1"/>
                <w:color w:val="auto"/>
                <w:w w:val="95"/>
              </w:rPr>
              <w:t>Percentage</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60" w:type="dxa"/>
            <w:vAlign w:val="bottom"/>
            <w:gridSpan w:val="2"/>
            <w:vMerge w:val="continue"/>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380" w:type="dxa"/>
            <w:vAlign w:val="bottom"/>
            <w:gridSpan w:val="3"/>
          </w:tcPr>
          <w:p>
            <w:pPr>
              <w:jc w:val="right"/>
              <w:ind w:right="218"/>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1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Infogroup, Inc.</w:t>
            </w:r>
          </w:p>
        </w:tc>
        <w:tc>
          <w:tcPr>
            <w:tcW w:w="1940" w:type="dxa"/>
            <w:vAlign w:val="bottom"/>
            <w:tcBorders>
              <w:top w:val="single" w:sz="8" w:color="CCEEFF"/>
            </w:tcBorders>
            <w:shd w:val="clear" w:color="auto" w:fill="CCEEFF"/>
          </w:tcPr>
          <w:p>
            <w:pPr>
              <w:spacing w:after="0"/>
              <w:rPr>
                <w:sz w:val="9"/>
                <w:szCs w:val="9"/>
                <w:color w:val="auto"/>
              </w:rPr>
            </w:pP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Other Media</w:t>
            </w:r>
          </w:p>
        </w:tc>
        <w:tc>
          <w:tcPr>
            <w:tcW w:w="280" w:type="dxa"/>
            <w:vAlign w:val="bottom"/>
            <w:tcBorders>
              <w:top w:val="single" w:sz="8" w:color="CCEEFF"/>
            </w:tcBorders>
            <w:shd w:val="clear" w:color="auto" w:fill="CCEEFF"/>
          </w:tcPr>
          <w:p>
            <w:pPr>
              <w:spacing w:after="0"/>
              <w:rPr>
                <w:sz w:val="9"/>
                <w:szCs w:val="9"/>
                <w:color w:val="auto"/>
              </w:rPr>
            </w:pPr>
          </w:p>
        </w:tc>
        <w:tc>
          <w:tcPr>
            <w:tcW w:w="29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1.0</w:t>
            </w:r>
          </w:p>
        </w:tc>
        <w:tc>
          <w:tcPr>
            <w:tcW w:w="280" w:type="dxa"/>
            <w:vAlign w:val="bottom"/>
            <w:tcBorders>
              <w:top w:val="single" w:sz="8" w:color="CCEEFF"/>
            </w:tcBorders>
            <w:shd w:val="clear" w:color="auto" w:fill="CCEEFF"/>
          </w:tcPr>
          <w:p>
            <w:pPr>
              <w:jc w:val="right"/>
              <w:ind w:right="98"/>
              <w:spacing w:after="0" w:line="109" w:lineRule="exact"/>
              <w:rPr>
                <w:sz w:val="20"/>
                <w:szCs w:val="20"/>
                <w:color w:val="auto"/>
              </w:rPr>
            </w:pPr>
            <w:r>
              <w:rPr>
                <w:rFonts w:ascii="Arial" w:cs="Arial" w:eastAsia="Arial" w:hAnsi="Arial"/>
                <w:sz w:val="12"/>
                <w:szCs w:val="12"/>
                <w:color w:val="auto"/>
                <w:w w:val="93"/>
              </w:rPr>
              <w:t>%</w:t>
            </w:r>
          </w:p>
        </w:tc>
        <w:tc>
          <w:tcPr>
            <w:tcW w:w="1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22,340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(Infogroup Parent Holdings, Inc.)</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L+925, 04/03/2024</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1020 E 1st Street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Papillion, NE, 68046</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Integrity Marketing Acquisition,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Insurance</w:t>
            </w:r>
          </w:p>
        </w:tc>
        <w:tc>
          <w:tcPr>
            <w:tcW w:w="298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280" w:type="dxa"/>
            <w:vAlign w:val="bottom"/>
          </w:tcPr>
          <w:p>
            <w:pPr>
              <w:spacing w:after="0"/>
              <w:rPr>
                <w:sz w:val="20"/>
                <w:szCs w:val="20"/>
                <w:color w:val="auto"/>
              </w:rPr>
            </w:pPr>
          </w:p>
        </w:tc>
        <w:tc>
          <w:tcPr>
            <w:tcW w:w="1100" w:type="dxa"/>
            <w:vAlign w:val="bottom"/>
            <w:gridSpan w:val="2"/>
          </w:tcPr>
          <w:p>
            <w:pPr>
              <w:jc w:val="right"/>
              <w:ind w:right="29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20,538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9111 Cypress Waters Blvd. Ste. 450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11/30/2026</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Dallas, TX 75019</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Juniper Landscaping of Florida, LLC</w:t>
            </w:r>
          </w:p>
        </w:tc>
        <w:tc>
          <w:tcPr>
            <w:tcW w:w="17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89"/>
              </w:rPr>
              <w:t>Personal, Food and</w:t>
            </w:r>
          </w:p>
        </w:tc>
        <w:tc>
          <w:tcPr>
            <w:tcW w:w="2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shd w:val="clear" w:color="auto" w:fill="CCEEFF"/>
          </w:tcPr>
          <w:p>
            <w:pPr>
              <w:jc w:val="right"/>
              <w:ind w:right="98"/>
              <w:spacing w:after="0" w:line="130" w:lineRule="exact"/>
              <w:rPr>
                <w:sz w:val="20"/>
                <w:szCs w:val="20"/>
                <w:color w:val="auto"/>
              </w:rPr>
            </w:pPr>
            <w:r>
              <w:rPr>
                <w:rFonts w:ascii="Arial" w:cs="Arial" w:eastAsia="Arial" w:hAnsi="Arial"/>
                <w:sz w:val="14"/>
                <w:szCs w:val="14"/>
                <w:color w:val="auto"/>
              </w:rPr>
              <w:t>4.0%</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15,010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(ZS Juniper L.P.</w:t>
            </w:r>
            <w:r>
              <w:rPr>
                <w:rFonts w:ascii="Arial" w:cs="Arial" w:eastAsia="Arial" w:hAnsi="Arial"/>
                <w:sz w:val="12"/>
                <w:szCs w:val="12"/>
                <w:color w:val="auto"/>
              </w:rPr>
              <w:t>(5)</w:t>
            </w:r>
            <w:r>
              <w:rPr>
                <w:rFonts w:ascii="Arial" w:cs="Arial" w:eastAsia="Arial" w:hAnsi="Arial"/>
                <w:sz w:val="14"/>
                <w:szCs w:val="14"/>
                <w:color w:val="auto"/>
              </w:rPr>
              <w:t>)</w:t>
            </w:r>
          </w:p>
        </w:tc>
        <w:tc>
          <w:tcPr>
            <w:tcW w:w="17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Miscelleneous Services</w:t>
            </w: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L+950, 12/22/2021</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5880 Staley Road</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Myers, FL 33905</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Kadmon Holdings, Inc.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Healthcare, Education</w:t>
            </w:r>
          </w:p>
        </w:tc>
        <w:tc>
          <w:tcPr>
            <w:tcW w:w="298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380" w:type="dxa"/>
            <w:vAlign w:val="bottom"/>
            <w:gridSpan w:val="3"/>
          </w:tcPr>
          <w:p>
            <w:pPr>
              <w:jc w:val="right"/>
              <w:ind w:right="98"/>
              <w:spacing w:after="0"/>
              <w:rPr>
                <w:sz w:val="20"/>
                <w:szCs w:val="20"/>
                <w:color w:val="auto"/>
              </w:rPr>
            </w:pPr>
            <w:r>
              <w:rPr>
                <w:rFonts w:ascii="Arial" w:cs="Arial" w:eastAsia="Arial" w:hAnsi="Arial"/>
                <w:sz w:val="14"/>
                <w:szCs w:val="14"/>
                <w:color w:val="auto"/>
              </w:rPr>
              <w:t>0.2%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and Childcare</w:t>
            </w: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450 East 29 Street, 5 Floor</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New York, NY 10016</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Chemicals, Plastics and</w:t>
            </w:r>
          </w:p>
        </w:tc>
        <w:tc>
          <w:tcPr>
            <w:tcW w:w="2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9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26,726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7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1"/>
              </w:rPr>
              <w:t>Rubber</w:t>
            </w: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L+525, 12/20/2023</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LaMi Acquisition, LLC</w:t>
            </w:r>
            <w:r>
              <w:rPr>
                <w:rFonts w:ascii="Arial" w:cs="Arial" w:eastAsia="Arial" w:hAnsi="Arial"/>
                <w:sz w:val="12"/>
                <w:szCs w:val="12"/>
                <w:color w:val="auto"/>
              </w:rPr>
              <w:t>(5)</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Distribution</w:t>
            </w:r>
          </w:p>
        </w:tc>
        <w:tc>
          <w:tcPr>
            <w:tcW w:w="298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380" w:type="dxa"/>
            <w:vAlign w:val="bottom"/>
            <w:gridSpan w:val="3"/>
          </w:tcPr>
          <w:p>
            <w:pPr>
              <w:jc w:val="right"/>
              <w:ind w:right="98"/>
              <w:spacing w:after="0"/>
              <w:rPr>
                <w:sz w:val="20"/>
                <w:szCs w:val="20"/>
                <w:color w:val="auto"/>
              </w:rPr>
            </w:pPr>
            <w:r>
              <w:rPr>
                <w:rFonts w:ascii="Arial" w:cs="Arial" w:eastAsia="Arial" w:hAnsi="Arial"/>
                <w:sz w:val="14"/>
                <w:szCs w:val="14"/>
                <w:color w:val="auto"/>
              </w:rPr>
              <w:t>1.6%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860 Welsh Road</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Huntingdon Valley, PA 19006</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Lariat ecoserv Co-invest Holdings, LLC(5)</w:t>
            </w:r>
          </w:p>
        </w:tc>
        <w:tc>
          <w:tcPr>
            <w:tcW w:w="17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3"/>
              </w:rPr>
              <w:t>Environmental Services</w:t>
            </w:r>
          </w:p>
        </w:tc>
        <w:tc>
          <w:tcPr>
            <w:tcW w:w="2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9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17th Street, Ste. 812</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MailSouth, Inc.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Printing and Publishing</w:t>
            </w:r>
          </w:p>
        </w:tc>
        <w:tc>
          <w:tcPr>
            <w:tcW w:w="298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80" w:type="dxa"/>
            <w:vAlign w:val="bottom"/>
          </w:tcPr>
          <w:p>
            <w:pPr>
              <w:spacing w:after="0"/>
              <w:rPr>
                <w:sz w:val="20"/>
                <w:szCs w:val="20"/>
                <w:color w:val="auto"/>
              </w:rPr>
            </w:pPr>
          </w:p>
        </w:tc>
        <w:tc>
          <w:tcPr>
            <w:tcW w:w="1100" w:type="dxa"/>
            <w:vAlign w:val="bottom"/>
            <w:gridSpan w:val="2"/>
          </w:tcPr>
          <w:p>
            <w:pPr>
              <w:jc w:val="right"/>
              <w:ind w:right="29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47,457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5901 Highway 52 East</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5"/>
              </w:rPr>
              <w:t>6M L+925, 10/23/2024</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Helena, AL 35080</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MBS Holdings, Inc.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Telecommunications</w:t>
            </w:r>
          </w:p>
        </w:tc>
        <w:tc>
          <w:tcPr>
            <w:tcW w:w="2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2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9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14,700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880 Montclair Road Suite 400</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L+850, 01/02/2024</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Birmingham, AL 35213</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Ox Two,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Building Materials</w:t>
            </w:r>
          </w:p>
        </w:tc>
        <w:tc>
          <w:tcPr>
            <w:tcW w:w="298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80" w:type="dxa"/>
            <w:vAlign w:val="bottom"/>
          </w:tcPr>
          <w:p>
            <w:pPr>
              <w:spacing w:after="0"/>
              <w:rPr>
                <w:sz w:val="20"/>
                <w:szCs w:val="20"/>
                <w:color w:val="auto"/>
              </w:rPr>
            </w:pPr>
          </w:p>
        </w:tc>
        <w:tc>
          <w:tcPr>
            <w:tcW w:w="1100" w:type="dxa"/>
            <w:vAlign w:val="bottom"/>
            <w:gridSpan w:val="2"/>
          </w:tcPr>
          <w:p>
            <w:pPr>
              <w:jc w:val="right"/>
              <w:ind w:right="29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22,801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22260 Haggerty Road #365</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02/27/2023</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Northville, MI 48167</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Parq Holdings Limited Partnership</w:t>
            </w:r>
            <w:r>
              <w:rPr>
                <w:rFonts w:ascii="Arial" w:cs="Arial" w:eastAsia="Arial" w:hAnsi="Arial"/>
                <w:sz w:val="12"/>
                <w:szCs w:val="12"/>
                <w:color w:val="auto"/>
              </w:rPr>
              <w:t>(6)</w:t>
            </w:r>
          </w:p>
        </w:tc>
        <w:tc>
          <w:tcPr>
            <w:tcW w:w="17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Hotels, Motels, Inns and</w:t>
            </w:r>
          </w:p>
        </w:tc>
        <w:tc>
          <w:tcPr>
            <w:tcW w:w="2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2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9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83,063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 Paragon Gaming, Inc.</w:t>
            </w:r>
          </w:p>
        </w:tc>
        <w:tc>
          <w:tcPr>
            <w:tcW w:w="17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3"/>
              </w:rPr>
              <w:t>Gaming</w:t>
            </w: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L+1,200, 12/17/2021</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6650 Via Austi Parkway, Suite 150</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NV 89119</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Peninsula Pacific Entertainment LLC</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Hotels, Motels, Inns and</w:t>
            </w:r>
          </w:p>
        </w:tc>
        <w:tc>
          <w:tcPr>
            <w:tcW w:w="298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80" w:type="dxa"/>
            <w:vAlign w:val="bottom"/>
          </w:tcPr>
          <w:p>
            <w:pPr>
              <w:spacing w:after="0"/>
              <w:rPr>
                <w:sz w:val="20"/>
                <w:szCs w:val="20"/>
                <w:color w:val="auto"/>
              </w:rPr>
            </w:pPr>
          </w:p>
        </w:tc>
        <w:tc>
          <w:tcPr>
            <w:tcW w:w="1100" w:type="dxa"/>
            <w:vAlign w:val="bottom"/>
            <w:gridSpan w:val="2"/>
          </w:tcPr>
          <w:p>
            <w:pPr>
              <w:jc w:val="right"/>
              <w:ind w:right="29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7,120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7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Gaming</w:t>
            </w: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L+725, 11/13/2024</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New Kent, VA 23124</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(6)</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Beverage, Food and</w:t>
            </w:r>
          </w:p>
        </w:tc>
        <w:tc>
          <w:tcPr>
            <w:tcW w:w="2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9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5,423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141 Hamilton Road</w:t>
            </w:r>
          </w:p>
        </w:tc>
        <w:tc>
          <w:tcPr>
            <w:tcW w:w="17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9"/>
              </w:rPr>
              <w:t>Tobacco</w:t>
            </w: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L+525, 06/01/2023</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Hamburg, Ontario, Canada N3A 2H1</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Provation Medical, Inc.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Electronics</w:t>
            </w:r>
          </w:p>
        </w:tc>
        <w:tc>
          <w:tcPr>
            <w:tcW w:w="298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80" w:type="dxa"/>
            <w:vAlign w:val="bottom"/>
          </w:tcPr>
          <w:p>
            <w:pPr>
              <w:spacing w:after="0"/>
              <w:rPr>
                <w:sz w:val="20"/>
                <w:szCs w:val="20"/>
                <w:color w:val="auto"/>
              </w:rPr>
            </w:pPr>
          </w:p>
        </w:tc>
        <w:tc>
          <w:tcPr>
            <w:tcW w:w="1100" w:type="dxa"/>
            <w:vAlign w:val="bottom"/>
            <w:gridSpan w:val="2"/>
          </w:tcPr>
          <w:p>
            <w:pPr>
              <w:jc w:val="right"/>
              <w:ind w:right="29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26,393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800 Washington Avenue North, Suite 400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L+700, 03/11/2024</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Minneapolis, MN, 55401</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80" w:type="dxa"/>
            <w:vAlign w:val="bottom"/>
          </w:tcPr>
          <w:p>
            <w:pPr>
              <w:spacing w:after="0"/>
              <w:rPr>
                <w:sz w:val="14"/>
                <w:szCs w:val="14"/>
                <w:color w:val="auto"/>
              </w:rPr>
            </w:pPr>
          </w:p>
        </w:tc>
        <w:tc>
          <w:tcPr>
            <w:tcW w:w="1120" w:type="dxa"/>
            <w:vAlign w:val="bottom"/>
            <w:gridSpan w:val="2"/>
          </w:tcPr>
          <w:p>
            <w:pPr>
              <w:jc w:val="right"/>
              <w:ind w:right="438"/>
              <w:spacing w:after="0"/>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760" w:type="dxa"/>
            <w:vAlign w:val="bottom"/>
            <w:gridSpan w:val="3"/>
            <w:vMerge w:val="continue"/>
          </w:tcPr>
          <w:p>
            <w:pPr>
              <w:spacing w:after="0"/>
              <w:rPr>
                <w:sz w:val="12"/>
                <w:szCs w:val="12"/>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Nature of Business</w:t>
            </w:r>
          </w:p>
        </w:tc>
        <w:tc>
          <w:tcPr>
            <w:tcW w:w="3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98"/>
              <w:spacing w:after="0" w:line="145" w:lineRule="exact"/>
              <w:rPr>
                <w:sz w:val="20"/>
                <w:szCs w:val="20"/>
                <w:color w:val="auto"/>
              </w:rPr>
            </w:pPr>
            <w:r>
              <w:rPr>
                <w:rFonts w:ascii="Arial" w:cs="Arial" w:eastAsia="Arial" w:hAnsi="Arial"/>
                <w:sz w:val="14"/>
                <w:szCs w:val="14"/>
                <w:b w:val="1"/>
                <w:bCs w:val="1"/>
                <w:color w:val="auto"/>
                <w:w w:val="97"/>
              </w:rPr>
              <w:t>Percentage</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40" w:type="dxa"/>
            <w:vAlign w:val="bottom"/>
            <w:gridSpan w:val="2"/>
            <w:vMerge w:val="continue"/>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400" w:type="dxa"/>
            <w:vAlign w:val="bottom"/>
            <w:gridSpan w:val="3"/>
          </w:tcPr>
          <w:p>
            <w:pPr>
              <w:jc w:val="right"/>
              <w:ind w:right="238"/>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1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PT Network, LLC</w:t>
            </w:r>
          </w:p>
        </w:tc>
        <w:tc>
          <w:tcPr>
            <w:tcW w:w="1880" w:type="dxa"/>
            <w:vAlign w:val="bottom"/>
            <w:tcBorders>
              <w:top w:val="single" w:sz="8" w:color="CCEEFF"/>
            </w:tcBorders>
            <w:shd w:val="clear" w:color="auto" w:fill="CCEEFF"/>
          </w:tcPr>
          <w:p>
            <w:pPr>
              <w:spacing w:after="0"/>
              <w:rPr>
                <w:sz w:val="9"/>
                <w:szCs w:val="9"/>
                <w:color w:val="auto"/>
              </w:rPr>
            </w:pPr>
          </w:p>
        </w:tc>
        <w:tc>
          <w:tcPr>
            <w:tcW w:w="14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w:t>
            </w:r>
          </w:p>
        </w:tc>
        <w:tc>
          <w:tcPr>
            <w:tcW w:w="2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w:t>
            </w:r>
          </w:p>
        </w:tc>
        <w:tc>
          <w:tcPr>
            <w:tcW w:w="280" w:type="dxa"/>
            <w:vAlign w:val="bottom"/>
            <w:tcBorders>
              <w:top w:val="single" w:sz="8" w:color="CCEEFF"/>
            </w:tcBorders>
            <w:shd w:val="clear" w:color="auto" w:fill="CCEEFF"/>
          </w:tcPr>
          <w:p>
            <w:pPr>
              <w:jc w:val="right"/>
              <w:ind w:right="118"/>
              <w:spacing w:after="0" w:line="109" w:lineRule="exact"/>
              <w:rPr>
                <w:sz w:val="20"/>
                <w:szCs w:val="20"/>
                <w:color w:val="auto"/>
              </w:rPr>
            </w:pPr>
            <w:r>
              <w:rPr>
                <w:rFonts w:ascii="Arial" w:cs="Arial" w:eastAsia="Arial" w:hAnsi="Arial"/>
                <w:sz w:val="12"/>
                <w:szCs w:val="12"/>
                <w:color w:val="auto"/>
                <w:w w:val="74"/>
              </w:rPr>
              <w:t>%</w:t>
            </w:r>
          </w:p>
        </w:tc>
        <w:tc>
          <w:tcPr>
            <w:tcW w:w="1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46,626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(PTN) Investment Holdings II, LLC</w:t>
            </w:r>
            <w:r>
              <w:rPr>
                <w:rFonts w:ascii="Arial" w:cs="Arial" w:eastAsia="Arial" w:hAnsi="Arial"/>
                <w:sz w:val="12"/>
                <w:szCs w:val="12"/>
                <w:color w:val="auto"/>
              </w:rPr>
              <w:t>(5)</w:t>
            </w:r>
            <w:r>
              <w:rPr>
                <w:rFonts w:ascii="Arial" w:cs="Arial" w:eastAsia="Arial" w:hAnsi="Arial"/>
                <w:sz w:val="14"/>
                <w:szCs w:val="14"/>
                <w:color w:val="auto"/>
              </w:rPr>
              <w:t>)</w:t>
            </w:r>
          </w:p>
        </w:tc>
        <w:tc>
          <w:tcPr>
            <w:tcW w:w="17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2"/>
              </w:rPr>
              <w:t>and Childcare</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L+1,000, 04/12/2023</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500 Park Avenue, 8th Floor</w:t>
            </w: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60" w:type="dxa"/>
            <w:vAlign w:val="bottom"/>
            <w:gridSpan w:val="3"/>
          </w:tcPr>
          <w:p>
            <w:pPr>
              <w:spacing w:after="0"/>
              <w:rPr>
                <w:sz w:val="20"/>
                <w:szCs w:val="20"/>
                <w:color w:val="auto"/>
              </w:rPr>
            </w:pPr>
            <w:r>
              <w:rPr>
                <w:rFonts w:ascii="Arial" w:cs="Arial" w:eastAsia="Arial" w:hAnsi="Arial"/>
                <w:sz w:val="14"/>
                <w:szCs w:val="14"/>
                <w:color w:val="auto"/>
              </w:rPr>
              <w:t>Questex, LLC</w:t>
            </w: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Media</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80" w:type="dxa"/>
            <w:vAlign w:val="bottom"/>
          </w:tcPr>
          <w:p>
            <w:pPr>
              <w:spacing w:after="0"/>
              <w:rPr>
                <w:sz w:val="20"/>
                <w:szCs w:val="20"/>
                <w:color w:val="auto"/>
              </w:rPr>
            </w:pPr>
          </w:p>
        </w:tc>
        <w:tc>
          <w:tcPr>
            <w:tcW w:w="1120" w:type="dxa"/>
            <w:vAlign w:val="bottom"/>
            <w:gridSpan w:val="2"/>
          </w:tcPr>
          <w:p>
            <w:pPr>
              <w:jc w:val="right"/>
              <w:ind w:right="29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22,581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L+625, 09/09/2024</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60" w:type="dxa"/>
            <w:vAlign w:val="bottom"/>
            <w:gridSpan w:val="3"/>
          </w:tcPr>
          <w:p>
            <w:pPr>
              <w:spacing w:after="0"/>
              <w:rPr>
                <w:sz w:val="20"/>
                <w:szCs w:val="20"/>
                <w:color w:val="auto"/>
              </w:rPr>
            </w:pPr>
            <w:r>
              <w:rPr>
                <w:rFonts w:ascii="Arial" w:cs="Arial" w:eastAsia="Arial" w:hAnsi="Arial"/>
                <w:sz w:val="14"/>
                <w:szCs w:val="14"/>
                <w:color w:val="auto"/>
              </w:rPr>
              <w:t>Newton, MA 02466</w:t>
            </w: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Research Horizons, LLC</w:t>
            </w:r>
          </w:p>
        </w:tc>
        <w:tc>
          <w:tcPr>
            <w:tcW w:w="17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Media</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9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22,282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1140 Broadway, Suite 1002</w:t>
            </w: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L+625, 06/28/2022</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10001</w:t>
            </w:r>
          </w:p>
        </w:tc>
        <w:tc>
          <w:tcPr>
            <w:tcW w:w="1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60" w:type="dxa"/>
            <w:vAlign w:val="bottom"/>
            <w:gridSpan w:val="3"/>
          </w:tcPr>
          <w:p>
            <w:pPr>
              <w:spacing w:after="0"/>
              <w:rPr>
                <w:sz w:val="20"/>
                <w:szCs w:val="20"/>
                <w:color w:val="auto"/>
              </w:rPr>
            </w:pPr>
            <w:r>
              <w:rPr>
                <w:rFonts w:ascii="Arial" w:cs="Arial" w:eastAsia="Arial" w:hAnsi="Arial"/>
                <w:sz w:val="14"/>
                <w:szCs w:val="14"/>
                <w:color w:val="auto"/>
              </w:rPr>
              <w:t>SFP Holding, Inc.</w:t>
            </w: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Buildings and Real</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3"/>
          </w:tcPr>
          <w:p>
            <w:pPr>
              <w:jc w:val="right"/>
              <w:ind w:right="118"/>
              <w:spacing w:after="0"/>
              <w:rPr>
                <w:sz w:val="20"/>
                <w:szCs w:val="20"/>
                <w:color w:val="auto"/>
              </w:rPr>
            </w:pPr>
            <w:r>
              <w:rPr>
                <w:rFonts w:ascii="Arial" w:cs="Arial" w:eastAsia="Arial" w:hAnsi="Arial"/>
                <w:sz w:val="14"/>
                <w:szCs w:val="14"/>
                <w:color w:val="auto"/>
              </w:rPr>
              <w:t>1.7%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22,348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(CI (Summit) Investment Holdings, LLC)</w:t>
            </w: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Estate</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L+625, 09/01/2022</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575 Minnehaha Ave. W.</w:t>
            </w: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60" w:type="dxa"/>
            <w:vAlign w:val="bottom"/>
            <w:gridSpan w:val="3"/>
          </w:tcPr>
          <w:p>
            <w:pPr>
              <w:spacing w:after="0"/>
              <w:rPr>
                <w:sz w:val="20"/>
                <w:szCs w:val="20"/>
                <w:color w:val="auto"/>
              </w:rPr>
            </w:pPr>
            <w:r>
              <w:rPr>
                <w:rFonts w:ascii="Arial" w:cs="Arial" w:eastAsia="Arial" w:hAnsi="Arial"/>
                <w:sz w:val="14"/>
                <w:szCs w:val="14"/>
                <w:color w:val="auto"/>
              </w:rPr>
              <w:t>St. Paul, MN 55103</w:t>
            </w: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Shift4 Payments, LLC</w:t>
            </w:r>
          </w:p>
        </w:tc>
        <w:tc>
          <w:tcPr>
            <w:tcW w:w="17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Financial Services</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2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9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36,723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1491 Center Crossing Road</w:t>
            </w: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L+850, 11/28/2025</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NV 89144</w:t>
            </w:r>
          </w:p>
        </w:tc>
        <w:tc>
          <w:tcPr>
            <w:tcW w:w="1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60" w:type="dxa"/>
            <w:vAlign w:val="bottom"/>
            <w:gridSpan w:val="3"/>
          </w:tcPr>
          <w:p>
            <w:pPr>
              <w:spacing w:after="0"/>
              <w:rPr>
                <w:sz w:val="20"/>
                <w:szCs w:val="20"/>
                <w:color w:val="auto"/>
              </w:rPr>
            </w:pPr>
            <w:r>
              <w:rPr>
                <w:rFonts w:ascii="Arial" w:cs="Arial" w:eastAsia="Arial" w:hAnsi="Arial"/>
                <w:sz w:val="14"/>
                <w:szCs w:val="14"/>
                <w:color w:val="auto"/>
              </w:rPr>
              <w:t>Triad Manufacturing, Inc.</w:t>
            </w: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Manufacturing / Basic</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80" w:type="dxa"/>
            <w:vAlign w:val="bottom"/>
          </w:tcPr>
          <w:p>
            <w:pPr>
              <w:spacing w:after="0"/>
              <w:rPr>
                <w:sz w:val="20"/>
                <w:szCs w:val="20"/>
                <w:color w:val="auto"/>
              </w:rPr>
            </w:pPr>
          </w:p>
        </w:tc>
        <w:tc>
          <w:tcPr>
            <w:tcW w:w="1120" w:type="dxa"/>
            <w:vAlign w:val="bottom"/>
            <w:gridSpan w:val="2"/>
          </w:tcPr>
          <w:p>
            <w:pPr>
              <w:jc w:val="right"/>
              <w:ind w:right="29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21,326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4321 Semple Avenue</w:t>
            </w: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Industries</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L+1,325, 12/28/2020</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60" w:type="dxa"/>
            <w:vAlign w:val="bottom"/>
            <w:gridSpan w:val="3"/>
          </w:tcPr>
          <w:p>
            <w:pPr>
              <w:spacing w:after="0"/>
              <w:rPr>
                <w:sz w:val="20"/>
                <w:szCs w:val="20"/>
                <w:color w:val="auto"/>
              </w:rPr>
            </w:pPr>
            <w:r>
              <w:rPr>
                <w:rFonts w:ascii="Arial" w:cs="Arial" w:eastAsia="Arial" w:hAnsi="Arial"/>
                <w:sz w:val="14"/>
                <w:szCs w:val="14"/>
                <w:color w:val="auto"/>
              </w:rPr>
              <w:t>St. Louis, MO 63120</w:t>
            </w: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Dominion, Inc.</w:t>
            </w:r>
          </w:p>
        </w:tc>
        <w:tc>
          <w:tcPr>
            <w:tcW w:w="17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3"/>
              </w:rPr>
              <w:t>Electronics</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3"/>
            <w:shd w:val="clear" w:color="auto" w:fill="CCEEFF"/>
          </w:tcPr>
          <w:p>
            <w:pPr>
              <w:jc w:val="right"/>
              <w:ind w:right="118"/>
              <w:spacing w:after="0" w:line="130" w:lineRule="exact"/>
              <w:rPr>
                <w:sz w:val="20"/>
                <w:szCs w:val="20"/>
                <w:color w:val="auto"/>
              </w:rPr>
            </w:pPr>
            <w:r>
              <w:rPr>
                <w:rFonts w:ascii="Arial" w:cs="Arial" w:eastAsia="Arial" w:hAnsi="Arial"/>
                <w:sz w:val="14"/>
                <w:szCs w:val="14"/>
                <w:color w:val="auto"/>
              </w:rPr>
              <w:t>2.9%</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31,903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(SSC Dominion Holdings, LLC)</w:t>
            </w: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L+675, 07/15/2024</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 Suite 200</w:t>
            </w: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60" w:type="dxa"/>
            <w:vAlign w:val="bottom"/>
            <w:gridSpan w:val="3"/>
          </w:tcPr>
          <w:p>
            <w:pPr>
              <w:spacing w:after="0"/>
              <w:rPr>
                <w:sz w:val="20"/>
                <w:szCs w:val="20"/>
                <w:color w:val="auto"/>
              </w:rPr>
            </w:pPr>
            <w:r>
              <w:rPr>
                <w:rFonts w:ascii="Arial" w:cs="Arial" w:eastAsia="Arial" w:hAnsi="Arial"/>
                <w:sz w:val="14"/>
                <w:szCs w:val="14"/>
                <w:color w:val="auto"/>
              </w:rPr>
              <w:t>US Med Acquisition, Inc.</w:t>
            </w: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Healthcare, Education</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80" w:type="dxa"/>
            <w:vAlign w:val="bottom"/>
          </w:tcPr>
          <w:p>
            <w:pPr>
              <w:spacing w:after="0"/>
              <w:rPr>
                <w:sz w:val="20"/>
                <w:szCs w:val="20"/>
                <w:color w:val="auto"/>
              </w:rPr>
            </w:pPr>
          </w:p>
        </w:tc>
        <w:tc>
          <w:tcPr>
            <w:tcW w:w="1120" w:type="dxa"/>
            <w:vAlign w:val="bottom"/>
            <w:gridSpan w:val="2"/>
          </w:tcPr>
          <w:p>
            <w:pPr>
              <w:jc w:val="right"/>
              <w:ind w:right="29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8,032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8260 NW 27th Street, Suite 401</w:t>
            </w: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and Childcare</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L+900, 08/13/2021</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60" w:type="dxa"/>
            <w:vAlign w:val="bottom"/>
            <w:gridSpan w:val="3"/>
          </w:tcPr>
          <w:p>
            <w:pPr>
              <w:spacing w:after="0"/>
              <w:rPr>
                <w:sz w:val="20"/>
                <w:szCs w:val="20"/>
                <w:color w:val="auto"/>
              </w:rPr>
            </w:pPr>
            <w:r>
              <w:rPr>
                <w:rFonts w:ascii="Arial" w:cs="Arial" w:eastAsia="Arial" w:hAnsi="Arial"/>
                <w:sz w:val="14"/>
                <w:szCs w:val="14"/>
                <w:color w:val="auto"/>
              </w:rPr>
              <w:t>Doral, Florida 33122</w:t>
            </w: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Inc.</w:t>
            </w:r>
            <w:r>
              <w:rPr>
                <w:rFonts w:ascii="Arial" w:cs="Arial" w:eastAsia="Arial" w:hAnsi="Arial"/>
                <w:sz w:val="12"/>
                <w:szCs w:val="12"/>
                <w:color w:val="auto"/>
              </w:rPr>
              <w:t>(6)</w:t>
            </w:r>
          </w:p>
        </w:tc>
        <w:tc>
          <w:tcPr>
            <w:tcW w:w="17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1"/>
              </w:rPr>
              <w:t>Oil and Gas</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400" w:type="dxa"/>
            <w:vAlign w:val="bottom"/>
            <w:gridSpan w:val="3"/>
            <w:shd w:val="clear" w:color="auto" w:fill="CCEEFF"/>
          </w:tcPr>
          <w:p>
            <w:pPr>
              <w:jc w:val="right"/>
              <w:ind w:right="118"/>
              <w:spacing w:after="0" w:line="130" w:lineRule="exact"/>
              <w:rPr>
                <w:sz w:val="20"/>
                <w:szCs w:val="20"/>
                <w:color w:val="auto"/>
              </w:rPr>
            </w:pPr>
            <w:r>
              <w:rPr>
                <w:rFonts w:ascii="Arial" w:cs="Arial" w:eastAsia="Arial" w:hAnsi="Arial"/>
                <w:sz w:val="14"/>
                <w:szCs w:val="14"/>
                <w:color w:val="auto"/>
              </w:rPr>
              <w:t>2.5%</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6,902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(USWS Holdings, LLC</w:t>
            </w:r>
            <w:r>
              <w:rPr>
                <w:rFonts w:ascii="Arial" w:cs="Arial" w:eastAsia="Arial" w:hAnsi="Arial"/>
                <w:sz w:val="12"/>
                <w:szCs w:val="12"/>
                <w:color w:val="auto"/>
              </w:rPr>
              <w:t>(5)(6)</w:t>
            </w:r>
            <w:r>
              <w:rPr>
                <w:rFonts w:ascii="Arial" w:cs="Arial" w:eastAsia="Arial" w:hAnsi="Arial"/>
                <w:sz w:val="14"/>
                <w:szCs w:val="14"/>
                <w:color w:val="auto"/>
              </w:rPr>
              <w:t>)</w:t>
            </w: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770 South Post Oak Lane, Suite 405</w:t>
            </w: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60" w:type="dxa"/>
            <w:vAlign w:val="bottom"/>
            <w:gridSpan w:val="3"/>
          </w:tcPr>
          <w:p>
            <w:pPr>
              <w:spacing w:after="0"/>
              <w:rPr>
                <w:sz w:val="20"/>
                <w:szCs w:val="20"/>
                <w:color w:val="auto"/>
              </w:rPr>
            </w:pPr>
            <w:r>
              <w:rPr>
                <w:rFonts w:ascii="Arial" w:cs="Arial" w:eastAsia="Arial" w:hAnsi="Arial"/>
                <w:sz w:val="14"/>
                <w:szCs w:val="14"/>
                <w:color w:val="auto"/>
              </w:rPr>
              <w:t>VT Topco, Inc.</w:t>
            </w: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Business Services</w:t>
            </w:r>
          </w:p>
        </w:tc>
        <w:tc>
          <w:tcPr>
            <w:tcW w:w="304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1400" w:type="dxa"/>
            <w:vAlign w:val="bottom"/>
            <w:gridSpan w:val="3"/>
          </w:tcPr>
          <w:p>
            <w:pPr>
              <w:jc w:val="right"/>
              <w:ind w:right="118"/>
              <w:spacing w:after="0"/>
              <w:rPr>
                <w:sz w:val="20"/>
                <w:szCs w:val="20"/>
                <w:color w:val="auto"/>
              </w:rPr>
            </w:pPr>
            <w:r>
              <w:rPr>
                <w:rFonts w:ascii="Arial" w:cs="Arial" w:eastAsia="Arial" w:hAnsi="Arial"/>
                <w:sz w:val="14"/>
                <w:szCs w:val="14"/>
                <w:color w:val="auto"/>
              </w:rPr>
              <w:t>0.3%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13,777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(Green Veracity Holdings, LP)</w:t>
            </w: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L+700, 08/24/2026</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290 West Mount Pleasant Avenue, Suite 3200</w:t>
            </w: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60" w:type="dxa"/>
            <w:vAlign w:val="bottom"/>
            <w:gridSpan w:val="3"/>
          </w:tcPr>
          <w:p>
            <w:pPr>
              <w:spacing w:after="0"/>
              <w:rPr>
                <w:sz w:val="20"/>
                <w:szCs w:val="20"/>
                <w:color w:val="auto"/>
              </w:rPr>
            </w:pPr>
            <w:r>
              <w:rPr>
                <w:rFonts w:ascii="Arial" w:cs="Arial" w:eastAsia="Arial" w:hAnsi="Arial"/>
                <w:sz w:val="14"/>
                <w:szCs w:val="14"/>
                <w:color w:val="auto"/>
              </w:rPr>
              <w:t>Livingston, NJ 07039</w:t>
            </w: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Walker Edison Furniture Company LLC</w:t>
            </w:r>
          </w:p>
        </w:tc>
        <w:tc>
          <w:tcPr>
            <w:tcW w:w="17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5"/>
              </w:rPr>
              <w:t>Home and Office</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3"/>
            <w:shd w:val="clear" w:color="auto" w:fill="CCEEFF"/>
          </w:tcPr>
          <w:p>
            <w:pPr>
              <w:jc w:val="right"/>
              <w:ind w:right="118"/>
              <w:spacing w:after="0" w:line="130" w:lineRule="exact"/>
              <w:rPr>
                <w:sz w:val="20"/>
                <w:szCs w:val="20"/>
                <w:color w:val="auto"/>
              </w:rPr>
            </w:pPr>
            <w:r>
              <w:rPr>
                <w:rFonts w:ascii="Arial" w:cs="Arial" w:eastAsia="Arial" w:hAnsi="Arial"/>
                <w:sz w:val="14"/>
                <w:szCs w:val="14"/>
                <w:color w:val="auto"/>
              </w:rPr>
              <w:t>1.8%</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23,956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(JWC-WE Holdings, L.P.)</w:t>
            </w:r>
          </w:p>
        </w:tc>
        <w:tc>
          <w:tcPr>
            <w:tcW w:w="17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3"/>
              </w:rPr>
              <w:t>Furnishings</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L+650, 09/26/2024</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84120</w:t>
            </w:r>
          </w:p>
        </w:tc>
        <w:tc>
          <w:tcPr>
            <w:tcW w:w="1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60" w:type="dxa"/>
            <w:vAlign w:val="bottom"/>
            <w:gridSpan w:val="3"/>
          </w:tcPr>
          <w:p>
            <w:pPr>
              <w:spacing w:after="0"/>
              <w:rPr>
                <w:sz w:val="20"/>
                <w:szCs w:val="20"/>
                <w:color w:val="auto"/>
              </w:rPr>
            </w:pPr>
            <w:r>
              <w:rPr>
                <w:rFonts w:ascii="Arial" w:cs="Arial" w:eastAsia="Arial" w:hAnsi="Arial"/>
                <w:sz w:val="14"/>
                <w:szCs w:val="14"/>
                <w:color w:val="auto"/>
              </w:rPr>
              <w:t>Whitney, Bradley &amp; Brown, Inc.</w:t>
            </w: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Aerospace and Defense</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400" w:type="dxa"/>
            <w:vAlign w:val="bottom"/>
            <w:gridSpan w:val="3"/>
          </w:tcPr>
          <w:p>
            <w:pPr>
              <w:jc w:val="right"/>
              <w:ind w:right="118"/>
              <w:spacing w:after="0"/>
              <w:rPr>
                <w:sz w:val="20"/>
                <w:szCs w:val="20"/>
                <w:color w:val="auto"/>
              </w:rPr>
            </w:pPr>
            <w:r>
              <w:rPr>
                <w:rFonts w:ascii="Arial" w:cs="Arial" w:eastAsia="Arial" w:hAnsi="Arial"/>
                <w:sz w:val="14"/>
                <w:szCs w:val="14"/>
                <w:color w:val="auto"/>
              </w:rPr>
              <w:t>2.5%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20,453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(WBB Equity, LLC</w:t>
            </w:r>
            <w:r>
              <w:rPr>
                <w:rFonts w:ascii="Arial" w:cs="Arial" w:eastAsia="Arial" w:hAnsi="Arial"/>
                <w:sz w:val="12"/>
                <w:szCs w:val="12"/>
                <w:color w:val="auto"/>
              </w:rPr>
              <w:t>(5)</w:t>
            </w:r>
            <w:r>
              <w:rPr>
                <w:rFonts w:ascii="Arial" w:cs="Arial" w:eastAsia="Arial" w:hAnsi="Arial"/>
                <w:sz w:val="14"/>
                <w:szCs w:val="14"/>
                <w:color w:val="auto"/>
              </w:rPr>
              <w:t>)</w:t>
            </w: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L+900, 10/18/2022</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11790 Sunrise Valley Drive</w:t>
            </w: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60" w:type="dxa"/>
            <w:vAlign w:val="bottom"/>
            <w:gridSpan w:val="3"/>
          </w:tcPr>
          <w:p>
            <w:pPr>
              <w:spacing w:after="0"/>
              <w:rPr>
                <w:sz w:val="20"/>
                <w:szCs w:val="20"/>
                <w:color w:val="auto"/>
              </w:rPr>
            </w:pPr>
            <w:r>
              <w:rPr>
                <w:rFonts w:ascii="Arial" w:cs="Arial" w:eastAsia="Arial" w:hAnsi="Arial"/>
                <w:sz w:val="14"/>
                <w:szCs w:val="14"/>
                <w:color w:val="auto"/>
              </w:rPr>
              <w:t>Reston, VA 20191</w:t>
            </w: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Winter Park Intermediate, Inc.</w:t>
            </w:r>
          </w:p>
        </w:tc>
        <w:tc>
          <w:tcPr>
            <w:tcW w:w="17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Auto Sector</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400" w:type="dxa"/>
            <w:vAlign w:val="bottom"/>
            <w:gridSpan w:val="3"/>
            <w:shd w:val="clear" w:color="auto" w:fill="CCEEFF"/>
          </w:tcPr>
          <w:p>
            <w:pPr>
              <w:jc w:val="right"/>
              <w:ind w:right="118"/>
              <w:spacing w:after="0" w:line="130" w:lineRule="exact"/>
              <w:rPr>
                <w:sz w:val="20"/>
                <w:szCs w:val="20"/>
                <w:color w:val="auto"/>
              </w:rPr>
            </w:pPr>
            <w:r>
              <w:rPr>
                <w:rFonts w:ascii="Arial" w:cs="Arial" w:eastAsia="Arial" w:hAnsi="Arial"/>
                <w:sz w:val="14"/>
                <w:szCs w:val="14"/>
                <w:color w:val="auto"/>
              </w:rPr>
              <w:t>2.5%</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38,065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(Wheel Pros Holdings, L.P.)</w:t>
            </w: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L+850, 04/06/2026</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44 Union Boulevard, Suite 620</w:t>
            </w: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Lakewood, CO 80228</w:t>
            </w:r>
          </w:p>
        </w:tc>
        <w:tc>
          <w:tcPr>
            <w:tcW w:w="1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Companies 5% to 24% Owned</w:t>
            </w: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7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Consumer Products</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400" w:type="dxa"/>
            <w:vAlign w:val="bottom"/>
            <w:gridSpan w:val="3"/>
            <w:shd w:val="clear" w:color="auto" w:fill="CCEEFF"/>
          </w:tcPr>
          <w:p>
            <w:pPr>
              <w:jc w:val="right"/>
              <w:ind w:right="118"/>
              <w:spacing w:after="0" w:line="130" w:lineRule="exact"/>
              <w:rPr>
                <w:sz w:val="20"/>
                <w:szCs w:val="20"/>
                <w:color w:val="auto"/>
              </w:rPr>
            </w:pPr>
            <w:r>
              <w:rPr>
                <w:rFonts w:ascii="Arial" w:cs="Arial" w:eastAsia="Arial" w:hAnsi="Arial"/>
                <w:sz w:val="14"/>
                <w:szCs w:val="14"/>
                <w:color w:val="auto"/>
              </w:rPr>
              <w:t>8.9%</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16,821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1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80" w:type="dxa"/>
            <w:vAlign w:val="bottom"/>
          </w:tcPr>
          <w:p>
            <w:pPr>
              <w:spacing w:after="0"/>
              <w:rPr>
                <w:sz w:val="14"/>
                <w:szCs w:val="14"/>
                <w:color w:val="auto"/>
              </w:rPr>
            </w:pPr>
          </w:p>
        </w:tc>
        <w:tc>
          <w:tcPr>
            <w:tcW w:w="1240" w:type="dxa"/>
            <w:vAlign w:val="bottom"/>
            <w:gridSpan w:val="2"/>
          </w:tcPr>
          <w:p>
            <w:pPr>
              <w:jc w:val="center"/>
              <w:ind w:right="378"/>
              <w:spacing w:after="0"/>
              <w:rPr>
                <w:sz w:val="20"/>
                <w:szCs w:val="20"/>
                <w:color w:val="auto"/>
              </w:rPr>
            </w:pPr>
            <w:r>
              <w:rPr>
                <w:rFonts w:ascii="Arial" w:cs="Arial" w:eastAsia="Arial" w:hAnsi="Arial"/>
                <w:sz w:val="14"/>
                <w:szCs w:val="14"/>
                <w:b w:val="1"/>
                <w:bCs w:val="1"/>
                <w:color w:val="auto"/>
                <w:w w:val="91"/>
              </w:rPr>
              <w:t>Voting</w:t>
            </w:r>
          </w:p>
        </w:tc>
        <w:tc>
          <w:tcPr>
            <w:tcW w:w="18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780" w:type="dxa"/>
            <w:vAlign w:val="bottom"/>
            <w:gridSpan w:val="3"/>
            <w:vMerge w:val="continue"/>
          </w:tcPr>
          <w:p>
            <w:pPr>
              <w:spacing w:after="0"/>
              <w:rPr>
                <w:sz w:val="12"/>
                <w:szCs w:val="12"/>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Nature of Business</w:t>
            </w:r>
          </w:p>
        </w:tc>
        <w:tc>
          <w:tcPr>
            <w:tcW w:w="2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78"/>
              <w:spacing w:after="0" w:line="145"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680" w:type="dxa"/>
            <w:vAlign w:val="bottom"/>
            <w:gridSpan w:val="2"/>
            <w:vMerge w:val="continue"/>
          </w:tcPr>
          <w:p>
            <w:pPr>
              <w:spacing w:after="0"/>
              <w:rPr>
                <w:sz w:val="15"/>
                <w:szCs w:val="15"/>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520" w:type="dxa"/>
            <w:vAlign w:val="bottom"/>
            <w:gridSpan w:val="3"/>
          </w:tcPr>
          <w:p>
            <w:pPr>
              <w:jc w:val="center"/>
              <w:ind w:right="98"/>
              <w:spacing w:after="0"/>
              <w:rPr>
                <w:sz w:val="20"/>
                <w:szCs w:val="20"/>
                <w:color w:val="auto"/>
              </w:rPr>
            </w:pPr>
            <w:r>
              <w:rPr>
                <w:rFonts w:ascii="Arial" w:cs="Arial" w:eastAsia="Arial" w:hAnsi="Arial"/>
                <w:sz w:val="14"/>
                <w:szCs w:val="14"/>
                <w:b w:val="1"/>
                <w:bCs w:val="1"/>
                <w:color w:val="auto"/>
                <w:w w:val="96"/>
              </w:rPr>
              <w:t>Ownership</w:t>
            </w:r>
            <w:r>
              <w:rPr>
                <w:rFonts w:ascii="Arial" w:cs="Arial" w:eastAsia="Arial" w:hAnsi="Arial"/>
                <w:sz w:val="12"/>
                <w:szCs w:val="12"/>
                <w:b w:val="1"/>
                <w:bCs w:val="1"/>
                <w:color w:val="auto"/>
                <w:w w:val="96"/>
              </w:rPr>
              <w:t>(2)</w:t>
            </w:r>
          </w:p>
        </w:tc>
        <w:tc>
          <w:tcPr>
            <w:tcW w:w="11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ETX Energy , LLC</w:t>
            </w:r>
            <w:r>
              <w:rPr>
                <w:rFonts w:ascii="Arial" w:cs="Arial" w:eastAsia="Arial" w:hAnsi="Arial"/>
                <w:sz w:val="10"/>
                <w:szCs w:val="10"/>
                <w:color w:val="auto"/>
              </w:rPr>
              <w:t>(5)</w:t>
            </w:r>
          </w:p>
        </w:tc>
        <w:tc>
          <w:tcPr>
            <w:tcW w:w="190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Oil and Gas</w:t>
            </w:r>
          </w:p>
        </w:tc>
        <w:tc>
          <w:tcPr>
            <w:tcW w:w="300" w:type="dxa"/>
            <w:vAlign w:val="bottom"/>
            <w:tcBorders>
              <w:top w:val="single" w:sz="8" w:color="CCEEFF"/>
            </w:tcBorders>
            <w:shd w:val="clear" w:color="auto" w:fill="CCEEFF"/>
          </w:tcPr>
          <w:p>
            <w:pPr>
              <w:spacing w:after="0"/>
              <w:rPr>
                <w:sz w:val="9"/>
                <w:szCs w:val="9"/>
                <w:color w:val="auto"/>
              </w:rPr>
            </w:pPr>
          </w:p>
        </w:tc>
        <w:tc>
          <w:tcPr>
            <w:tcW w:w="29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Preferred Equity</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14.0</w:t>
            </w:r>
          </w:p>
        </w:tc>
        <w:tc>
          <w:tcPr>
            <w:tcW w:w="420" w:type="dxa"/>
            <w:vAlign w:val="bottom"/>
            <w:tcBorders>
              <w:top w:val="single" w:sz="8" w:color="CCEEFF"/>
            </w:tcBorders>
            <w:shd w:val="clear" w:color="auto" w:fill="CCEEFF"/>
          </w:tcPr>
          <w:p>
            <w:pPr>
              <w:jc w:val="right"/>
              <w:ind w:right="98"/>
              <w:spacing w:after="0" w:line="109" w:lineRule="exact"/>
              <w:rPr>
                <w:sz w:val="20"/>
                <w:szCs w:val="20"/>
                <w:color w:val="auto"/>
              </w:rPr>
            </w:pPr>
            <w:r>
              <w:rPr>
                <w:rFonts w:ascii="Arial" w:cs="Arial" w:eastAsia="Arial" w:hAnsi="Arial"/>
                <w:sz w:val="12"/>
                <w:szCs w:val="12"/>
                <w:color w:val="auto"/>
              </w:rPr>
              <w:t>%</w:t>
            </w:r>
            <w:r>
              <w:rPr>
                <w:rFonts w:ascii="Arial" w:cs="Arial" w:eastAsia="Arial" w:hAnsi="Arial"/>
                <w:sz w:val="10"/>
                <w:szCs w:val="10"/>
                <w:color w:val="auto"/>
              </w:rPr>
              <w:t>(3)</w:t>
            </w:r>
          </w:p>
        </w:tc>
        <w:tc>
          <w:tcPr>
            <w:tcW w:w="1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32,237</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(ETX Energy Management Company, LLC)</w:t>
            </w:r>
          </w:p>
        </w:tc>
        <w:tc>
          <w:tcPr>
            <w:tcW w:w="1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10441 S. Regal Blvd. Ste. 210</w:t>
            </w:r>
          </w:p>
        </w:tc>
        <w:tc>
          <w:tcPr>
            <w:tcW w:w="1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Tulsa, OK 74133</w:t>
            </w:r>
          </w:p>
        </w:tc>
        <w:tc>
          <w:tcPr>
            <w:tcW w:w="1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Companies 25% or More Owned</w:t>
            </w:r>
          </w:p>
        </w:tc>
        <w:tc>
          <w:tcPr>
            <w:tcW w:w="1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AKW Holdings Limited</w:t>
            </w:r>
            <w:r>
              <w:rPr>
                <w:rFonts w:ascii="Arial" w:cs="Arial" w:eastAsia="Arial" w:hAnsi="Arial"/>
                <w:sz w:val="12"/>
                <w:szCs w:val="12"/>
                <w:color w:val="auto"/>
              </w:rPr>
              <w:t>(6)</w:t>
            </w:r>
          </w:p>
        </w:tc>
        <w:tc>
          <w:tcPr>
            <w:tcW w:w="168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2"/>
              </w:rPr>
              <w:t>Healthcare, Education</w:t>
            </w:r>
          </w:p>
        </w:tc>
        <w:tc>
          <w:tcPr>
            <w:tcW w:w="29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520" w:type="dxa"/>
            <w:vAlign w:val="bottom"/>
            <w:gridSpan w:val="3"/>
            <w:shd w:val="clear" w:color="auto" w:fill="CCEEFF"/>
          </w:tcPr>
          <w:p>
            <w:pPr>
              <w:jc w:val="right"/>
              <w:ind w:right="98"/>
              <w:spacing w:after="0" w:line="130" w:lineRule="exact"/>
              <w:rPr>
                <w:sz w:val="20"/>
                <w:szCs w:val="20"/>
                <w:color w:val="auto"/>
              </w:rPr>
            </w:pPr>
            <w:r>
              <w:rPr>
                <w:rFonts w:ascii="Arial" w:cs="Arial" w:eastAsia="Arial" w:hAnsi="Arial"/>
                <w:sz w:val="14"/>
                <w:szCs w:val="14"/>
                <w:color w:val="auto"/>
              </w:rPr>
              <w:t>83.5%</w:t>
            </w:r>
            <w:r>
              <w:rPr>
                <w:rFonts w:ascii="Arial" w:cs="Arial" w:eastAsia="Arial" w:hAnsi="Arial"/>
                <w:sz w:val="12"/>
                <w:szCs w:val="12"/>
                <w:color w:val="auto"/>
              </w:rPr>
              <w:t>(3)</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42,968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 L, Snugborough Trading Estate</w:t>
            </w:r>
          </w:p>
        </w:tc>
        <w:tc>
          <w:tcPr>
            <w:tcW w:w="168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2"/>
              </w:rPr>
              <w:t>and Childcare</w:t>
            </w:r>
          </w:p>
        </w:tc>
        <w:tc>
          <w:tcPr>
            <w:tcW w:w="2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L+575, 03/13/2024</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Braddan, Isle of Man IM4 4LH</w:t>
            </w:r>
          </w:p>
        </w:tc>
        <w:tc>
          <w:tcPr>
            <w:tcW w:w="1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3"/>
          </w:tcPr>
          <w:p>
            <w:pPr>
              <w:spacing w:after="0"/>
              <w:rPr>
                <w:sz w:val="20"/>
                <w:szCs w:val="20"/>
                <w:color w:val="auto"/>
              </w:rPr>
            </w:pPr>
            <w:r>
              <w:rPr>
                <w:rFonts w:ascii="Arial" w:cs="Arial" w:eastAsia="Arial" w:hAnsi="Arial"/>
                <w:sz w:val="14"/>
                <w:szCs w:val="14"/>
                <w:color w:val="auto"/>
              </w:rPr>
              <w:t>MidOcean JF Holdings Corp.</w:t>
            </w: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Distribution</w:t>
            </w:r>
          </w:p>
        </w:tc>
        <w:tc>
          <w:tcPr>
            <w:tcW w:w="2960" w:type="dxa"/>
            <w:vAlign w:val="bottom"/>
          </w:tcPr>
          <w:p>
            <w:pPr>
              <w:jc w:val="center"/>
              <w:spacing w:after="0"/>
              <w:rPr>
                <w:sz w:val="20"/>
                <w:szCs w:val="20"/>
                <w:color w:val="auto"/>
              </w:rPr>
            </w:pPr>
            <w:r>
              <w:rPr>
                <w:rFonts w:ascii="Arial" w:cs="Arial" w:eastAsia="Arial" w:hAnsi="Arial"/>
                <w:sz w:val="14"/>
                <w:szCs w:val="14"/>
                <w:color w:val="auto"/>
                <w:w w:val="94"/>
              </w:rPr>
              <w:t>Preferred Equity</w:t>
            </w:r>
          </w:p>
        </w:tc>
        <w:tc>
          <w:tcPr>
            <w:tcW w:w="1520" w:type="dxa"/>
            <w:vAlign w:val="bottom"/>
            <w:gridSpan w:val="3"/>
          </w:tcPr>
          <w:p>
            <w:pPr>
              <w:jc w:val="right"/>
              <w:ind w:right="98"/>
              <w:spacing w:after="0"/>
              <w:rPr>
                <w:sz w:val="20"/>
                <w:szCs w:val="20"/>
                <w:color w:val="auto"/>
              </w:rPr>
            </w:pPr>
            <w:r>
              <w:rPr>
                <w:rFonts w:ascii="Arial" w:cs="Arial" w:eastAsia="Arial" w:hAnsi="Arial"/>
                <w:sz w:val="14"/>
                <w:szCs w:val="14"/>
                <w:color w:val="auto"/>
              </w:rPr>
              <w:t>35.7%</w:t>
            </w:r>
            <w:r>
              <w:rPr>
                <w:rFonts w:ascii="Arial" w:cs="Arial" w:eastAsia="Arial" w:hAnsi="Arial"/>
                <w:sz w:val="12"/>
                <w:szCs w:val="12"/>
                <w:color w:val="auto"/>
              </w:rPr>
              <w:t>(3)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9,082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color w:val="auto"/>
              </w:rPr>
              <w:t>Raleigh, NC 27605</w:t>
            </w: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RAM Energy LLC</w:t>
            </w:r>
          </w:p>
        </w:tc>
        <w:tc>
          <w:tcPr>
            <w:tcW w:w="168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6"/>
              </w:rPr>
              <w:t>Energy and Utilities</w:t>
            </w:r>
          </w:p>
        </w:tc>
        <w:tc>
          <w:tcPr>
            <w:tcW w:w="29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520" w:type="dxa"/>
            <w:vAlign w:val="bottom"/>
            <w:gridSpan w:val="3"/>
            <w:shd w:val="clear" w:color="auto" w:fill="CCEEFF"/>
          </w:tcPr>
          <w:p>
            <w:pPr>
              <w:jc w:val="right"/>
              <w:ind w:right="98"/>
              <w:spacing w:after="0" w:line="130" w:lineRule="exact"/>
              <w:rPr>
                <w:sz w:val="20"/>
                <w:szCs w:val="20"/>
                <w:color w:val="auto"/>
              </w:rPr>
            </w:pPr>
            <w:r>
              <w:rPr>
                <w:rFonts w:ascii="Arial" w:cs="Arial" w:eastAsia="Arial" w:hAnsi="Arial"/>
                <w:sz w:val="14"/>
                <w:szCs w:val="14"/>
                <w:color w:val="auto"/>
              </w:rPr>
              <w:t>100.0%</w:t>
            </w:r>
            <w:r>
              <w:rPr>
                <w:rFonts w:ascii="Arial" w:cs="Arial" w:eastAsia="Arial" w:hAnsi="Arial"/>
                <w:sz w:val="12"/>
                <w:szCs w:val="12"/>
                <w:color w:val="auto"/>
              </w:rPr>
              <w:t>(3)</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93,330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(RAM Energy Holdings LLC)</w:t>
            </w:r>
          </w:p>
        </w:tc>
        <w:tc>
          <w:tcPr>
            <w:tcW w:w="1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8.0% fixed, 07/01/2022</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2100 South Utica Avenue, Ste. 165</w:t>
            </w:r>
          </w:p>
        </w:tc>
        <w:tc>
          <w:tcPr>
            <w:tcW w:w="1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Tulsa, OK 74114</w:t>
            </w:r>
          </w:p>
        </w:tc>
        <w:tc>
          <w:tcPr>
            <w:tcW w:w="1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3"/>
          </w:tcPr>
          <w:p>
            <w:pPr>
              <w:spacing w:after="0"/>
              <w:rPr>
                <w:sz w:val="20"/>
                <w:szCs w:val="20"/>
                <w:color w:val="auto"/>
              </w:rPr>
            </w:pPr>
            <w:r>
              <w:rPr>
                <w:rFonts w:ascii="Arial" w:cs="Arial" w:eastAsia="Arial" w:hAnsi="Arial"/>
                <w:sz w:val="14"/>
                <w:szCs w:val="14"/>
                <w:color w:val="auto"/>
              </w:rPr>
              <w:t>Superior Digital Displays, LLC</w:t>
            </w: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Media</w:t>
            </w:r>
          </w:p>
        </w:tc>
        <w:tc>
          <w:tcPr>
            <w:tcW w:w="296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520" w:type="dxa"/>
            <w:vAlign w:val="bottom"/>
            <w:gridSpan w:val="3"/>
          </w:tcPr>
          <w:p>
            <w:pPr>
              <w:jc w:val="right"/>
              <w:ind w:right="98"/>
              <w:spacing w:after="0"/>
              <w:rPr>
                <w:sz w:val="20"/>
                <w:szCs w:val="20"/>
                <w:color w:val="auto"/>
              </w:rPr>
            </w:pPr>
            <w:r>
              <w:rPr>
                <w:rFonts w:ascii="Arial" w:cs="Arial" w:eastAsia="Arial" w:hAnsi="Arial"/>
                <w:sz w:val="14"/>
                <w:szCs w:val="14"/>
                <w:color w:val="auto"/>
              </w:rPr>
              <w:t>99.4%</w:t>
            </w:r>
            <w:r>
              <w:rPr>
                <w:rFonts w:ascii="Arial" w:cs="Arial" w:eastAsia="Arial" w:hAnsi="Arial"/>
                <w:sz w:val="12"/>
                <w:szCs w:val="12"/>
                <w:color w:val="auto"/>
              </w:rPr>
              <w:t>(3)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7,500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tcPr>
          <w:p>
            <w:pPr>
              <w:jc w:val="center"/>
              <w:spacing w:after="0" w:line="149" w:lineRule="exact"/>
              <w:rPr>
                <w:sz w:val="20"/>
                <w:szCs w:val="20"/>
                <w:color w:val="auto"/>
              </w:rPr>
            </w:pPr>
            <w:r>
              <w:rPr>
                <w:rFonts w:ascii="Arial" w:cs="Arial" w:eastAsia="Arial" w:hAnsi="Arial"/>
                <w:sz w:val="14"/>
                <w:szCs w:val="14"/>
                <w:color w:val="auto"/>
                <w:w w:val="95"/>
              </w:rPr>
              <w:t>3.0% fixed PIK, 12/31/2019</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1501 Broadway, 12th Floor</w:t>
            </w: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80" w:type="dxa"/>
            <w:vAlign w:val="bottom"/>
            <w:gridSpan w:val="3"/>
          </w:tcPr>
          <w:p>
            <w:pPr>
              <w:spacing w:after="0"/>
              <w:rPr>
                <w:sz w:val="20"/>
                <w:szCs w:val="20"/>
                <w:color w:val="auto"/>
              </w:rPr>
            </w:pPr>
            <w:r>
              <w:rPr>
                <w:rFonts w:ascii="Arial" w:cs="Arial" w:eastAsia="Arial" w:hAnsi="Arial"/>
                <w:sz w:val="14"/>
                <w:szCs w:val="14"/>
                <w:color w:val="auto"/>
              </w:rPr>
              <w:t>New York, NY 10036</w:t>
            </w: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1,191,454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right="80" w:hanging="316"/>
        <w:spacing w:after="0" w:line="225"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12/31/18.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rPr>
      </w:pPr>
    </w:p>
    <w:p>
      <w:pPr>
        <w:ind w:left="520" w:hanging="316"/>
        <w:spacing w:after="0" w:line="221"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520" w:hanging="316"/>
        <w:spacing w:after="0" w:line="221"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ind w:left="520" w:right="180" w:hanging="316"/>
        <w:spacing w:after="0" w:line="221"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520" w:hanging="316"/>
        <w:spacing w:after="0" w:line="221"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Investment is held through our Taxable Subsidiaries.</w:t>
      </w:r>
    </w:p>
    <w:p>
      <w:pPr>
        <w:ind w:left="520" w:right="540" w:hanging="316"/>
        <w:spacing w:after="0" w:line="232"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2018, qualifying assets represent 89% of the Company’s total assets and non-qualifying assets represent 11% of the Company’s total assets.</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December 31, 2018:</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Parq Holdings Limited Partnership (Hotels, Motels, Inns and Gaming)</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Parq Holdings Limited Partnership is a gaming and hotel complex in downtown Vancouver, Canada.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RAM Energy LLC (Energy and Utilities)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RAM Energy LLC is an exploration and production company focused on operations in the Arkansas-Louisiana-Texas and Permian regions.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1580" w:type="dxa"/>
            <w:vAlign w:val="bottom"/>
          </w:tcPr>
          <w:p>
            <w:pPr>
              <w:spacing w:after="0"/>
              <w:rPr>
                <w:sz w:val="14"/>
                <w:szCs w:val="14"/>
                <w:color w:val="auto"/>
              </w:rPr>
            </w:pPr>
          </w:p>
        </w:tc>
        <w:tc>
          <w:tcPr>
            <w:tcW w:w="244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w w:val="90"/>
              </w:rPr>
              <w:t>December 31, 2018</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September 30,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580" w:type="dxa"/>
            <w:vAlign w:val="bottom"/>
            <w:shd w:val="clear" w:color="auto" w:fill="CCEEFF"/>
          </w:tcPr>
          <w:p>
            <w:pPr>
              <w:spacing w:after="0"/>
              <w:rPr>
                <w:sz w:val="17"/>
                <w:szCs w:val="17"/>
                <w:color w:val="auto"/>
              </w:rPr>
            </w:pPr>
          </w:p>
        </w:tc>
        <w:tc>
          <w:tcPr>
            <w:tcW w:w="2440" w:type="dxa"/>
            <w:vAlign w:val="bottom"/>
            <w:gridSpan w:val="2"/>
            <w:shd w:val="clear" w:color="auto" w:fill="CCEEFF"/>
          </w:tcPr>
          <w:p>
            <w:pPr>
              <w:jc w:val="right"/>
              <w:ind w:right="1140"/>
              <w:spacing w:after="0" w:line="203" w:lineRule="exact"/>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020" w:type="dxa"/>
            <w:vAlign w:val="bottom"/>
            <w:gridSpan w:val="3"/>
          </w:tcPr>
          <w:p>
            <w:pPr>
              <w:jc w:val="right"/>
              <w:ind w:right="1280"/>
              <w:spacing w:after="0"/>
              <w:rPr>
                <w:sz w:val="20"/>
                <w:szCs w:val="20"/>
                <w:color w:val="auto"/>
              </w:rPr>
            </w:pPr>
            <w:r>
              <w:rPr>
                <w:rFonts w:ascii="Arial" w:cs="Arial" w:eastAsia="Arial" w:hAnsi="Arial"/>
                <w:sz w:val="18"/>
                <w:szCs w:val="18"/>
                <w:color w:val="auto"/>
              </w:rPr>
              <w:t>10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402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020" w:type="dxa"/>
            <w:vAlign w:val="bottom"/>
            <w:gridSpan w:val="3"/>
          </w:tcPr>
          <w:p>
            <w:pPr>
              <w:jc w:val="right"/>
              <w:ind w:right="128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402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020" w:type="dxa"/>
            <w:vAlign w:val="bottom"/>
            <w:gridSpan w:val="3"/>
          </w:tcPr>
          <w:p>
            <w:pPr>
              <w:jc w:val="right"/>
              <w:ind w:right="128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02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4020" w:type="dxa"/>
            <w:vAlign w:val="bottom"/>
            <w:gridSpan w:val="3"/>
          </w:tcPr>
          <w:p>
            <w:pPr>
              <w:jc w:val="right"/>
              <w:ind w:right="128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402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4020" w:type="dxa"/>
            <w:vAlign w:val="bottom"/>
            <w:gridSpan w:val="3"/>
          </w:tcPr>
          <w:p>
            <w:pPr>
              <w:jc w:val="right"/>
              <w:ind w:right="128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02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4020" w:type="dxa"/>
            <w:vAlign w:val="bottom"/>
            <w:gridSpan w:val="3"/>
          </w:tcPr>
          <w:p>
            <w:pPr>
              <w:jc w:val="right"/>
              <w:ind w:right="128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02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020" w:type="dxa"/>
            <w:vAlign w:val="bottom"/>
            <w:gridSpan w:val="3"/>
          </w:tcPr>
          <w:p>
            <w:pPr>
              <w:jc w:val="right"/>
              <w:ind w:right="128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402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4020" w:type="dxa"/>
            <w:vAlign w:val="bottom"/>
            <w:gridSpan w:val="3"/>
          </w:tcPr>
          <w:p>
            <w:pPr>
              <w:jc w:val="right"/>
              <w:ind w:right="128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02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020" w:type="dxa"/>
            <w:vAlign w:val="bottom"/>
            <w:gridSpan w:val="3"/>
          </w:tcPr>
          <w:p>
            <w:pPr>
              <w:jc w:val="right"/>
              <w:ind w:right="128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02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4020" w:type="dxa"/>
            <w:vAlign w:val="bottom"/>
            <w:gridSpan w:val="3"/>
          </w:tcPr>
          <w:p>
            <w:pPr>
              <w:jc w:val="right"/>
              <w:ind w:right="128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402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4020" w:type="dxa"/>
            <w:vAlign w:val="bottom"/>
            <w:gridSpan w:val="3"/>
          </w:tcPr>
          <w:p>
            <w:pPr>
              <w:jc w:val="right"/>
              <w:ind w:right="128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02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2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vMerge w:val="restart"/>
          </w:tcPr>
          <w:p>
            <w:pPr>
              <w:jc w:val="right"/>
              <w:ind w:right="610"/>
              <w:spacing w:after="0"/>
              <w:rPr>
                <w:sz w:val="20"/>
                <w:szCs w:val="20"/>
                <w:color w:val="auto"/>
              </w:rPr>
            </w:pPr>
            <w:r>
              <w:rPr>
                <w:rFonts w:ascii="Arial" w:cs="Arial" w:eastAsia="Arial" w:hAnsi="Arial"/>
                <w:sz w:val="18"/>
                <w:szCs w:val="18"/>
                <w:color w:val="auto"/>
              </w:rPr>
              <w:t>86</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240" w:top="459" w:right="11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 five members, or directors,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Age</w:t>
            </w:r>
          </w:p>
        </w:tc>
        <w:tc>
          <w:tcPr>
            <w:tcW w:w="4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Position</w:t>
            </w:r>
          </w:p>
        </w:tc>
        <w:tc>
          <w:tcPr>
            <w:tcW w:w="1320" w:type="dxa"/>
            <w:vAlign w:val="bottom"/>
            <w:gridSpan w:val="2"/>
          </w:tcPr>
          <w:p>
            <w:pPr>
              <w:jc w:val="center"/>
              <w:ind w:left="673"/>
              <w:spacing w:after="0"/>
              <w:rPr>
                <w:sz w:val="20"/>
                <w:szCs w:val="20"/>
                <w:color w:val="auto"/>
              </w:rPr>
            </w:pPr>
            <w:r>
              <w:rPr>
                <w:rFonts w:ascii="Arial" w:cs="Arial" w:eastAsia="Arial" w:hAnsi="Arial"/>
                <w:sz w:val="14"/>
                <w:szCs w:val="14"/>
                <w:b w:val="1"/>
                <w:bCs w:val="1"/>
                <w:color w:val="auto"/>
                <w:w w:val="96"/>
              </w:rPr>
              <w:t>Director</w:t>
            </w:r>
          </w:p>
        </w:tc>
        <w:tc>
          <w:tcPr>
            <w:tcW w:w="1000" w:type="dxa"/>
            <w:vAlign w:val="bottom"/>
            <w:gridSpan w:val="2"/>
          </w:tcPr>
          <w:p>
            <w:pPr>
              <w:jc w:val="center"/>
              <w:ind w:left="213"/>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8"/>
        </w:trPr>
        <w:tc>
          <w:tcPr>
            <w:tcW w:w="2660" w:type="dxa"/>
            <w:vAlign w:val="bottom"/>
            <w:gridSpan w:val="3"/>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488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Since</w:t>
            </w:r>
          </w:p>
        </w:tc>
        <w:tc>
          <w:tcPr>
            <w:tcW w:w="32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8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jc w:val="center"/>
              <w:ind w:left="673"/>
              <w:spacing w:after="0"/>
              <w:rPr>
                <w:sz w:val="20"/>
                <w:szCs w:val="20"/>
                <w:color w:val="auto"/>
              </w:rPr>
            </w:pPr>
            <w:r>
              <w:rPr>
                <w:rFonts w:ascii="Arial" w:cs="Arial" w:eastAsia="Arial" w:hAnsi="Arial"/>
                <w:sz w:val="18"/>
                <w:szCs w:val="18"/>
                <w:color w:val="auto"/>
                <w:w w:val="89"/>
              </w:rPr>
              <w:t>2007</w:t>
            </w:r>
          </w:p>
        </w:tc>
        <w:tc>
          <w:tcPr>
            <w:tcW w:w="1000" w:type="dxa"/>
            <w:vAlign w:val="bottom"/>
            <w:gridSpan w:val="2"/>
          </w:tcPr>
          <w:p>
            <w:pPr>
              <w:jc w:val="center"/>
              <w:ind w:left="193"/>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1320" w:type="dxa"/>
            <w:vAlign w:val="bottom"/>
            <w:gridSpan w:val="2"/>
            <w:shd w:val="clear" w:color="auto" w:fill="CCEEFF"/>
          </w:tcPr>
          <w:p>
            <w:pPr>
              <w:jc w:val="center"/>
              <w:ind w:left="673"/>
              <w:spacing w:after="0"/>
              <w:rPr>
                <w:sz w:val="20"/>
                <w:szCs w:val="20"/>
                <w:color w:val="auto"/>
              </w:rPr>
            </w:pPr>
            <w:r>
              <w:rPr>
                <w:rFonts w:ascii="Arial" w:cs="Arial" w:eastAsia="Arial" w:hAnsi="Arial"/>
                <w:sz w:val="18"/>
                <w:szCs w:val="18"/>
                <w:color w:val="auto"/>
                <w:w w:val="89"/>
              </w:rPr>
              <w:t>2007</w:t>
            </w:r>
          </w:p>
        </w:tc>
        <w:tc>
          <w:tcPr>
            <w:tcW w:w="100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8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jc w:val="center"/>
              <w:ind w:left="673"/>
              <w:spacing w:after="0"/>
              <w:rPr>
                <w:sz w:val="20"/>
                <w:szCs w:val="20"/>
                <w:color w:val="auto"/>
              </w:rPr>
            </w:pPr>
            <w:r>
              <w:rPr>
                <w:rFonts w:ascii="Arial" w:cs="Arial" w:eastAsia="Arial" w:hAnsi="Arial"/>
                <w:sz w:val="18"/>
                <w:szCs w:val="18"/>
                <w:color w:val="auto"/>
                <w:w w:val="89"/>
              </w:rPr>
              <w:t>2007</w:t>
            </w:r>
          </w:p>
        </w:tc>
        <w:tc>
          <w:tcPr>
            <w:tcW w:w="1000" w:type="dxa"/>
            <w:vAlign w:val="bottom"/>
            <w:gridSpan w:val="2"/>
          </w:tcPr>
          <w:p>
            <w:pPr>
              <w:jc w:val="center"/>
              <w:ind w:left="193"/>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1320" w:type="dxa"/>
            <w:vAlign w:val="bottom"/>
            <w:gridSpan w:val="2"/>
            <w:shd w:val="clear" w:color="auto" w:fill="CCEEFF"/>
          </w:tcPr>
          <w:p>
            <w:pPr>
              <w:jc w:val="center"/>
              <w:ind w:left="673"/>
              <w:spacing w:after="0"/>
              <w:rPr>
                <w:sz w:val="20"/>
                <w:szCs w:val="20"/>
                <w:color w:val="auto"/>
              </w:rPr>
            </w:pPr>
            <w:r>
              <w:rPr>
                <w:rFonts w:ascii="Arial" w:cs="Arial" w:eastAsia="Arial" w:hAnsi="Arial"/>
                <w:sz w:val="18"/>
                <w:szCs w:val="18"/>
                <w:color w:val="auto"/>
                <w:w w:val="89"/>
              </w:rPr>
              <w:t>2007</w:t>
            </w:r>
          </w:p>
        </w:tc>
        <w:tc>
          <w:tcPr>
            <w:tcW w:w="100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Chairman of the Board and Chief Executive Officer</w:t>
            </w:r>
          </w:p>
        </w:tc>
        <w:tc>
          <w:tcPr>
            <w:tcW w:w="1320" w:type="dxa"/>
            <w:vAlign w:val="bottom"/>
            <w:gridSpan w:val="2"/>
            <w:shd w:val="clear" w:color="auto" w:fill="CCEEFF"/>
          </w:tcPr>
          <w:p>
            <w:pPr>
              <w:jc w:val="center"/>
              <w:ind w:left="673"/>
              <w:spacing w:after="0"/>
              <w:rPr>
                <w:sz w:val="20"/>
                <w:szCs w:val="20"/>
                <w:color w:val="auto"/>
              </w:rPr>
            </w:pPr>
            <w:r>
              <w:rPr>
                <w:rFonts w:ascii="Arial" w:cs="Arial" w:eastAsia="Arial" w:hAnsi="Arial"/>
                <w:sz w:val="18"/>
                <w:szCs w:val="18"/>
                <w:color w:val="auto"/>
                <w:w w:val="89"/>
              </w:rPr>
              <w:t>2007</w:t>
            </w:r>
          </w:p>
        </w:tc>
        <w:tc>
          <w:tcPr>
            <w:tcW w:w="100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 Corporation.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left="1328"/>
              <w:spacing w:after="0"/>
              <w:rPr>
                <w:sz w:val="20"/>
                <w:szCs w:val="20"/>
                <w:color w:val="auto"/>
              </w:rPr>
            </w:pPr>
            <w:r>
              <w:rPr>
                <w:rFonts w:ascii="Arial" w:cs="Arial" w:eastAsia="Arial" w:hAnsi="Arial"/>
                <w:sz w:val="14"/>
                <w:szCs w:val="14"/>
                <w:b w:val="1"/>
                <w:bCs w:val="1"/>
                <w:color w:val="auto"/>
                <w:w w:val="90"/>
              </w:rPr>
              <w:t>Age</w:t>
            </w:r>
          </w:p>
        </w:tc>
        <w:tc>
          <w:tcPr>
            <w:tcW w:w="716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Aviv Efrat</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54</w:t>
            </w:r>
          </w:p>
        </w:tc>
        <w:tc>
          <w:tcPr>
            <w:tcW w:w="7160" w:type="dxa"/>
            <w:vAlign w:val="bottom"/>
            <w:gridSpan w:val="3"/>
            <w:shd w:val="clear" w:color="auto" w:fill="CCEEFF"/>
          </w:tcPr>
          <w:p>
            <w:pPr>
              <w:ind w:left="200"/>
              <w:spacing w:after="0" w:line="203" w:lineRule="exact"/>
              <w:rPr>
                <w:sz w:val="20"/>
                <w:szCs w:val="20"/>
                <w:color w:val="auto"/>
              </w:rPr>
            </w:pPr>
            <w:r>
              <w:rPr>
                <w:rFonts w:ascii="Arial" w:cs="Arial" w:eastAsia="Arial" w:hAnsi="Arial"/>
                <w:sz w:val="18"/>
                <w:szCs w:val="18"/>
                <w:color w:val="auto"/>
              </w:rPr>
              <w:t>Chief Financial Officer and Treasurer</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Officer Who is Not a Director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 Corporation.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tcPr>
          <w:p>
            <w:pPr>
              <w:jc w:val="center"/>
              <w:ind w:left="1148"/>
              <w:spacing w:after="0"/>
              <w:rPr>
                <w:sz w:val="20"/>
                <w:szCs w:val="20"/>
                <w:color w:val="auto"/>
              </w:rPr>
            </w:pPr>
            <w:r>
              <w:rPr>
                <w:rFonts w:ascii="Arial" w:cs="Arial" w:eastAsia="Arial" w:hAnsi="Arial"/>
                <w:sz w:val="14"/>
                <w:szCs w:val="14"/>
                <w:b w:val="1"/>
                <w:bCs w:val="1"/>
                <w:color w:val="auto"/>
                <w:w w:val="90"/>
              </w:rPr>
              <w:t>Age</w:t>
            </w:r>
          </w:p>
        </w:tc>
        <w:tc>
          <w:tcPr>
            <w:tcW w:w="716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Guy F. Talarico</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63</w:t>
            </w:r>
          </w:p>
        </w:tc>
        <w:tc>
          <w:tcPr>
            <w:tcW w:w="7160" w:type="dxa"/>
            <w:vAlign w:val="bottom"/>
            <w:gridSpan w:val="3"/>
            <w:shd w:val="clear" w:color="auto" w:fill="CCEEFF"/>
          </w:tcPr>
          <w:p>
            <w:pPr>
              <w:ind w:left="200"/>
              <w:spacing w:after="0" w:line="203" w:lineRule="exact"/>
              <w:rPr>
                <w:sz w:val="20"/>
                <w:szCs w:val="20"/>
                <w:color w:val="auto"/>
              </w:rPr>
            </w:pPr>
            <w:r>
              <w:rPr>
                <w:rFonts w:ascii="Arial" w:cs="Arial" w:eastAsia="Arial" w:hAnsi="Arial"/>
                <w:sz w:val="18"/>
                <w:szCs w:val="18"/>
                <w:color w:val="auto"/>
              </w:rPr>
              <w:t>Chief Compliance Officer</w:t>
            </w:r>
          </w:p>
        </w:tc>
      </w:tr>
    </w:tbl>
    <w:p>
      <w:pPr>
        <w:spacing w:after="0" w:line="202"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address for each director and executive officer is c/o PennantPark Investment Corporation, 590 Madison Avenue, 15th Floor, New York, New York 10022.</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to us and the potential conflicts of interest that could arise from these relationships.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181"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79"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 able to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Adam K. Bernstein (55), Director. Mr. Bernstein became a Director of PennantPark Investment and PennantPark Floating Rate Capital Ltd. in February 2007 and October 2010,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5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Marshall Brozost (51), Director. Mr. Brozost became a Director of PennantPark Investment Corporation and PennantPark Floating Rate Capital Ltd. in February 2007 and October 2010, respectively.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158"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Jeffrey Flug (56), Director. Mr. Flug became a Director of PennantPark Investment and PennantPark Floating Rate Capital Ltd. in February 2007 and October 2010,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6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Samuel L. Katz (53), Director. Mr. Katz became a Director of PennantPark Investment and PennantPark Floating Rate Capital Ltd. in February 2007 and October 2010, respectively. Mr. Katz is the Managing Partner 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60"/>
          </w:cols>
          <w:pgMar w:left="240" w:top="459"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Arthur H. Penn (55), Founder, Chief Executive Officer and Chairman of the board of directors. Mr. Penn became the Chief Executive Officer and a Director of PennantPark Investment and PennantPark Floating Rate Capital Ltd. at their inception in 2007 and 2010, respectively.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Aviv Efrat (54), Chief Financial Officer and Treasurer. Mr. Efrat became the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3"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Guy F. Talarico (63), Chief Compliance Officer. Mr. Talarico became the Chief Compliance Officer of PennantPark Investment and PennantPark Floating Rate Capital Ltd. in May 2008 and March 2011, respectively. Mr. Talarico has held the position of Chief Compliance Officer for a number of investment advisers, private funds and investment companies from 2004 when he founded Alaric Compliance Services, LLC.</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For the fiscal year ended September 30, 2018, the board of directors held four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Company’s annual stockholders’ meeting. For the year ended September 30, 2018, all of the directors attended the annual stockholders’ meeting.</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60" w:firstLine="55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and NYSE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Such investments are valued at fair value as determined in good faith by or under the direction of our board of directors using a documented valuation policy and a consistently applied valuation process.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Securities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J.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66"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2018. No compensation is paid directly by us to any interested director or executive officer of the Company.</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Aggregate</w:t>
            </w:r>
          </w:p>
        </w:tc>
        <w:tc>
          <w:tcPr>
            <w:tcW w:w="7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Pension or</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40" w:type="dxa"/>
            <w:vAlign w:val="bottom"/>
            <w:gridSpan w:val="3"/>
          </w:tcPr>
          <w:p>
            <w:pPr>
              <w:ind w:left="25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7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6"/>
              </w:rPr>
              <w:t>from</w:t>
            </w:r>
          </w:p>
        </w:tc>
        <w:tc>
          <w:tcPr>
            <w:tcW w:w="7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retirement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PennantPark</w:t>
            </w:r>
          </w:p>
        </w:tc>
        <w:tc>
          <w:tcPr>
            <w:tcW w:w="7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49"/>
        </w:trPr>
        <w:tc>
          <w:tcPr>
            <w:tcW w:w="41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Name</w:t>
            </w: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Investment</w:t>
            </w:r>
          </w:p>
        </w:tc>
        <w:tc>
          <w:tcPr>
            <w:tcW w:w="7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accrued as part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40" w:type="dxa"/>
            <w:vAlign w:val="bottom"/>
            <w:gridSpan w:val="6"/>
            <w:vMerge w:val="continue"/>
          </w:tcPr>
          <w:p>
            <w:pPr>
              <w:spacing w:after="0"/>
              <w:rPr>
                <w:sz w:val="13"/>
                <w:szCs w:val="13"/>
                <w:color w:val="auto"/>
              </w:rPr>
            </w:pPr>
          </w:p>
        </w:tc>
        <w:tc>
          <w:tcPr>
            <w:tcW w:w="258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Corporation</w:t>
            </w:r>
          </w:p>
        </w:tc>
        <w:tc>
          <w:tcPr>
            <w:tcW w:w="17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of our expense</w:t>
            </w:r>
            <w:r>
              <w:rPr>
                <w:rFonts w:ascii="Arial" w:cs="Arial" w:eastAsia="Arial" w:hAnsi="Arial"/>
                <w:sz w:val="12"/>
                <w:szCs w:val="12"/>
                <w:b w:val="1"/>
                <w:bCs w:val="1"/>
                <w:color w:val="auto"/>
              </w:rPr>
              <w:t>(1)</w:t>
            </w:r>
          </w:p>
        </w:tc>
        <w:tc>
          <w:tcPr>
            <w:tcW w:w="1720" w:type="dxa"/>
            <w:vAlign w:val="bottom"/>
            <w:gridSpan w:val="4"/>
          </w:tcPr>
          <w:p>
            <w:pPr>
              <w:ind w:left="720"/>
              <w:spacing w:after="0" w:line="158" w:lineRule="exact"/>
              <w:rPr>
                <w:sz w:val="20"/>
                <w:szCs w:val="20"/>
                <w:color w:val="auto"/>
              </w:rPr>
            </w:pPr>
            <w:r>
              <w:rPr>
                <w:rFonts w:ascii="Arial" w:cs="Arial" w:eastAsia="Arial" w:hAnsi="Arial"/>
                <w:sz w:val="14"/>
                <w:szCs w:val="14"/>
                <w:b w:val="1"/>
                <w:bCs w:val="1"/>
                <w:color w:val="auto"/>
                <w:w w:val="99"/>
              </w:rPr>
              <w:t>director/officer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shd w:val="clear" w:color="auto" w:fill="CCEEFF"/>
          </w:tcPr>
          <w:p>
            <w:pPr>
              <w:spacing w:after="0" w:line="136" w:lineRule="exact"/>
              <w:rPr>
                <w:sz w:val="20"/>
                <w:szCs w:val="20"/>
                <w:color w:val="auto"/>
              </w:rPr>
            </w:pPr>
            <w:r>
              <w:rPr>
                <w:rFonts w:ascii="Arial" w:cs="Arial" w:eastAsia="Arial" w:hAnsi="Arial"/>
                <w:sz w:val="15"/>
                <w:szCs w:val="15"/>
                <w:b w:val="1"/>
                <w:bCs w:val="1"/>
                <w:color w:val="auto"/>
                <w:w w:val="95"/>
              </w:rPr>
              <w:t>Independent directors</w:t>
            </w:r>
          </w:p>
        </w:tc>
        <w:tc>
          <w:tcPr>
            <w:tcW w:w="2600" w:type="dxa"/>
            <w:vAlign w:val="bottom"/>
            <w:tcBorders>
              <w:bottom w:val="single" w:sz="8" w:color="CCEEFF"/>
            </w:tcBorders>
            <w:shd w:val="clear" w:color="auto" w:fill="CCEEFF"/>
          </w:tcPr>
          <w:p>
            <w:pPr>
              <w:spacing w:after="0"/>
              <w:rPr>
                <w:sz w:val="13"/>
                <w:szCs w:val="13"/>
                <w:color w:val="auto"/>
              </w:rPr>
            </w:pPr>
          </w:p>
        </w:tc>
        <w:tc>
          <w:tcPr>
            <w:tcW w:w="2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tcPr>
          <w:p>
            <w:pPr>
              <w:ind w:left="300"/>
              <w:spacing w:after="0"/>
              <w:rPr>
                <w:sz w:val="20"/>
                <w:szCs w:val="20"/>
                <w:color w:val="auto"/>
              </w:rPr>
            </w:pPr>
            <w:r>
              <w:rPr>
                <w:rFonts w:ascii="Arial" w:cs="Arial" w:eastAsia="Arial" w:hAnsi="Arial"/>
                <w:sz w:val="16"/>
                <w:szCs w:val="16"/>
                <w:color w:val="auto"/>
              </w:rPr>
              <w:t>Adam K. Bernstein</w:t>
            </w:r>
          </w:p>
        </w:tc>
        <w:tc>
          <w:tcPr>
            <w:tcW w:w="2660" w:type="dxa"/>
            <w:vAlign w:val="bottom"/>
            <w:gridSpan w:val="2"/>
          </w:tcPr>
          <w:p>
            <w:pPr>
              <w:ind w:left="25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122,500</w:t>
            </w:r>
          </w:p>
        </w:tc>
        <w:tc>
          <w:tcPr>
            <w:tcW w:w="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None</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122,500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shd w:val="clear" w:color="auto" w:fill="CCEEFF"/>
          </w:tcPr>
          <w:p>
            <w:pPr>
              <w:ind w:left="300"/>
              <w:spacing w:after="0"/>
              <w:rPr>
                <w:sz w:val="20"/>
                <w:szCs w:val="20"/>
                <w:color w:val="auto"/>
              </w:rPr>
            </w:pPr>
            <w:r>
              <w:rPr>
                <w:rFonts w:ascii="Arial" w:cs="Arial" w:eastAsia="Arial" w:hAnsi="Arial"/>
                <w:sz w:val="16"/>
                <w:szCs w:val="16"/>
                <w:color w:val="auto"/>
              </w:rPr>
              <w:t>Marshall Brozost</w:t>
            </w:r>
          </w:p>
        </w:tc>
        <w:tc>
          <w:tcPr>
            <w:tcW w:w="2660" w:type="dxa"/>
            <w:vAlign w:val="bottom"/>
            <w:gridSpan w:val="2"/>
            <w:shd w:val="clear" w:color="auto" w:fill="CCEEFF"/>
          </w:tcPr>
          <w:p>
            <w:pPr>
              <w:ind w:left="25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122,500</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tcPr>
          <w:p>
            <w:pPr>
              <w:ind w:left="300"/>
              <w:spacing w:after="0"/>
              <w:rPr>
                <w:sz w:val="20"/>
                <w:szCs w:val="20"/>
                <w:color w:val="auto"/>
              </w:rPr>
            </w:pPr>
            <w:r>
              <w:rPr>
                <w:rFonts w:ascii="Arial" w:cs="Arial" w:eastAsia="Arial" w:hAnsi="Arial"/>
                <w:sz w:val="16"/>
                <w:szCs w:val="16"/>
                <w:color w:val="auto"/>
              </w:rPr>
              <w:t>Jeffrey Flug</w:t>
            </w:r>
          </w:p>
        </w:tc>
        <w:tc>
          <w:tcPr>
            <w:tcW w:w="2660" w:type="dxa"/>
            <w:vAlign w:val="bottom"/>
            <w:gridSpan w:val="2"/>
          </w:tcPr>
          <w:p>
            <w:pPr>
              <w:ind w:left="25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132,500</w:t>
            </w:r>
          </w:p>
        </w:tc>
        <w:tc>
          <w:tcPr>
            <w:tcW w:w="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None</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shd w:val="clear" w:color="auto" w:fill="CCEEFF"/>
          </w:tcPr>
          <w:p>
            <w:pPr>
              <w:ind w:left="300"/>
              <w:spacing w:after="0"/>
              <w:rPr>
                <w:sz w:val="20"/>
                <w:szCs w:val="20"/>
                <w:color w:val="auto"/>
              </w:rPr>
            </w:pPr>
            <w:r>
              <w:rPr>
                <w:rFonts w:ascii="Arial" w:cs="Arial" w:eastAsia="Arial" w:hAnsi="Arial"/>
                <w:sz w:val="16"/>
                <w:szCs w:val="16"/>
                <w:color w:val="auto"/>
              </w:rPr>
              <w:t>Samuel L. Katz</w:t>
            </w:r>
          </w:p>
        </w:tc>
        <w:tc>
          <w:tcPr>
            <w:tcW w:w="2660" w:type="dxa"/>
            <w:vAlign w:val="bottom"/>
            <w:gridSpan w:val="2"/>
            <w:shd w:val="clear" w:color="auto" w:fill="CCEEFF"/>
          </w:tcPr>
          <w:p>
            <w:pPr>
              <w:ind w:left="25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5"/>
          </w:tcPr>
          <w:p>
            <w:pPr>
              <w:spacing w:after="0" w:line="162" w:lineRule="exact"/>
              <w:rPr>
                <w:sz w:val="20"/>
                <w:szCs w:val="20"/>
                <w:color w:val="auto"/>
              </w:rPr>
            </w:pPr>
            <w:r>
              <w:rPr>
                <w:rFonts w:ascii="Arial" w:cs="Arial" w:eastAsia="Arial" w:hAnsi="Arial"/>
                <w:sz w:val="16"/>
                <w:szCs w:val="16"/>
                <w:b w:val="1"/>
                <w:bCs w:val="1"/>
                <w:color w:val="auto"/>
              </w:rPr>
              <w:t>Interested director</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shd w:val="clear" w:color="auto" w:fill="CCEEFF"/>
          </w:tcPr>
          <w:p>
            <w:pPr>
              <w:ind w:left="300"/>
              <w:spacing w:after="0"/>
              <w:rPr>
                <w:sz w:val="20"/>
                <w:szCs w:val="20"/>
                <w:color w:val="auto"/>
              </w:rPr>
            </w:pPr>
            <w:r>
              <w:rPr>
                <w:rFonts w:ascii="Arial" w:cs="Arial" w:eastAsia="Arial" w:hAnsi="Arial"/>
                <w:sz w:val="16"/>
                <w:szCs w:val="16"/>
                <w:color w:val="auto"/>
              </w:rPr>
              <w:t>Arthur H. Penn</w:t>
            </w:r>
          </w:p>
        </w:tc>
        <w:tc>
          <w:tcPr>
            <w:tcW w:w="2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5"/>
          </w:tcPr>
          <w:p>
            <w:pPr>
              <w:spacing w:after="0" w:line="162" w:lineRule="exact"/>
              <w:rPr>
                <w:sz w:val="20"/>
                <w:szCs w:val="20"/>
                <w:color w:val="auto"/>
              </w:rPr>
            </w:pPr>
            <w:r>
              <w:rPr>
                <w:rFonts w:ascii="Arial" w:cs="Arial" w:eastAsia="Arial" w:hAnsi="Arial"/>
                <w:sz w:val="16"/>
                <w:szCs w:val="16"/>
                <w:b w:val="1"/>
                <w:bCs w:val="1"/>
                <w:color w:val="auto"/>
              </w:rPr>
              <w:t>Executive officer</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shd w:val="clear" w:color="auto" w:fill="CCEEFF"/>
          </w:tcPr>
          <w:p>
            <w:pPr>
              <w:ind w:left="300"/>
              <w:spacing w:after="0" w:line="202" w:lineRule="exact"/>
              <w:rPr>
                <w:sz w:val="20"/>
                <w:szCs w:val="20"/>
                <w:color w:val="auto"/>
              </w:rPr>
            </w:pPr>
            <w:r>
              <w:rPr>
                <w:rFonts w:ascii="Arial" w:cs="Arial" w:eastAsia="Arial" w:hAnsi="Arial"/>
                <w:sz w:val="14"/>
                <w:szCs w:val="14"/>
                <w:color w:val="auto"/>
              </w:rPr>
              <w:t>Aviv Efrat</w:t>
            </w:r>
            <w:r>
              <w:rPr>
                <w:rFonts w:ascii="Arial" w:cs="Arial" w:eastAsia="Arial" w:hAnsi="Arial"/>
                <w:sz w:val="23"/>
                <w:szCs w:val="23"/>
                <w:color w:val="auto"/>
                <w:vertAlign w:val="superscript"/>
              </w:rPr>
              <w:t>(2)</w:t>
            </w:r>
          </w:p>
        </w:tc>
        <w:tc>
          <w:tcPr>
            <w:tcW w:w="2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1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Each Independent Director receives an annual payment of $110,000 for services performed on behalf of us as a director. The Independent Directors also receive $2,500 plus reimbursement of reasonable out-of-pocket expenses incurred in connection with attending each board of directors meeting and receive $1,000 plus reimbursement of reasonable out-of-pocket expenses incurred in connection with attending each committee meeting (unless combined with a board of directors meeting). In addition, each Co-Chairman of the Audit Committee receives an annual fee of $12,500 and each Co-Chairman of any other committee receives an annual fee of $2,500 for his additional services in these capacities. Also, we have purchased directors’ and officers’ liability insurance on behalf of our directors and officers and indemnify such persons against certain losses.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79"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3"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addition to managing our investments, as of September 30, 2018, our portfolio managers also managed investments on behalf of the following entities: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8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Entity</w:t>
            </w:r>
          </w:p>
        </w:tc>
        <w:tc>
          <w:tcPr>
            <w:tcW w:w="320" w:type="dxa"/>
            <w:vAlign w:val="bottom"/>
          </w:tcPr>
          <w:p>
            <w:pPr>
              <w:spacing w:after="0"/>
              <w:rPr>
                <w:sz w:val="14"/>
                <w:szCs w:val="14"/>
                <w:color w:val="auto"/>
              </w:rPr>
            </w:pPr>
          </w:p>
        </w:tc>
        <w:tc>
          <w:tcPr>
            <w:tcW w:w="38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Investment Focus</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6"/>
              </w:rPr>
              <w:t>Gross Assets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880" w:type="dxa"/>
            <w:vAlign w:val="bottom"/>
            <w:vMerge w:val="continue"/>
          </w:tcPr>
          <w:p>
            <w:pPr>
              <w:spacing w:after="0"/>
              <w:rPr>
                <w:sz w:val="15"/>
                <w:szCs w:val="15"/>
                <w:color w:val="auto"/>
              </w:rPr>
            </w:pPr>
          </w:p>
        </w:tc>
        <w:tc>
          <w:tcPr>
            <w:tcW w:w="11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180"/>
        </w:trPr>
        <w:tc>
          <w:tcPr>
            <w:tcW w:w="3160" w:type="dxa"/>
            <w:vAlign w:val="bottom"/>
            <w:gridSpan w:val="2"/>
          </w:tcPr>
          <w:p>
            <w:pPr>
              <w:spacing w:after="0" w:line="180" w:lineRule="exact"/>
              <w:rPr>
                <w:sz w:val="20"/>
                <w:szCs w:val="20"/>
                <w:color w:val="auto"/>
              </w:rPr>
            </w:pPr>
            <w:r>
              <w:rPr>
                <w:rFonts w:ascii="Arial" w:cs="Arial" w:eastAsia="Arial" w:hAnsi="Arial"/>
                <w:sz w:val="16"/>
                <w:szCs w:val="16"/>
                <w:color w:val="auto"/>
              </w:rPr>
              <w:t>PennantPark Floating Rate Capital Ltd.</w:t>
            </w:r>
          </w:p>
        </w:tc>
        <w:tc>
          <w:tcPr>
            <w:tcW w:w="620" w:type="dxa"/>
            <w:vAlign w:val="bottom"/>
          </w:tcPr>
          <w:p>
            <w:pPr>
              <w:spacing w:after="0"/>
              <w:rPr>
                <w:sz w:val="15"/>
                <w:szCs w:val="15"/>
                <w:color w:val="auto"/>
              </w:rPr>
            </w:pPr>
          </w:p>
        </w:tc>
        <w:tc>
          <w:tcPr>
            <w:tcW w:w="18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320" w:type="dxa"/>
            <w:vAlign w:val="bottom"/>
          </w:tcPr>
          <w:p>
            <w:pPr>
              <w:spacing w:after="0"/>
              <w:rPr>
                <w:sz w:val="15"/>
                <w:szCs w:val="15"/>
                <w:color w:val="auto"/>
              </w:rPr>
            </w:pPr>
          </w:p>
        </w:tc>
        <w:tc>
          <w:tcPr>
            <w:tcW w:w="38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w w:val="97"/>
              </w:rPr>
              <w:t>Primarily floating rate loans, with an emphasis on senior</w:t>
            </w:r>
          </w:p>
        </w:tc>
        <w:tc>
          <w:tcPr>
            <w:tcW w:w="3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460" w:type="dxa"/>
            <w:vAlign w:val="bottom"/>
            <w:gridSpan w:val="2"/>
          </w:tcPr>
          <w:p>
            <w:pPr>
              <w:ind w:left="620"/>
              <w:spacing w:after="0"/>
              <w:rPr>
                <w:sz w:val="20"/>
                <w:szCs w:val="20"/>
                <w:color w:val="auto"/>
              </w:rPr>
            </w:pPr>
            <w:r>
              <w:rPr>
                <w:rFonts w:ascii="Arial" w:cs="Arial" w:eastAsia="Arial" w:hAnsi="Arial"/>
                <w:sz w:val="16"/>
                <w:szCs w:val="16"/>
                <w:color w:val="auto"/>
              </w:rPr>
              <w:t>company</w:t>
            </w:r>
          </w:p>
        </w:tc>
        <w:tc>
          <w:tcPr>
            <w:tcW w:w="4200" w:type="dxa"/>
            <w:vAlign w:val="bottom"/>
            <w:gridSpan w:val="2"/>
          </w:tcPr>
          <w:p>
            <w:pPr>
              <w:ind w:left="320"/>
              <w:spacing w:after="0"/>
              <w:rPr>
                <w:sz w:val="20"/>
                <w:szCs w:val="20"/>
                <w:color w:val="auto"/>
              </w:rPr>
            </w:pPr>
            <w:r>
              <w:rPr>
                <w:rFonts w:ascii="Arial" w:cs="Arial" w:eastAsia="Arial" w:hAnsi="Arial"/>
                <w:sz w:val="16"/>
                <w:szCs w:val="16"/>
                <w:color w:val="auto"/>
                <w:w w:val="99"/>
              </w:rPr>
              <w:t>secured loans, in middle-market leveraged companies.</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PennantPark Senior Secured</w:t>
            </w:r>
          </w:p>
        </w:tc>
        <w:tc>
          <w:tcPr>
            <w:tcW w:w="2460" w:type="dxa"/>
            <w:vAlign w:val="bottom"/>
            <w:gridSpan w:val="2"/>
          </w:tcPr>
          <w:p>
            <w:pPr>
              <w:ind w:left="620"/>
              <w:spacing w:after="0"/>
              <w:rPr>
                <w:sz w:val="20"/>
                <w:szCs w:val="20"/>
                <w:color w:val="auto"/>
              </w:rPr>
            </w:pPr>
            <w:r>
              <w:rPr>
                <w:rFonts w:ascii="Arial" w:cs="Arial" w:eastAsia="Arial" w:hAnsi="Arial"/>
                <w:sz w:val="16"/>
                <w:szCs w:val="16"/>
                <w:color w:val="auto"/>
              </w:rPr>
              <w:t>Joint Venture</w:t>
            </w:r>
          </w:p>
        </w:tc>
        <w:tc>
          <w:tcPr>
            <w:tcW w:w="4200" w:type="dxa"/>
            <w:vAlign w:val="bottom"/>
            <w:gridSpan w:val="2"/>
          </w:tcPr>
          <w:p>
            <w:pPr>
              <w:ind w:left="320"/>
              <w:spacing w:after="0"/>
              <w:rPr>
                <w:sz w:val="20"/>
                <w:szCs w:val="20"/>
                <w:color w:val="auto"/>
              </w:rPr>
            </w:pPr>
            <w:r>
              <w:rPr>
                <w:rFonts w:ascii="Arial" w:cs="Arial" w:eastAsia="Arial" w:hAnsi="Arial"/>
                <w:sz w:val="16"/>
                <w:szCs w:val="16"/>
                <w:color w:val="auto"/>
                <w:w w:val="97"/>
              </w:rPr>
              <w:t>Primarily floating rate loans, with an emphasis on senior</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6"/>
        </w:trPr>
        <w:tc>
          <w:tcPr>
            <w:tcW w:w="3160" w:type="dxa"/>
            <w:vAlign w:val="bottom"/>
            <w:gridSpan w:val="2"/>
          </w:tcPr>
          <w:p>
            <w:pPr>
              <w:spacing w:after="0"/>
              <w:rPr>
                <w:sz w:val="20"/>
                <w:szCs w:val="20"/>
                <w:color w:val="auto"/>
              </w:rPr>
            </w:pPr>
            <w:r>
              <w:rPr>
                <w:rFonts w:ascii="Arial" w:cs="Arial" w:eastAsia="Arial" w:hAnsi="Arial"/>
                <w:sz w:val="16"/>
                <w:szCs w:val="16"/>
                <w:color w:val="auto"/>
              </w:rPr>
              <w:t>Loan Fund I LLC</w:t>
            </w:r>
          </w:p>
        </w:tc>
        <w:tc>
          <w:tcPr>
            <w:tcW w:w="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0" w:type="dxa"/>
            <w:vAlign w:val="bottom"/>
            <w:gridSpan w:val="2"/>
          </w:tcPr>
          <w:p>
            <w:pPr>
              <w:ind w:left="320"/>
              <w:spacing w:after="0"/>
              <w:rPr>
                <w:sz w:val="20"/>
                <w:szCs w:val="20"/>
                <w:color w:val="auto"/>
              </w:rPr>
            </w:pPr>
            <w:r>
              <w:rPr>
                <w:rFonts w:ascii="Arial" w:cs="Arial" w:eastAsia="Arial" w:hAnsi="Arial"/>
                <w:sz w:val="16"/>
                <w:szCs w:val="16"/>
                <w:color w:val="auto"/>
                <w:w w:val="99"/>
              </w:rPr>
              <w:t>secured loans, in middle-market leveraged companies.</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Other Managed Fund</w:t>
            </w:r>
          </w:p>
        </w:tc>
        <w:tc>
          <w:tcPr>
            <w:tcW w:w="2460" w:type="dxa"/>
            <w:vAlign w:val="bottom"/>
            <w:gridSpan w:val="2"/>
          </w:tcPr>
          <w:p>
            <w:pPr>
              <w:ind w:left="620"/>
              <w:spacing w:after="0"/>
              <w:rPr>
                <w:sz w:val="20"/>
                <w:szCs w:val="20"/>
                <w:color w:val="auto"/>
              </w:rPr>
            </w:pPr>
            <w:r>
              <w:rPr>
                <w:rFonts w:ascii="Arial" w:cs="Arial" w:eastAsia="Arial" w:hAnsi="Arial"/>
                <w:sz w:val="16"/>
                <w:szCs w:val="16"/>
                <w:color w:val="auto"/>
              </w:rPr>
              <w:t>Direct Lending</w:t>
            </w:r>
          </w:p>
        </w:tc>
        <w:tc>
          <w:tcPr>
            <w:tcW w:w="4200" w:type="dxa"/>
            <w:vAlign w:val="bottom"/>
            <w:gridSpan w:val="2"/>
          </w:tcPr>
          <w:p>
            <w:pPr>
              <w:ind w:left="320"/>
              <w:spacing w:after="0"/>
              <w:rPr>
                <w:sz w:val="20"/>
                <w:szCs w:val="20"/>
                <w:color w:val="auto"/>
              </w:rPr>
            </w:pPr>
            <w:r>
              <w:rPr>
                <w:rFonts w:ascii="Arial" w:cs="Arial" w:eastAsia="Arial" w:hAnsi="Arial"/>
                <w:sz w:val="16"/>
                <w:szCs w:val="16"/>
                <w:color w:val="auto"/>
              </w:rPr>
              <w:t>Other credit opportunities</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460" w:type="dxa"/>
            <w:vAlign w:val="bottom"/>
            <w:gridSpan w:val="2"/>
          </w:tcPr>
          <w:p>
            <w:pPr>
              <w:ind w:left="620"/>
              <w:spacing w:after="0"/>
              <w:rPr>
                <w:sz w:val="20"/>
                <w:szCs w:val="20"/>
                <w:color w:val="auto"/>
              </w:rPr>
            </w:pPr>
            <w:r>
              <w:rPr>
                <w:rFonts w:ascii="Arial" w:cs="Arial" w:eastAsia="Arial" w:hAnsi="Arial"/>
                <w:sz w:val="16"/>
                <w:szCs w:val="16"/>
                <w:color w:val="auto"/>
              </w:rPr>
              <w:t>Fund</w:t>
            </w:r>
          </w:p>
        </w:tc>
        <w:tc>
          <w:tcPr>
            <w:tcW w:w="3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As of April 11, 2019, to our knowledge, no person would be deemed to “control” us, as such term is defined in the 1940 Act. Our board of directors consists of an interested director and Independent Directors.</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following table sets forth, as of April 11, 2019,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Common</w:t>
            </w:r>
          </w:p>
        </w:tc>
        <w:tc>
          <w:tcPr>
            <w:tcW w:w="0" w:type="dxa"/>
            <w:vAlign w:val="bottom"/>
          </w:tcPr>
          <w:p>
            <w:pPr>
              <w:spacing w:after="0"/>
              <w:rPr>
                <w:sz w:val="1"/>
                <w:szCs w:val="1"/>
                <w:color w:val="auto"/>
              </w:rPr>
            </w:pPr>
          </w:p>
        </w:tc>
      </w:tr>
      <w:tr>
        <w:trPr>
          <w:trHeight w:val="149"/>
        </w:trPr>
        <w:tc>
          <w:tcPr>
            <w:tcW w:w="7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1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(3)</w:t>
            </w: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1"/>
        </w:trPr>
        <w:tc>
          <w:tcPr>
            <w:tcW w:w="7200" w:type="dxa"/>
            <w:vAlign w:val="bottom"/>
            <w:gridSpan w:val="3"/>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760" w:type="dxa"/>
            <w:vAlign w:val="bottom"/>
          </w:tcPr>
          <w:p>
            <w:pPr>
              <w:jc w:val="right"/>
              <w:ind w:right="81"/>
              <w:spacing w:after="0"/>
              <w:rPr>
                <w:sz w:val="20"/>
                <w:szCs w:val="20"/>
                <w:color w:val="auto"/>
              </w:rPr>
            </w:pPr>
            <w:r>
              <w:rPr>
                <w:rFonts w:ascii="Arial" w:cs="Arial" w:eastAsia="Arial" w:hAnsi="Arial"/>
                <w:sz w:val="14"/>
                <w:szCs w:val="14"/>
                <w:b w:val="1"/>
                <w:bCs w:val="1"/>
                <w:color w:val="auto"/>
              </w:rPr>
              <w:t>Owned</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8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Independent directors</w:t>
            </w:r>
          </w:p>
        </w:tc>
        <w:tc>
          <w:tcPr>
            <w:tcW w:w="1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gridSpan w:val="2"/>
          </w:tcPr>
          <w:p>
            <w:pPr>
              <w:ind w:left="300"/>
              <w:spacing w:after="0"/>
              <w:rPr>
                <w:sz w:val="20"/>
                <w:szCs w:val="20"/>
                <w:color w:val="auto"/>
              </w:rPr>
            </w:pPr>
            <w:r>
              <w:rPr>
                <w:rFonts w:ascii="Arial" w:cs="Arial" w:eastAsia="Arial" w:hAnsi="Arial"/>
                <w:sz w:val="16"/>
                <w:szCs w:val="16"/>
                <w:color w:val="auto"/>
              </w:rPr>
              <w:t>Adam K. Bernstein</w:t>
            </w:r>
          </w:p>
        </w:tc>
        <w:tc>
          <w:tcPr>
            <w:tcW w:w="1860" w:type="dxa"/>
            <w:vAlign w:val="bottom"/>
            <w:gridSpan w:val="2"/>
          </w:tcPr>
          <w:p>
            <w:pPr>
              <w:ind w:left="460"/>
              <w:spacing w:after="0"/>
              <w:rPr>
                <w:sz w:val="20"/>
                <w:szCs w:val="20"/>
                <w:color w:val="auto"/>
              </w:rPr>
            </w:pPr>
            <w:r>
              <w:rPr>
                <w:rFonts w:ascii="Arial" w:cs="Arial" w:eastAsia="Arial" w:hAnsi="Arial"/>
                <w:sz w:val="16"/>
                <w:szCs w:val="16"/>
                <w:color w:val="auto"/>
              </w:rPr>
              <w:t>Record/Beneficial</w:t>
            </w:r>
          </w:p>
        </w:tc>
        <w:tc>
          <w:tcPr>
            <w:tcW w:w="760" w:type="dxa"/>
            <w:vAlign w:val="bottom"/>
          </w:tcPr>
          <w:p>
            <w:pPr>
              <w:jc w:val="right"/>
              <w:spacing w:after="0"/>
              <w:rPr>
                <w:sz w:val="20"/>
                <w:szCs w:val="20"/>
                <w:color w:val="auto"/>
              </w:rPr>
            </w:pPr>
            <w:r>
              <w:rPr>
                <w:rFonts w:ascii="Arial" w:cs="Arial" w:eastAsia="Arial" w:hAnsi="Arial"/>
                <w:sz w:val="16"/>
                <w:szCs w:val="16"/>
                <w:color w:val="auto"/>
              </w:rPr>
              <w:t>46,430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Marshall Brozost</w:t>
            </w:r>
          </w:p>
        </w:tc>
        <w:tc>
          <w:tcPr>
            <w:tcW w:w="1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6"/>
                <w:szCs w:val="16"/>
                <w:color w:val="auto"/>
              </w:rPr>
              <w:t>Jeffrey Flug</w:t>
            </w:r>
          </w:p>
        </w:tc>
        <w:tc>
          <w:tcPr>
            <w:tcW w:w="1860" w:type="dxa"/>
            <w:vAlign w:val="bottom"/>
            <w:gridSpan w:val="2"/>
          </w:tcPr>
          <w:p>
            <w:pPr>
              <w:ind w:left="460"/>
              <w:spacing w:after="0"/>
              <w:rPr>
                <w:sz w:val="20"/>
                <w:szCs w:val="20"/>
                <w:color w:val="auto"/>
              </w:rPr>
            </w:pPr>
            <w:r>
              <w:rPr>
                <w:rFonts w:ascii="Arial" w:cs="Arial" w:eastAsia="Arial" w:hAnsi="Arial"/>
                <w:sz w:val="16"/>
                <w:szCs w:val="16"/>
                <w:color w:val="auto"/>
              </w:rPr>
              <w:t>Record/Beneficial</w:t>
            </w:r>
          </w:p>
        </w:tc>
        <w:tc>
          <w:tcPr>
            <w:tcW w:w="760" w:type="dxa"/>
            <w:vAlign w:val="bottom"/>
          </w:tcPr>
          <w:p>
            <w:pPr>
              <w:jc w:val="right"/>
              <w:spacing w:after="0"/>
              <w:rPr>
                <w:sz w:val="20"/>
                <w:szCs w:val="20"/>
                <w:color w:val="auto"/>
              </w:rPr>
            </w:pPr>
            <w:r>
              <w:rPr>
                <w:rFonts w:ascii="Arial" w:cs="Arial" w:eastAsia="Arial" w:hAnsi="Arial"/>
                <w:sz w:val="16"/>
                <w:szCs w:val="16"/>
                <w:color w:val="auto"/>
              </w:rPr>
              <w:t>320,560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Samuel L. Katz</w:t>
            </w:r>
          </w:p>
        </w:tc>
        <w:tc>
          <w:tcPr>
            <w:tcW w:w="1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189,291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Interested director</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4"/>
                <w:szCs w:val="14"/>
                <w:color w:val="auto"/>
              </w:rPr>
              <w:t>Arthur H. Penn</w:t>
            </w:r>
            <w:r>
              <w:rPr>
                <w:rFonts w:ascii="Arial" w:cs="Arial" w:eastAsia="Arial" w:hAnsi="Arial"/>
                <w:sz w:val="23"/>
                <w:szCs w:val="23"/>
                <w:color w:val="auto"/>
                <w:vertAlign w:val="superscript"/>
              </w:rPr>
              <w:t>(2)</w:t>
            </w:r>
          </w:p>
        </w:tc>
        <w:tc>
          <w:tcPr>
            <w:tcW w:w="1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844,333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Aviv Efrat</w:t>
            </w:r>
          </w:p>
        </w:tc>
        <w:tc>
          <w:tcPr>
            <w:tcW w:w="1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Record/Beneficial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106,102</w:t>
            </w:r>
          </w:p>
        </w:tc>
        <w:tc>
          <w:tcPr>
            <w:tcW w:w="2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6"/>
                <w:szCs w:val="16"/>
                <w:color w:val="auto"/>
              </w:rPr>
              <w:t>All directors and executive officer as a group (6 persons)</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1,528,394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4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1" w:lineRule="exact"/>
        <w:rPr>
          <w:sz w:val="20"/>
          <w:szCs w:val="20"/>
          <w:color w:val="auto"/>
        </w:rPr>
      </w:pPr>
    </w:p>
    <w:p>
      <w:pPr>
        <w:ind w:left="640" w:right="420" w:hanging="436"/>
        <w:spacing w:after="0" w:line="258"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Investment Corporation, 590 Madison Avenue, 15th Floor, New York, New York 10022.</w:t>
      </w:r>
    </w:p>
    <w:p>
      <w:pPr>
        <w:spacing w:after="0" w:line="1"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Penn is the Managing Member of the Investment Adviser and may therefore be deemed to own beneficially the 650,923 shares of PennantPark Investment Corporation held by the Investment Adviser.</w:t>
      </w:r>
    </w:p>
    <w:p>
      <w:pPr>
        <w:ind w:left="640" w:hanging="43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and Senior Investment Professionals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2018. Information as to the beneficial ownerships is based on information furnished to us by such persons. We are not part of a “family of investment companies,” as that term is defined in the 1940 Act.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 of</w:t>
            </w:r>
          </w:p>
        </w:tc>
        <w:tc>
          <w:tcPr>
            <w:tcW w:w="0" w:type="dxa"/>
            <w:vAlign w:val="bottom"/>
          </w:tcPr>
          <w:p>
            <w:pPr>
              <w:spacing w:after="0"/>
              <w:rPr>
                <w:sz w:val="1"/>
                <w:szCs w:val="1"/>
                <w:color w:val="auto"/>
              </w:rPr>
            </w:pPr>
          </w:p>
        </w:tc>
      </w:tr>
      <w:tr>
        <w:trPr>
          <w:trHeight w:val="149"/>
        </w:trPr>
        <w:tc>
          <w:tcPr>
            <w:tcW w:w="8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Directors</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PennantPark Investment</w:t>
            </w:r>
          </w:p>
        </w:tc>
        <w:tc>
          <w:tcPr>
            <w:tcW w:w="0" w:type="dxa"/>
            <w:vAlign w:val="bottom"/>
          </w:tcPr>
          <w:p>
            <w:pPr>
              <w:spacing w:after="0"/>
              <w:rPr>
                <w:sz w:val="1"/>
                <w:szCs w:val="1"/>
                <w:color w:val="auto"/>
              </w:rPr>
            </w:pPr>
          </w:p>
        </w:tc>
      </w:tr>
      <w:tr>
        <w:trPr>
          <w:trHeight w:val="171"/>
        </w:trPr>
        <w:tc>
          <w:tcPr>
            <w:tcW w:w="8940" w:type="dxa"/>
            <w:vAlign w:val="bottom"/>
            <w:gridSpan w:val="3"/>
            <w:vMerge w:val="continue"/>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7"/>
              </w:rPr>
              <w:t>Corporation</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92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Independent directors</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tcPr>
          <w:p>
            <w:pPr>
              <w:ind w:left="300"/>
              <w:spacing w:after="0"/>
              <w:rPr>
                <w:sz w:val="20"/>
                <w:szCs w:val="20"/>
                <w:color w:val="auto"/>
              </w:rPr>
            </w:pPr>
            <w:r>
              <w:rPr>
                <w:rFonts w:ascii="Arial" w:cs="Arial" w:eastAsia="Arial" w:hAnsi="Arial"/>
                <w:sz w:val="16"/>
                <w:szCs w:val="16"/>
                <w:color w:val="auto"/>
              </w:rPr>
              <w:t>Adam K. Bernstein</w:t>
            </w:r>
          </w:p>
        </w:tc>
        <w:tc>
          <w:tcPr>
            <w:tcW w:w="2100" w:type="dxa"/>
            <w:vAlign w:val="bottom"/>
          </w:tcPr>
          <w:p>
            <w:pPr>
              <w:jc w:val="right"/>
              <w:spacing w:after="0"/>
              <w:rPr>
                <w:sz w:val="20"/>
                <w:szCs w:val="20"/>
                <w:color w:val="auto"/>
              </w:rPr>
            </w:pPr>
            <w:r>
              <w:rPr>
                <w:rFonts w:ascii="Arial" w:cs="Arial" w:eastAsia="Arial" w:hAnsi="Arial"/>
                <w:sz w:val="16"/>
                <w:szCs w:val="16"/>
                <w:color w:val="auto"/>
              </w:rPr>
              <w:t>$100,001 - $500,000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Marshall Brozost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$100,001 - $500,000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tcPr>
          <w:p>
            <w:pPr>
              <w:ind w:left="300"/>
              <w:spacing w:after="0"/>
              <w:rPr>
                <w:sz w:val="20"/>
                <w:szCs w:val="20"/>
                <w:color w:val="auto"/>
              </w:rPr>
            </w:pPr>
            <w:r>
              <w:rPr>
                <w:rFonts w:ascii="Arial" w:cs="Arial" w:eastAsia="Arial" w:hAnsi="Arial"/>
                <w:sz w:val="16"/>
                <w:szCs w:val="16"/>
                <w:color w:val="auto"/>
              </w:rPr>
              <w:t>Jeffrey Flug</w:t>
            </w:r>
          </w:p>
        </w:tc>
        <w:tc>
          <w:tcPr>
            <w:tcW w:w="2100" w:type="dxa"/>
            <w:vAlign w:val="bottom"/>
          </w:tcPr>
          <w:p>
            <w:pPr>
              <w:jc w:val="right"/>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Samuel L. Katz</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308"/>
        </w:trPr>
        <w:tc>
          <w:tcPr>
            <w:tcW w:w="8940" w:type="dxa"/>
            <w:vAlign w:val="bottom"/>
            <w:gridSpan w:val="3"/>
          </w:tcPr>
          <w:p>
            <w:pPr>
              <w:spacing w:after="0"/>
              <w:rPr>
                <w:sz w:val="20"/>
                <w:szCs w:val="20"/>
                <w:color w:val="auto"/>
              </w:rPr>
            </w:pPr>
            <w:r>
              <w:rPr>
                <w:rFonts w:ascii="Arial" w:cs="Arial" w:eastAsia="Arial" w:hAnsi="Arial"/>
                <w:sz w:val="16"/>
                <w:szCs w:val="16"/>
                <w:b w:val="1"/>
                <w:bCs w:val="1"/>
                <w:color w:val="auto"/>
              </w:rPr>
              <w:t>Interested director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920" w:type="dxa"/>
            <w:vAlign w:val="bottom"/>
            <w:gridSpan w:val="2"/>
            <w:shd w:val="clear" w:color="auto" w:fill="CCEEFF"/>
          </w:tcPr>
          <w:p>
            <w:pPr>
              <w:ind w:left="300"/>
              <w:spacing w:after="0" w:line="205" w:lineRule="exact"/>
              <w:rPr>
                <w:sz w:val="20"/>
                <w:szCs w:val="20"/>
                <w:color w:val="auto"/>
              </w:rPr>
            </w:pPr>
            <w:r>
              <w:rPr>
                <w:rFonts w:ascii="Arial" w:cs="Arial" w:eastAsia="Arial" w:hAnsi="Arial"/>
                <w:sz w:val="14"/>
                <w:szCs w:val="14"/>
                <w:color w:val="auto"/>
              </w:rPr>
              <w:t>Arthur H. Penn</w:t>
            </w:r>
            <w:r>
              <w:rPr>
                <w:rFonts w:ascii="Arial" w:cs="Arial" w:eastAsia="Arial" w:hAnsi="Arial"/>
                <w:sz w:val="23"/>
                <w:szCs w:val="23"/>
                <w:color w:val="auto"/>
                <w:vertAlign w:val="superscript"/>
              </w:rPr>
              <w:t>(2)</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308"/>
        </w:trPr>
        <w:tc>
          <w:tcPr>
            <w:tcW w:w="8940" w:type="dxa"/>
            <w:vAlign w:val="bottom"/>
            <w:gridSpan w:val="3"/>
          </w:tcPr>
          <w:p>
            <w:pPr>
              <w:spacing w:after="0"/>
              <w:rPr>
                <w:sz w:val="20"/>
                <w:szCs w:val="20"/>
                <w:color w:val="auto"/>
              </w:rPr>
            </w:pPr>
            <w:r>
              <w:rPr>
                <w:rFonts w:ascii="Arial" w:cs="Arial" w:eastAsia="Arial" w:hAnsi="Arial"/>
                <w:sz w:val="16"/>
                <w:szCs w:val="16"/>
                <w:b w:val="1"/>
                <w:bCs w:val="1"/>
                <w:color w:val="auto"/>
              </w:rPr>
              <w:t>Senior Investment Professionals</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9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Jose A. Briones</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tcPr>
          <w:p>
            <w:pPr>
              <w:ind w:left="300"/>
              <w:spacing w:after="0"/>
              <w:rPr>
                <w:sz w:val="20"/>
                <w:szCs w:val="20"/>
                <w:color w:val="auto"/>
              </w:rPr>
            </w:pPr>
            <w:r>
              <w:rPr>
                <w:rFonts w:ascii="Arial" w:cs="Arial" w:eastAsia="Arial" w:hAnsi="Arial"/>
                <w:sz w:val="16"/>
                <w:szCs w:val="16"/>
                <w:color w:val="auto"/>
              </w:rPr>
              <w:t>Salvatore Giannetti III</w:t>
            </w:r>
          </w:p>
        </w:tc>
        <w:tc>
          <w:tcPr>
            <w:tcW w:w="2100" w:type="dxa"/>
            <w:vAlign w:val="bottom"/>
          </w:tcPr>
          <w:p>
            <w:pPr>
              <w:jc w:val="right"/>
              <w:spacing w:after="0"/>
              <w:rPr>
                <w:sz w:val="20"/>
                <w:szCs w:val="20"/>
                <w:color w:val="auto"/>
              </w:rPr>
            </w:pPr>
            <w:r>
              <w:rPr>
                <w:rFonts w:ascii="Arial" w:cs="Arial" w:eastAsia="Arial" w:hAnsi="Arial"/>
                <w:sz w:val="16"/>
                <w:szCs w:val="16"/>
                <w:color w:val="auto"/>
              </w:rPr>
              <w:t>$500,001 -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 Whitridge Williams, Jr.</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80" w:hanging="436"/>
        <w:spacing w:after="0" w:line="258"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Management Agreement</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respective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95" w:lineRule="exact"/>
        <w:rPr>
          <w:sz w:val="20"/>
          <w:szCs w:val="20"/>
          <w:color w:val="auto"/>
        </w:rPr>
      </w:pPr>
    </w:p>
    <w:p>
      <w:pPr>
        <w:ind w:left="1060" w:right="340" w:hanging="316"/>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21"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1"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225"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3"/>
          <w:szCs w:val="13"/>
          <w:color w:val="auto"/>
        </w:rPr>
        <w:t>th</w:t>
      </w:r>
      <w:r>
        <w:rPr>
          <w:rFonts w:ascii="Arial" w:cs="Arial" w:eastAsia="Arial" w:hAnsi="Arial"/>
          <w:sz w:val="16"/>
          <w:szCs w:val="16"/>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months ended December 31, 2018 and 2017, the Investment Adviser earned base management fees of $4.4 million and $4.8 million (after a waiver of $0.9 million), respectively, from us. For the years ended September 30, 2018, 2017 and 2016, the Investment Adviser earned a base management fee of $16.5 million (after a waiver of $0.9 million), $20.3 million (after a waiver of $3.9 million) and $20.9 million (after a waiver of $4.0 million), respectively, from us.</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Gross assets as of December 31, 20XX = $160 million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Gross assets as of March 31, 20XX = $200 million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gross assets as of March 31, 20XX = $180 million</w:t>
      </w:r>
    </w:p>
    <w:p>
      <w:pPr>
        <w:spacing w:after="0" w:line="21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Average value of adjusted gross assets as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left="200" w:right="40" w:firstLine="441"/>
        <w:spacing w:after="0" w:line="282"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w:t>
      </w:r>
    </w:p>
    <w:p>
      <w:pPr>
        <w:spacing w:after="0" w:line="1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three months ended December 31, 2018 and 2017, the Investment Adviser earned $2.7 million and $2.7 million (after a waiver of $0.5 million), respectively, in incentive fees on net investment income from us. For the years ended September 30, 2018, 2017 and 2016, the Investment Adviser earned $11.0 million (after a waiver of $0.5 million), $9.3 million (after a waiver of $1.8 million) and $13.5 million (after a waiver of $2.5 million), respectively, in incentive fees on net investment income from us.</w:t>
      </w:r>
    </w:p>
    <w:p>
      <w:pPr>
        <w:spacing w:after="0" w:line="1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is a graphical representation of the calculation of quarterly incentive fee based on Pre-Incentive Fee Net Investment Income:</w:t>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150495</wp:posOffset>
            </wp:positionV>
            <wp:extent cx="2409825" cy="3689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098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6"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2018 and 2017 and years ended September 30, 2018, 2017 and 2016, the Investment Adviser did not accrue an incentive fee on capital gains as calculated under the Investment Management Agreement (as described above).</w:t>
      </w:r>
    </w:p>
    <w:p>
      <w:pPr>
        <w:spacing w:after="0" w:line="16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months ended December 31, 2018 and 2017 and years ended September 30, 2018, 2017 and 2016, the Investment Adviser did not accrue an incentive fee on capital gains as calculated under GAAP.</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0.375%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0.675%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 does not exceed the hurdle; therefore, there is no incentive fee.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0.375%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2.125%</w:t>
      </w:r>
    </w:p>
    <w:p>
      <w:pPr>
        <w:spacing w:after="0" w:line="131" w:lineRule="exact"/>
        <w:rPr>
          <w:sz w:val="20"/>
          <w:szCs w:val="20"/>
          <w:color w:val="auto"/>
        </w:rPr>
      </w:pPr>
    </w:p>
    <w:p>
      <w:pPr>
        <w:ind w:left="1080"/>
        <w:spacing w:after="0"/>
        <w:tabs>
          <w:tab w:leader="none" w:pos="31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17.5% x Pre-Incentive Fee Net Investment Income, subject to “catch-up”</w:t>
      </w:r>
    </w:p>
    <w:p>
      <w:pPr>
        <w:spacing w:after="0" w:line="63" w:lineRule="exact"/>
        <w:rPr>
          <w:sz w:val="20"/>
          <w:szCs w:val="20"/>
          <w:color w:val="auto"/>
        </w:rPr>
      </w:pPr>
    </w:p>
    <w:p>
      <w:pPr>
        <w:ind w:left="3360" w:hanging="151"/>
        <w:spacing w:after="0"/>
        <w:tabs>
          <w:tab w:leader="none" w:pos="3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2.125% - 1.75%</w:t>
      </w:r>
    </w:p>
    <w:p>
      <w:pPr>
        <w:spacing w:after="0" w:line="63" w:lineRule="exact"/>
        <w:rPr>
          <w:rFonts w:ascii="Arial" w:cs="Arial" w:eastAsia="Arial" w:hAnsi="Arial"/>
          <w:sz w:val="18"/>
          <w:szCs w:val="18"/>
          <w:color w:val="auto"/>
        </w:rPr>
      </w:pPr>
    </w:p>
    <w:p>
      <w:pPr>
        <w:ind w:left="3360" w:hanging="151"/>
        <w:spacing w:after="0"/>
        <w:tabs>
          <w:tab w:leader="none" w:pos="3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0.375%</w:t>
      </w:r>
    </w:p>
    <w:p>
      <w:pPr>
        <w:spacing w:after="0" w:line="63" w:lineRule="exact"/>
        <w:rPr>
          <w:rFonts w:ascii="Arial" w:cs="Arial" w:eastAsia="Arial" w:hAnsi="Arial"/>
          <w:sz w:val="18"/>
          <w:szCs w:val="18"/>
          <w:color w:val="auto"/>
        </w:rPr>
      </w:pPr>
    </w:p>
    <w:p>
      <w:pPr>
        <w:ind w:left="3360" w:hanging="151"/>
        <w:spacing w:after="0"/>
        <w:tabs>
          <w:tab w:leader="none" w:pos="3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x 0.375%</w:t>
      </w:r>
    </w:p>
    <w:p>
      <w:pPr>
        <w:spacing w:after="0" w:line="63" w:lineRule="exact"/>
        <w:rPr>
          <w:rFonts w:ascii="Arial" w:cs="Arial" w:eastAsia="Arial" w:hAnsi="Arial"/>
          <w:sz w:val="18"/>
          <w:szCs w:val="18"/>
          <w:color w:val="auto"/>
        </w:rPr>
      </w:pPr>
    </w:p>
    <w:p>
      <w:pPr>
        <w:ind w:left="3360" w:hanging="151"/>
        <w:spacing w:after="0"/>
        <w:tabs>
          <w:tab w:leader="none" w:pos="3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0.375%</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3.00%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0.375%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2.425%</w:t>
      </w:r>
    </w:p>
    <w:p>
      <w:pPr>
        <w:sectPr>
          <w:pgSz w:w="11900" w:h="16838" w:orient="portrait"/>
          <w:cols w:equalWidth="0" w:num="1">
            <w:col w:w="10600"/>
          </w:cols>
          <w:pgMar w:left="240" w:top="459" w:right="1059" w:bottom="1440" w:gutter="0" w:footer="0" w:header="0"/>
        </w:sectPr>
      </w:pPr>
    </w:p>
    <w:p>
      <w:pPr>
        <w:spacing w:after="0" w:line="13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Incentive fee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17.5% x Pre-Incentive Fee Net Investment Income, subject to “catch-up”</w:t>
      </w:r>
      <w:r>
        <w:rPr>
          <w:rFonts w:ascii="Arial" w:cs="Arial" w:eastAsia="Arial" w:hAnsi="Arial"/>
          <w:sz w:val="13"/>
          <w:szCs w:val="13"/>
          <w:color w:val="auto"/>
        </w:rPr>
        <w:t>(3)</w:t>
      </w:r>
    </w:p>
    <w:p>
      <w:pPr>
        <w:spacing w:after="0" w:line="86" w:lineRule="exact"/>
        <w:rPr>
          <w:sz w:val="20"/>
          <w:szCs w:val="20"/>
          <w:color w:val="auto"/>
        </w:rPr>
      </w:pPr>
    </w:p>
    <w:p>
      <w:pPr>
        <w:sectPr>
          <w:pgSz w:w="11900" w:h="16838" w:orient="portrait"/>
          <w:cols w:equalWidth="0" w:num="2">
            <w:col w:w="2080" w:space="720"/>
            <w:col w:w="7800"/>
          </w:cols>
          <w:pgMar w:left="240" w:top="459" w:right="105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Incentive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100% x “catch-up” + (17.5% x (Pre-Incentive Fee Net Investment Income - 2.1212%))</w:t>
      </w:r>
    </w:p>
    <w:p>
      <w:pPr>
        <w:spacing w:after="0" w:line="86" w:lineRule="exact"/>
        <w:rPr>
          <w:sz w:val="20"/>
          <w:szCs w:val="20"/>
          <w:color w:val="auto"/>
        </w:rPr>
      </w:pPr>
    </w:p>
    <w:p>
      <w:pPr>
        <w:sectPr>
          <w:pgSz w:w="11900" w:h="16838" w:orient="portrait"/>
          <w:cols w:equalWidth="0" w:num="2">
            <w:col w:w="2080" w:space="720"/>
            <w:col w:w="7800"/>
          </w:cols>
          <w:pgMar w:left="240" w:top="459" w:right="105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Catch-up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2.1212% - 1.75%</w:t>
      </w:r>
    </w:p>
    <w:p>
      <w:pPr>
        <w:spacing w:after="0" w:line="86" w:lineRule="exact"/>
        <w:rPr>
          <w:sz w:val="20"/>
          <w:szCs w:val="20"/>
          <w:color w:val="auto"/>
        </w:rPr>
      </w:pPr>
    </w:p>
    <w:p>
      <w:pPr>
        <w:sectPr>
          <w:pgSz w:w="11900" w:h="16838" w:orient="portrait"/>
          <w:cols w:equalWidth="0" w:num="2">
            <w:col w:w="2080" w:space="720"/>
            <w:col w:w="7800"/>
          </w:cols>
          <w:pgMar w:left="240" w:top="459" w:right="1059" w:bottom="1440" w:gutter="0" w:footer="0" w:header="0"/>
          <w:type w:val="continuous"/>
        </w:sectPr>
      </w:pPr>
    </w:p>
    <w:p>
      <w:pPr>
        <w:ind w:left="2940" w:hanging="143"/>
        <w:spacing w:after="0"/>
        <w:tabs>
          <w:tab w:leader="none" w:pos="2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0.3712%</w:t>
      </w:r>
    </w:p>
    <w:p>
      <w:pPr>
        <w:spacing w:after="0" w:line="63" w:lineRule="exact"/>
        <w:rPr>
          <w:rFonts w:ascii="Arial" w:cs="Arial" w:eastAsia="Arial" w:hAnsi="Arial"/>
          <w:sz w:val="18"/>
          <w:szCs w:val="18"/>
          <w:color w:val="auto"/>
        </w:rPr>
      </w:pPr>
    </w:p>
    <w:p>
      <w:pPr>
        <w:ind w:left="2940" w:hanging="143"/>
        <w:spacing w:after="0"/>
        <w:tabs>
          <w:tab w:leader="none" w:pos="2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(100% x 0.3712%) + (17.5% x (2.425% - 2.1212%))</w:t>
      </w:r>
    </w:p>
    <w:p>
      <w:pPr>
        <w:spacing w:after="0" w:line="63" w:lineRule="exact"/>
        <w:rPr>
          <w:rFonts w:ascii="Arial" w:cs="Arial" w:eastAsia="Arial" w:hAnsi="Arial"/>
          <w:sz w:val="18"/>
          <w:szCs w:val="18"/>
          <w:color w:val="auto"/>
        </w:rPr>
      </w:pPr>
    </w:p>
    <w:p>
      <w:pPr>
        <w:ind w:left="2940" w:hanging="143"/>
        <w:spacing w:after="0"/>
        <w:tabs>
          <w:tab w:leader="none" w:pos="2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0.3712% + (17.5% x 0.3038%)</w:t>
      </w:r>
    </w:p>
    <w:p>
      <w:pPr>
        <w:spacing w:after="0" w:line="63" w:lineRule="exact"/>
        <w:rPr>
          <w:rFonts w:ascii="Arial" w:cs="Arial" w:eastAsia="Arial" w:hAnsi="Arial"/>
          <w:sz w:val="18"/>
          <w:szCs w:val="18"/>
          <w:color w:val="auto"/>
        </w:rPr>
      </w:pPr>
    </w:p>
    <w:p>
      <w:pPr>
        <w:ind w:left="2940" w:hanging="143"/>
        <w:spacing w:after="0"/>
        <w:tabs>
          <w:tab w:leader="none" w:pos="2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0.3712% + 0.053165%</w:t>
      </w:r>
    </w:p>
    <w:p>
      <w:pPr>
        <w:spacing w:after="0" w:line="63" w:lineRule="exact"/>
        <w:rPr>
          <w:rFonts w:ascii="Arial" w:cs="Arial" w:eastAsia="Arial" w:hAnsi="Arial"/>
          <w:sz w:val="18"/>
          <w:szCs w:val="18"/>
          <w:color w:val="auto"/>
        </w:rPr>
      </w:pPr>
    </w:p>
    <w:p>
      <w:pPr>
        <w:ind w:left="2940" w:hanging="143"/>
        <w:spacing w:after="0"/>
        <w:tabs>
          <w:tab w:leader="none" w:pos="2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0.424365%</w:t>
      </w:r>
    </w:p>
    <w:p>
      <w:pPr>
        <w:spacing w:after="0" w:line="198"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-156210</wp:posOffset>
            </wp:positionV>
            <wp:extent cx="694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1.5% annualized base management fee.</w:t>
      </w:r>
    </w:p>
    <w:p>
      <w:pPr>
        <w:spacing w:after="0" w:line="9" w:lineRule="exact"/>
        <w:rPr>
          <w:rFonts w:ascii="Arial" w:cs="Arial" w:eastAsia="Arial" w:hAnsi="Arial"/>
          <w:sz w:val="18"/>
          <w:szCs w:val="18"/>
          <w:color w:val="auto"/>
        </w:rPr>
      </w:pPr>
    </w:p>
    <w:p>
      <w:pPr>
        <w:ind w:left="640" w:hanging="436"/>
        <w:spacing w:after="0" w:line="290"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“catch-up” provision is intended to provide the Investment Adviser with an incentive fee of 17.5% on all of our Pre-Incentive Fee Net Investment Income as if a hurdle rate did not apply when our net investment income exceeds 2.1212% in any calendar quarter.</w:t>
      </w:r>
    </w:p>
    <w:p>
      <w:pPr>
        <w:spacing w:after="0" w:line="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600"/>
          </w:cols>
          <w:pgMar w:left="240" w:top="459" w:right="105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1 = no net realized capital gains or losses</w:t>
      </w:r>
    </w:p>
    <w:p>
      <w:pPr>
        <w:spacing w:after="0" w:line="117" w:lineRule="exact"/>
        <w:rPr>
          <w:sz w:val="20"/>
          <w:szCs w:val="20"/>
          <w:color w:val="auto"/>
        </w:rPr>
      </w:pPr>
    </w:p>
    <w:p>
      <w:pPr>
        <w:ind w:left="640" w:right="660"/>
        <w:spacing w:after="0" w:line="290" w:lineRule="auto"/>
        <w:rPr>
          <w:sz w:val="20"/>
          <w:szCs w:val="20"/>
          <w:color w:val="auto"/>
        </w:rPr>
      </w:pPr>
      <w:r>
        <w:rPr>
          <w:rFonts w:ascii="Arial" w:cs="Arial" w:eastAsia="Arial" w:hAnsi="Arial"/>
          <w:sz w:val="17"/>
          <w:szCs w:val="17"/>
          <w:color w:val="auto"/>
        </w:rPr>
        <w:t>Year 2 = 6% realized capital gains and 1% realized capital losses and unrealized capital depreciation, capital gain incentive fee = 17.5% x (realized capital gains for year computed net of all realized capital losses and unrealized capital depreciation at year end)</w:t>
      </w:r>
    </w:p>
    <w:p>
      <w:pPr>
        <w:sectPr>
          <w:pgSz w:w="11900" w:h="16838" w:orient="portrait"/>
          <w:cols w:equalWidth="0" w:num="1">
            <w:col w:w="11220"/>
          </w:cols>
          <w:pgMar w:left="240" w:top="459" w:right="439" w:bottom="1440" w:gutter="0" w:footer="0" w:header="0"/>
        </w:sectPr>
      </w:pPr>
    </w:p>
    <w:p>
      <w:pPr>
        <w:ind w:left="980"/>
        <w:spacing w:after="0"/>
        <w:rPr>
          <w:sz w:val="20"/>
          <w:szCs w:val="20"/>
          <w:color w:val="auto"/>
        </w:rPr>
      </w:pPr>
      <w:r>
        <w:rPr>
          <w:rFonts w:ascii="Arial" w:cs="Arial" w:eastAsia="Arial" w:hAnsi="Arial"/>
          <w:sz w:val="16"/>
          <w:szCs w:val="16"/>
          <w:color w:val="auto"/>
        </w:rPr>
        <w:t>Year 1 incentive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17.5% x (0)</w:t>
      </w:r>
    </w:p>
    <w:p>
      <w:pPr>
        <w:spacing w:after="0" w:line="86" w:lineRule="exact"/>
        <w:rPr>
          <w:sz w:val="20"/>
          <w:szCs w:val="20"/>
          <w:color w:val="auto"/>
        </w:rPr>
      </w:pPr>
    </w:p>
    <w:p>
      <w:pPr>
        <w:sectPr>
          <w:pgSz w:w="11900" w:h="16838" w:orient="portrait"/>
          <w:cols w:equalWidth="0" w:num="2">
            <w:col w:w="2500" w:space="720"/>
            <w:col w:w="8000"/>
          </w:cols>
          <w:pgMar w:left="240" w:top="459" w:right="439" w:bottom="1440" w:gutter="0" w:footer="0" w:header="0"/>
          <w:type w:val="continuous"/>
        </w:sectPr>
      </w:pPr>
    </w:p>
    <w:p>
      <w:pPr>
        <w:ind w:left="3220"/>
        <w:spacing w:after="0"/>
        <w:rPr>
          <w:sz w:val="20"/>
          <w:szCs w:val="20"/>
          <w:color w:val="auto"/>
        </w:rPr>
      </w:pPr>
      <w:r>
        <w:rPr>
          <w:rFonts w:ascii="Arial" w:cs="Arial" w:eastAsia="Arial" w:hAnsi="Arial"/>
          <w:sz w:val="18"/>
          <w:szCs w:val="18"/>
          <w:color w:val="auto"/>
        </w:rPr>
        <w:t>= 0</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 no incentive fee</w:t>
      </w:r>
    </w:p>
    <w:p>
      <w:pPr>
        <w:sectPr>
          <w:pgSz w:w="11900" w:h="16838" w:orient="portrait"/>
          <w:cols w:equalWidth="0" w:num="1">
            <w:col w:w="11220"/>
          </w:cols>
          <w:pgMar w:left="240" w:top="459" w:right="439" w:bottom="1440" w:gutter="0" w:footer="0" w:header="0"/>
          <w:type w:val="continuous"/>
        </w:sectPr>
      </w:pP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Year 2 incentive fee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 17.5% x (6% - 1%)</w:t>
      </w:r>
    </w:p>
    <w:p>
      <w:pPr>
        <w:spacing w:after="0" w:line="86" w:lineRule="exact"/>
        <w:rPr>
          <w:sz w:val="20"/>
          <w:szCs w:val="20"/>
          <w:color w:val="auto"/>
        </w:rPr>
      </w:pPr>
    </w:p>
    <w:p>
      <w:pPr>
        <w:sectPr>
          <w:pgSz w:w="11900" w:h="16838" w:orient="portrait"/>
          <w:cols w:equalWidth="0" w:num="2">
            <w:col w:w="2500" w:space="720"/>
            <w:col w:w="8000"/>
          </w:cols>
          <w:pgMar w:left="240" w:top="459" w:right="439" w:bottom="1440" w:gutter="0" w:footer="0" w:header="0"/>
          <w:type w:val="continuous"/>
        </w:sectPr>
      </w:pPr>
    </w:p>
    <w:p>
      <w:pPr>
        <w:ind w:left="3220"/>
        <w:spacing w:after="0"/>
        <w:rPr>
          <w:sz w:val="20"/>
          <w:szCs w:val="20"/>
          <w:color w:val="auto"/>
        </w:rPr>
      </w:pPr>
      <w:r>
        <w:rPr>
          <w:rFonts w:ascii="Arial" w:cs="Arial" w:eastAsia="Arial" w:hAnsi="Arial"/>
          <w:sz w:val="16"/>
          <w:szCs w:val="16"/>
          <w:color w:val="auto"/>
        </w:rPr>
        <w:t>= 17.5% x 5%</w:t>
      </w:r>
    </w:p>
    <w:p>
      <w:pPr>
        <w:spacing w:after="0" w:line="8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 0.875%</w:t>
      </w:r>
    </w:p>
    <w:p>
      <w:pPr>
        <w:sectPr>
          <w:pgSz w:w="11900" w:h="16838" w:orient="portrait"/>
          <w:cols w:equalWidth="0" w:num="1">
            <w:col w:w="11220"/>
          </w:cols>
          <w:pgMar w:left="240" w:top="459" w:right="439" w:bottom="1440" w:gutter="0" w:footer="0" w:header="0"/>
          <w:type w:val="continuous"/>
        </w:sectPr>
      </w:pPr>
    </w:p>
    <w:p>
      <w:pPr>
        <w:spacing w:after="0" w:line="3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principal executive office of PennantPark Investment Advisers is located at 590 Madison Avenue, 15th Floor, New York, NY 10022.</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6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2019. Unless terminated earlier as described below, the Investment Management Agreement will continue in effect for a period of one year through February 2020.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6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 —We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Administration Agreement</w:t>
      </w:r>
    </w:p>
    <w:p>
      <w:pPr>
        <w:spacing w:after="0" w:line="6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have entered into an agreement, or the Administration Agreement, with the Administrator, under which the Administrator furnishes us with office facilities, equipment and clerical, bookkeeping and record keeping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our SBIC Funds under their administration agreements with us.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and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three months ended December 31, 2018 and 2017, we reimbursed the Investment Adviser approximately $0.3 million and $0.3 million, respectively, including expenses the Investment Adviser incurred on behalf of the Administrator, for the services described above. For the years ended September 30, 2018, 2017 and 2016, we reimbursed the Investment Adviser approximately $2.0 million, $2.5 million and $3.7 million, respectively, including expenses the Investment Adviser incurred on behalf of the Administrator for the services described above.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6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Administration Agreement was reapproved by our board of directors, including a majority of our directors who are not interested persons of PennantPark Investment, in February 2019. Unless terminated earlier as described below, our Administration Agreement will continue in effect for a period of one year through February 2020.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could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60" w:right="80" w:hanging="424"/>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60" w:right="220" w:hanging="424"/>
        <w:spacing w:after="0" w:line="279"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hanging="424"/>
        <w:spacing w:after="0" w:line="286"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1060" w:right="220" w:hanging="424"/>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24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780" w:right="1180" w:hanging="1120"/>
        <w:spacing w:after="0" w:line="277" w:lineRule="auto"/>
        <w:tabs>
          <w:tab w:leader="none" w:pos="1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780" w:right="460" w:hanging="1120"/>
        <w:spacing w:after="0" w:line="264" w:lineRule="auto"/>
        <w:tabs>
          <w:tab w:leader="none" w:pos="17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780" w:right="900" w:hanging="1120"/>
        <w:spacing w:after="0" w:line="277" w:lineRule="auto"/>
        <w:tabs>
          <w:tab w:leader="none" w:pos="1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4" w:lineRule="exact"/>
        <w:rPr>
          <w:sz w:val="20"/>
          <w:szCs w:val="20"/>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1060" w:right="220" w:hanging="316"/>
        <w:spacing w:after="0" w:line="286"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6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60" w:right="200" w:hanging="316"/>
        <w:spacing w:after="0" w:line="279"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200" w:right="460" w:firstLine="441"/>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54"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of March 31, 2019,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last reported closing market price of our common stock on April 11, 2019 was $7.04 per share. As of March 31, 2019, we had 10 stockholders of record.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our outstanding classes of securities as of March 31, 2019:</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9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980" w:type="dxa"/>
            <w:vAlign w:val="bottom"/>
            <w:gridSpan w:val="3"/>
            <w:vMerge w:val="continue"/>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Authorized</w:t>
            </w:r>
          </w:p>
        </w:tc>
        <w:tc>
          <w:tcPr>
            <w:tcW w:w="620" w:type="dxa"/>
            <w:vAlign w:val="bottom"/>
          </w:tcPr>
          <w:p>
            <w:pPr>
              <w:spacing w:after="0"/>
              <w:rPr>
                <w:sz w:val="13"/>
                <w:szCs w:val="13"/>
                <w:color w:val="auto"/>
              </w:rPr>
            </w:pPr>
          </w:p>
        </w:tc>
        <w:tc>
          <w:tcPr>
            <w:tcW w:w="166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89"/>
              </w:rPr>
              <w:t>Account</w:t>
            </w:r>
          </w:p>
        </w:tc>
        <w:tc>
          <w:tcPr>
            <w:tcW w:w="9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100,000,000</w:t>
            </w: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67,045,105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2020, 2021 and 2022,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200" w:right="700" w:firstLine="441"/>
        <w:spacing w:after="0" w:line="308" w:lineRule="auto"/>
        <w:rPr>
          <w:sz w:val="20"/>
          <w:szCs w:val="20"/>
          <w:color w:val="auto"/>
        </w:rPr>
      </w:pPr>
      <w:r>
        <w:rPr>
          <w:rFonts w:ascii="Arial" w:cs="Arial" w:eastAsia="Arial" w:hAnsi="Arial"/>
          <w:sz w:val="17"/>
          <w:szCs w:val="17"/>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There can be no assurance that such provision will not be amended or eliminated at any time in the future to the extent permitted by the 1940 Act.</w:t>
      </w:r>
    </w:p>
    <w:p>
      <w:pPr>
        <w:spacing w:after="0" w:line="22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9" w:lineRule="exact"/>
        <w:rPr>
          <w:sz w:val="20"/>
          <w:szCs w:val="20"/>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4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1060" w:hanging="316"/>
        <w:spacing w:after="0" w:line="308"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47"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1060" w:right="20" w:hanging="316"/>
        <w:spacing w:after="0" w:line="342"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6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jc w:val="both"/>
        <w:ind w:left="1060" w:right="40" w:hanging="316"/>
        <w:spacing w:after="0" w:line="264"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240" w:top="459"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w:t>
      </w:r>
    </w:p>
    <w:p>
      <w:pPr>
        <w:spacing w:after="0" w:line="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24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880"/>
          </w:cols>
          <w:pgMar w:left="240" w:top="459" w:right="7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of December 31, 2018 and September 30, 2018, we had $250.0 million in aggregate principal amount of 2019 Notes outstanding. Interest on the 2019 Notes accrued at a rate of 4.50% per year and was paid semi-annually. On January 31, 2019, the Company announced the redemption of $250.0 million outstanding aggregate principal amount of its 2019 Notes. The 2019 Notes were prepaid at 100% of the principal amount, plus accrued and unpaid interest through the payment date of March 4, 2019, as well as a make-whole premium.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Facility.</w:t>
      </w:r>
    </w:p>
    <w:p>
      <w:pPr>
        <w:spacing w:after="0" w:line="200" w:lineRule="exact"/>
        <w:rPr>
          <w:sz w:val="20"/>
          <w:szCs w:val="20"/>
          <w:color w:val="auto"/>
        </w:rPr>
      </w:pPr>
    </w:p>
    <w:p>
      <w:pPr>
        <w:spacing w:after="0" w:line="232"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In January 2013, we issued $71.3 million in aggregate principal amount of 2025 Notes. Interest on the 2025 Notes accrued at a rate of 6.25% per year and was paid quarterly. On June 29, 2017, the 2025 Notes were redeemed in full and no amounts were outstanding as of December 31, 2018 or September 30, 2018.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w:t>
      </w:r>
    </w:p>
    <w:p>
      <w:pPr>
        <w:spacing w:after="0" w:line="188"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5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prospectus supplement, which will accompany this prospectus, will describe the particular series of debt securities being offered by including:</w:t>
      </w:r>
    </w:p>
    <w:p>
      <w:pPr>
        <w:spacing w:after="0" w:line="154" w:lineRule="exact"/>
        <w:rPr>
          <w:sz w:val="20"/>
          <w:szCs w:val="20"/>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316"/>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1060" w:right="60" w:hanging="316"/>
        <w:spacing w:after="0" w:line="264"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060" w:right="100" w:hanging="316"/>
        <w:spacing w:after="0" w:line="342" w:lineRule="auto"/>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80"/>
          </w:cols>
          <w:pgMar w:left="24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3"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3"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60" w:hanging="316"/>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6"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60" w:right="600" w:hanging="316"/>
        <w:spacing w:after="0" w:line="308"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1060" w:right="160" w:hanging="316"/>
        <w:spacing w:after="0" w:line="286"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1060" w:right="240" w:hanging="316"/>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6" w:lineRule="exact"/>
        <w:rPr>
          <w:rFonts w:ascii="Arial" w:cs="Arial" w:eastAsia="Arial" w:hAnsi="Arial"/>
          <w:sz w:val="18"/>
          <w:szCs w:val="18"/>
          <w:color w:val="auto"/>
        </w:rPr>
      </w:pPr>
    </w:p>
    <w:p>
      <w:pPr>
        <w:ind w:left="1060" w:right="260" w:hanging="316"/>
        <w:spacing w:after="0" w:line="264"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6"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60" w:right="260" w:hanging="316"/>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4"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60" w:hanging="316"/>
        <w:spacing w:after="0" w:line="342" w:lineRule="auto"/>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certain defaults by any of our significant subsidiaries.</w:t>
      </w:r>
    </w:p>
    <w:p>
      <w:pPr>
        <w:spacing w:after="0" w:line="170"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4"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6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580" w:right="4760" w:hanging="4836"/>
        <w:spacing w:after="0" w:line="536" w:lineRule="auto"/>
        <w:tabs>
          <w:tab w:leader="none" w:pos="1069" w:val="left"/>
        </w:tabs>
        <w:numPr>
          <w:ilvl w:val="0"/>
          <w:numId w:val="67"/>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interest on a debt security; 125</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60" w:right="260" w:hanging="316"/>
        <w:spacing w:after="0" w:line="277"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35" w:lineRule="exact"/>
        <w:rPr>
          <w:rFonts w:ascii="Arial" w:cs="Arial" w:eastAsia="Arial" w:hAnsi="Arial"/>
          <w:sz w:val="18"/>
          <w:szCs w:val="18"/>
          <w:color w:val="auto"/>
        </w:rPr>
      </w:pPr>
    </w:p>
    <w:p>
      <w:pPr>
        <w:ind w:left="1060" w:right="100" w:hanging="316"/>
        <w:spacing w:after="0" w:line="342" w:lineRule="auto"/>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60" w:right="40" w:hanging="316"/>
        <w:spacing w:after="0" w:line="277"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80" w:hanging="316"/>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200" w:right="12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78" w:lineRule="exact"/>
        <w:rPr>
          <w:sz w:val="20"/>
          <w:szCs w:val="20"/>
          <w:color w:val="auto"/>
        </w:rPr>
      </w:pPr>
    </w:p>
    <w:p>
      <w:pPr>
        <w:ind w:left="1060" w:right="180" w:hanging="316"/>
        <w:spacing w:after="0" w:line="286"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060" w:right="180" w:hanging="316"/>
        <w:spacing w:after="0" w:line="264"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60" w:right="200" w:hanging="316"/>
        <w:spacing w:after="0" w:line="286"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60" w:right="80" w:hanging="316"/>
        <w:spacing w:after="0" w:line="255"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8" w:lineRule="exact"/>
        <w:rPr>
          <w:rFonts w:ascii="Arial" w:cs="Arial" w:eastAsia="Arial" w:hAnsi="Arial"/>
          <w:sz w:val="18"/>
          <w:szCs w:val="18"/>
          <w:color w:val="auto"/>
        </w:rPr>
      </w:pPr>
    </w:p>
    <w:p>
      <w:pPr>
        <w:ind w:left="1060" w:right="60" w:hanging="316"/>
        <w:spacing w:after="0" w:line="308"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60" w:hanging="316"/>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60" w:right="80" w:hanging="316"/>
        <w:spacing w:after="0" w:line="259"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60"/>
          </w:cols>
          <w:pgMar w:left="24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1060" w:right="520" w:hanging="316"/>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33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2"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ind w:left="200" w:right="20" w:firstLine="4"/>
        <w:spacing w:after="0" w:line="252" w:lineRule="auto"/>
        <w:tabs>
          <w:tab w:leader="none" w:pos="4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4"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7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80"/>
          </w:cols>
          <w:pgMar w:left="24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5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7" w:lineRule="exact"/>
        <w:rPr>
          <w:sz w:val="20"/>
          <w:szCs w:val="20"/>
          <w:color w:val="auto"/>
        </w:rPr>
      </w:pPr>
    </w:p>
    <w:p>
      <w:pPr>
        <w:ind w:left="1060" w:right="240" w:hanging="424"/>
        <w:spacing w:after="0" w:line="259"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2" w:lineRule="exact"/>
        <w:rPr>
          <w:rFonts w:ascii="Arial" w:cs="Arial" w:eastAsia="Arial" w:hAnsi="Arial"/>
          <w:sz w:val="18"/>
          <w:szCs w:val="18"/>
          <w:color w:val="auto"/>
        </w:rPr>
      </w:pPr>
    </w:p>
    <w:p>
      <w:pPr>
        <w:ind w:left="1620" w:hanging="538"/>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620" w:right="180" w:hanging="538"/>
        <w:spacing w:after="0" w:line="308" w:lineRule="auto"/>
        <w:tabs>
          <w:tab w:leader="none" w:pos="16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is not an investment company (other than a SBIC wholly-owned by the BDC) or a company that would be an investment company but is excluded from the definition of an investment company by Section 3(c) of the 1940 Act; and</w:t>
      </w:r>
    </w:p>
    <w:p>
      <w:pPr>
        <w:spacing w:after="0" w:line="51" w:lineRule="exact"/>
        <w:rPr>
          <w:rFonts w:ascii="Arial" w:cs="Arial" w:eastAsia="Arial" w:hAnsi="Arial"/>
          <w:sz w:val="17"/>
          <w:szCs w:val="17"/>
          <w:color w:val="auto"/>
        </w:rPr>
      </w:pPr>
    </w:p>
    <w:p>
      <w:pPr>
        <w:ind w:left="1620" w:hanging="538"/>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2060" w:hanging="425"/>
        <w:spacing w:after="0"/>
        <w:tabs>
          <w:tab w:leader="none" w:pos="2060" w:val="left"/>
        </w:tabs>
        <w:numPr>
          <w:ilvl w:val="2"/>
          <w:numId w:val="78"/>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2060" w:right="480" w:hanging="425"/>
        <w:spacing w:after="0" w:line="277" w:lineRule="auto"/>
        <w:tabs>
          <w:tab w:leader="none" w:pos="2060" w:val="left"/>
        </w:tabs>
        <w:numPr>
          <w:ilvl w:val="2"/>
          <w:numId w:val="78"/>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75" w:lineRule="exact"/>
        <w:rPr>
          <w:rFonts w:ascii="Arial" w:cs="Arial" w:eastAsia="Arial" w:hAnsi="Arial"/>
          <w:sz w:val="18"/>
          <w:szCs w:val="18"/>
          <w:color w:val="auto"/>
        </w:rPr>
      </w:pPr>
    </w:p>
    <w:p>
      <w:pPr>
        <w:ind w:left="2060" w:right="60" w:hanging="425"/>
        <w:spacing w:after="0" w:line="264" w:lineRule="auto"/>
        <w:tabs>
          <w:tab w:leader="none" w:pos="2060" w:val="left"/>
        </w:tabs>
        <w:numPr>
          <w:ilvl w:val="2"/>
          <w:numId w:val="78"/>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30" w:lineRule="exact"/>
        <w:rPr>
          <w:rFonts w:ascii="Arial" w:cs="Arial" w:eastAsia="Arial" w:hAnsi="Arial"/>
          <w:sz w:val="18"/>
          <w:szCs w:val="18"/>
          <w:color w:val="auto"/>
        </w:rPr>
      </w:pPr>
    </w:p>
    <w:p>
      <w:pPr>
        <w:ind w:left="1060" w:right="360" w:hanging="424"/>
        <w:spacing w:after="0" w:line="259"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1060" w:right="460" w:hanging="424"/>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24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a BDC, we are required to make available significant managerial assistance within the meaning of Section 2(a)(47) of the 1940 Act to our portfolio companies that constitute a qualifying asset.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are deemed to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and referred to as the asset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24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In addition, the joint code of ethics is attached as an exhibit to our annual report on Form 10-K and is available on the EDGAR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You may also obtain a copy of our joint code of ethics,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jc w:val="center"/>
        <w:ind w:left="380" w:right="60"/>
        <w:spacing w:after="0" w:line="312"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24"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8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240" w:top="459" w:right="5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Privacy Protection Principles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 xml:space="preserve">Our privacy protection policies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 addition, the privacy policy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8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Sarbanes-Oxley Act imposes several regulatory requirements on publicly held companies and their insiders. Many of these requirements affect us.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1060" w:right="200" w:hanging="316"/>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Rule 13a-14 under the Exchange Act, our Chief Executive Officer and Chief Financial Officer must certify the accuracy of the financial statements contained in our periodic reports;</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Item 307 of Regulation S-K under the Securities Act,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Rule 13a-15 under the Exchange Act, our management must prepare an annual report regarding its assessment of our internal controls over financial reporting; and</w:t>
      </w:r>
    </w:p>
    <w:p>
      <w:pPr>
        <w:spacing w:after="0" w:line="75"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Item 308 of Regulation S-K under the Securities Act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SBA Regulations</w:t>
      </w:r>
    </w:p>
    <w:p>
      <w:pPr>
        <w:spacing w:after="0" w:line="12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Our SBIC Funds are licensed under the SBA as SBICs under Section 301(c) of the 1958 Act. SBIC LP and SBIC II received their licenses in 2010 and 2013, respectively.</w:t>
      </w:r>
    </w:p>
    <w:p>
      <w:pPr>
        <w:spacing w:after="0" w:line="170"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our SBIC Funds do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30%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58"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Idle Funds Limitation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SBA limits an SBIC to investing idle funds in the following types of securities:</w:t>
      </w:r>
    </w:p>
    <w:p>
      <w:pPr>
        <w:spacing w:after="0" w:line="90" w:lineRule="exact"/>
        <w:rPr>
          <w:sz w:val="20"/>
          <w:szCs w:val="20"/>
          <w:color w:val="auto"/>
        </w:rPr>
      </w:pPr>
    </w:p>
    <w:p>
      <w:pPr>
        <w:ind w:left="1060" w:hanging="316"/>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3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35" w:lineRule="exact"/>
        <w:rPr>
          <w:rFonts w:ascii="Arial" w:cs="Arial" w:eastAsia="Arial" w:hAnsi="Arial"/>
          <w:sz w:val="18"/>
          <w:szCs w:val="18"/>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SBA Leverage or Debentures</w:t>
      </w:r>
    </w:p>
    <w:p>
      <w:pPr>
        <w:spacing w:after="0" w:line="11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$175.0 million, which is up to twice its regulatory capital, and a maximum of $350.0 million as part of a group of SBICs under common control.</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60" w:hanging="316"/>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U.S.federal income tax purposes income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60" w:hanging="316"/>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jc w:val="both"/>
        <w:ind w:left="1060" w:hanging="316"/>
        <w:spacing w:after="0" w:line="264"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620" w:right="180" w:hanging="538"/>
        <w:spacing w:after="0" w:line="264"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jc w:val="both"/>
        <w:ind w:left="1620" w:hanging="538"/>
        <w:spacing w:after="0" w:line="286" w:lineRule="auto"/>
        <w:tabs>
          <w:tab w:leader="none" w:pos="16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9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3"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purposes. The Taxable Subsidiaries generally will be subject to corporate income taxes on their earnings, which ultimately will reduce our return on such income and fees.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3"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8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Exercise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24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7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subsequent years as provided in the Code. Corporate stockholders generally may not deduct any net capital losses for a year, but may carryback such losses for three taxable years or carry forward such losses for five taxable years.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3"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4"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3"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60" w:hanging="316"/>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60" w:right="280" w:hanging="316"/>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9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80"/>
          </w:cols>
          <w:pgMar w:left="24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80"/>
          </w:cols>
          <w:pgMar w:left="24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incorporate by reference any future filings (including those made after the date of the filing of the registration statement of which this prospectus is a part) we will make with the SEC under Sections 13(a), 13(c), 14, or 15(d) of the Exchange Act until the termination of the offering of the securities covered by this prospectus; provided, however, that information “furnished” under Item 2.02 or Item 7.01 of Form 8-K or other information “furnished” to the SEC which is not deemed filed is not incorporated by reference.</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You may request a copy of these filings (other than exhibits, unless the exhibits are specifically incorporated by reference into these documents) at no cost by writing or calling the following address and telephone number:</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PennantPark Investment Corporation</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(212) 905-1000</w:t>
      </w:r>
    </w:p>
    <w:p>
      <w:pPr>
        <w:spacing w:after="0" w:line="21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served as trustee for our 2019 Notes.</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Maryland counsel.</w:t>
      </w:r>
    </w:p>
    <w:p>
      <w:pPr>
        <w:spacing w:after="0" w:line="27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current independent registered public accounting firm, RSM US LLP, located at 151 West 42nd Street, New York, NY 10036, has audited our financial statements as of September 30, 2018, 2017 and 2016.</w:t>
      </w:r>
    </w:p>
    <w:p>
      <w:pPr>
        <w:spacing w:after="0" w:line="170"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The consolidated financial statements of Superior Digital Displays Holdings, Inc. and Subsidiaries as of and for the year ended September 30, 2018 included in this Prospectus and in the Registration Statement have been so included in reliance on the report of EisnerAmper LLP, Independent Auditor.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60"/>
          </w:cols>
          <w:pgMar w:left="240" w:top="460"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Financial Statements (unaudited)</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6"/>
        </w:trPr>
        <w:tc>
          <w:tcPr>
            <w:tcW w:w="9640" w:type="dxa"/>
            <w:vAlign w:val="bottom"/>
            <w:gridSpan w:val="16"/>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Report of Independent Registered Public Accounting Firm</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line="20" w:lineRule="exact"/>
              <w:rPr>
                <w:sz w:val="1"/>
                <w:szCs w:val="1"/>
                <w:color w:val="auto"/>
              </w:rPr>
            </w:pPr>
          </w:p>
        </w:tc>
      </w:tr>
      <w:tr>
        <w:trPr>
          <w:trHeight w:val="264"/>
        </w:trPr>
        <w:tc>
          <w:tcPr>
            <w:tcW w:w="9640" w:type="dxa"/>
            <w:vAlign w:val="bottom"/>
            <w:gridSpan w:val="16"/>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Consolidated Statements of Assets and Liabilities as of December 31, 2018 (unaudited) and September 30, 2018</w:t>
              </w:r>
            </w:hyperlink>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8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158">
              <w:r>
                <w:rPr>
                  <w:rFonts w:ascii="Arial" w:cs="Arial" w:eastAsia="Arial" w:hAnsi="Arial"/>
                  <w:sz w:val="18"/>
                  <w:szCs w:val="18"/>
                  <w:color w:val="0000EE"/>
                  <w:w w:val="89"/>
                </w:rPr>
                <w:t>Consolidated Statements of Operations for the three months ended December 31, 2018 and 2017 (unaudited)</w:t>
              </w:r>
            </w:hyperlink>
          </w:p>
        </w:tc>
        <w:tc>
          <w:tcPr>
            <w:tcW w:w="300" w:type="dxa"/>
            <w:vAlign w:val="bottom"/>
            <w:tcBorders>
              <w:top w:val="single" w:sz="8" w:color="0000EE"/>
            </w:tcBorders>
            <w:gridSpan w:val="2"/>
          </w:tcPr>
          <w:p>
            <w:pPr>
              <w:spacing w:after="0"/>
              <w:rPr>
                <w:sz w:val="22"/>
                <w:szCs w:val="22"/>
                <w:color w:val="auto"/>
              </w:rPr>
            </w:pPr>
          </w:p>
        </w:tc>
        <w:tc>
          <w:tcPr>
            <w:tcW w:w="1500" w:type="dxa"/>
            <w:vAlign w:val="bottom"/>
            <w:gridSpan w:val="2"/>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59">
              <w:r>
                <w:rPr>
                  <w:rFonts w:ascii="Arial" w:cs="Arial" w:eastAsia="Arial" w:hAnsi="Arial"/>
                  <w:sz w:val="18"/>
                  <w:szCs w:val="18"/>
                  <w:color w:val="0000EE"/>
                  <w:w w:val="89"/>
                </w:rPr>
                <w:t>Consolidated Statements of Changes in Net Assets for the three months ended December 31, 2018 and 2017 (unaudited)</w:t>
              </w:r>
            </w:hyperlink>
          </w:p>
        </w:tc>
        <w:tc>
          <w:tcPr>
            <w:tcW w:w="9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F-5</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60">
              <w:r>
                <w:rPr>
                  <w:rFonts w:ascii="Arial" w:cs="Arial" w:eastAsia="Arial" w:hAnsi="Arial"/>
                  <w:sz w:val="18"/>
                  <w:szCs w:val="18"/>
                  <w:color w:val="0000EE"/>
                  <w:w w:val="89"/>
                </w:rPr>
                <w:t>Consolidated Statements of Cash Flows for the three months ended December 31, 2018 and 2017 (unaudited)</w:t>
              </w:r>
            </w:hyperlink>
          </w:p>
        </w:tc>
        <w:tc>
          <w:tcPr>
            <w:tcW w:w="1740" w:type="dxa"/>
            <w:vAlign w:val="bottom"/>
            <w:gridSpan w:val="3"/>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61">
              <w:r>
                <w:rPr>
                  <w:rFonts w:ascii="Arial" w:cs="Arial" w:eastAsia="Arial" w:hAnsi="Arial"/>
                  <w:sz w:val="18"/>
                  <w:szCs w:val="18"/>
                  <w:color w:val="0000EE"/>
                  <w:w w:val="89"/>
                </w:rPr>
                <w:t>Consolidated Schedules of Investments as of December 31, 2018 (unaudited) and September 30, 2018</w:t>
              </w:r>
            </w:hyperlink>
          </w:p>
        </w:tc>
        <w:tc>
          <w:tcPr>
            <w:tcW w:w="2240" w:type="dxa"/>
            <w:vAlign w:val="bottom"/>
            <w:gridSpan w:val="7"/>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264"/>
        </w:trPr>
        <w:tc>
          <w:tcPr>
            <w:tcW w:w="9640" w:type="dxa"/>
            <w:vAlign w:val="bottom"/>
            <w:gridSpan w:val="16"/>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Notes to Consolidated Financial Statements (unaudited)</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37"/>
        </w:trPr>
        <w:tc>
          <w:tcPr>
            <w:tcW w:w="342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432"/>
        </w:trPr>
        <w:tc>
          <w:tcPr>
            <w:tcW w:w="9640" w:type="dxa"/>
            <w:vAlign w:val="bottom"/>
            <w:gridSpan w:val="16"/>
          </w:tcPr>
          <w:p>
            <w:pPr>
              <w:spacing w:after="0"/>
              <w:rPr>
                <w:sz w:val="20"/>
                <w:szCs w:val="20"/>
                <w:color w:val="auto"/>
              </w:rPr>
            </w:pPr>
            <w:r>
              <w:rPr>
                <w:rFonts w:ascii="Arial" w:cs="Arial" w:eastAsia="Arial" w:hAnsi="Arial"/>
                <w:sz w:val="18"/>
                <w:szCs w:val="18"/>
                <w:b w:val="1"/>
                <w:bCs w:val="1"/>
                <w:color w:val="auto"/>
              </w:rPr>
              <w:t>Annual Financial Statments (audited)</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40" w:type="dxa"/>
            <w:vAlign w:val="bottom"/>
            <w:gridSpan w:val="16"/>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Management’s Report on Internal Control over Financial Reporting</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37"/>
        </w:trPr>
        <w:tc>
          <w:tcPr>
            <w:tcW w:w="342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43"/>
        </w:trPr>
        <w:tc>
          <w:tcPr>
            <w:tcW w:w="9640" w:type="dxa"/>
            <w:vAlign w:val="bottom"/>
            <w:gridSpan w:val="16"/>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Report of Independent Registered Public Accounting Firm</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37"/>
        </w:trPr>
        <w:tc>
          <w:tcPr>
            <w:tcW w:w="342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43"/>
        </w:trPr>
        <w:tc>
          <w:tcPr>
            <w:tcW w:w="9640" w:type="dxa"/>
            <w:vAlign w:val="bottom"/>
            <w:gridSpan w:val="16"/>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Report of Independent Registered Public Accounting Firm On Internal Control Over Financial Reporting</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37"/>
        </w:trPr>
        <w:tc>
          <w:tcPr>
            <w:tcW w:w="342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43"/>
        </w:trPr>
        <w:tc>
          <w:tcPr>
            <w:tcW w:w="9640" w:type="dxa"/>
            <w:vAlign w:val="bottom"/>
            <w:gridSpan w:val="16"/>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Consolidated Statements of Assets and Liabilities as of September 30, 2018 and 2017</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37"/>
        </w:trPr>
        <w:tc>
          <w:tcPr>
            <w:tcW w:w="342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43"/>
        </w:trPr>
        <w:tc>
          <w:tcPr>
            <w:tcW w:w="9640" w:type="dxa"/>
            <w:vAlign w:val="bottom"/>
            <w:gridSpan w:val="16"/>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Consolidated Statements of Operations for the years ended September 30, 2018, 2017 and 2016</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37"/>
        </w:trPr>
        <w:tc>
          <w:tcPr>
            <w:tcW w:w="342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43"/>
        </w:trPr>
        <w:tc>
          <w:tcPr>
            <w:tcW w:w="9640" w:type="dxa"/>
            <w:vAlign w:val="bottom"/>
            <w:gridSpan w:val="16"/>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Consolidated Statements of Changes in Net Assets for the years ended September 30, 2018, 2017 and 2016</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37"/>
        </w:trPr>
        <w:tc>
          <w:tcPr>
            <w:tcW w:w="342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43"/>
        </w:trPr>
        <w:tc>
          <w:tcPr>
            <w:tcW w:w="9640" w:type="dxa"/>
            <w:vAlign w:val="bottom"/>
            <w:gridSpan w:val="16"/>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Consolidated Statements of Cash Flows for the years ended September 30, 2018, 2017 and 2016</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37"/>
        </w:trPr>
        <w:tc>
          <w:tcPr>
            <w:tcW w:w="342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43"/>
        </w:trPr>
        <w:tc>
          <w:tcPr>
            <w:tcW w:w="9640" w:type="dxa"/>
            <w:vAlign w:val="bottom"/>
            <w:gridSpan w:val="16"/>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Consolidated Schedules of Investments as of September 30, 2018 and 2017</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37"/>
        </w:trPr>
        <w:tc>
          <w:tcPr>
            <w:tcW w:w="342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43"/>
        </w:trPr>
        <w:tc>
          <w:tcPr>
            <w:tcW w:w="9640" w:type="dxa"/>
            <w:vAlign w:val="bottom"/>
            <w:gridSpan w:val="16"/>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Notes to the Consolidated Financial Statements</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37"/>
        </w:trPr>
        <w:tc>
          <w:tcPr>
            <w:tcW w:w="34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80" w:type="dxa"/>
            <w:vAlign w:val="bottom"/>
            <w:gridSpan w:val="12"/>
          </w:tcPr>
          <w:p>
            <w:pPr>
              <w:ind w:left="520"/>
              <w:spacing w:after="0"/>
              <w:rPr>
                <w:sz w:val="20"/>
                <w:szCs w:val="20"/>
                <w:color w:val="auto"/>
              </w:rPr>
            </w:pPr>
            <w:r>
              <w:rPr>
                <w:rFonts w:ascii="Arial" w:cs="Arial" w:eastAsia="Arial" w:hAnsi="Arial"/>
                <w:sz w:val="18"/>
                <w:szCs w:val="18"/>
                <w:color w:val="auto"/>
              </w:rPr>
              <w:t>F-1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Investment Corporation and its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121" w:lineRule="exact"/>
        <w:rPr>
          <w:sz w:val="20"/>
          <w:szCs w:val="20"/>
          <w:color w:val="auto"/>
        </w:rPr>
      </w:pPr>
    </w:p>
    <w:p>
      <w:pPr>
        <w:jc w:val="both"/>
        <w:ind w:left="200" w:right="100" w:firstLine="441"/>
        <w:spacing w:after="0" w:line="273" w:lineRule="auto"/>
        <w:rPr>
          <w:sz w:val="20"/>
          <w:szCs w:val="20"/>
          <w:color w:val="auto"/>
        </w:rPr>
      </w:pPr>
      <w:r>
        <w:rPr>
          <w:rFonts w:ascii="Arial" w:cs="Arial" w:eastAsia="Arial" w:hAnsi="Arial"/>
          <w:sz w:val="17"/>
          <w:szCs w:val="17"/>
          <w:color w:val="auto"/>
        </w:rPr>
        <w:t>We have reviewed the accompanying consolidated statement of assets and liabilities of PennantPark Investment Corporation and its Subsidiaries (collectively referred to as the “Company”), including the consolidated schedule of investments, as of December 31, 2018, and the related consolidated statements of operations, the related consolidated statements of changes in net assets, and cash flows for the three-month periods ended December 31, 2018 and 2017, and the related notes to the consolidated financial statements (collectively, the interim financial statements). Based on our reviews, we are not aware of any material modifications that should be made to the consolidated financial statements referred to above for them to be in conformity with accounting principles generally accepted in the United States of America.</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2018, and the related consolidated statements of operations, changes in net assets, and cash flows for the year then ended (not presented herein), and in our report dated November 15, 2018, we expressed an unqualified opinion on those financial statements. In our opinion, the information set forth in the accompanying consolidated statement of assets and liabilities as of September 30, 2018, is fairly stated, in all material respects, in relation to the balance sheet from which it has been derived.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Review Results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7, 2019</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Pr>
          <w:p>
            <w:pPr>
              <w:spacing w:after="0"/>
              <w:rPr>
                <w:sz w:val="14"/>
                <w:szCs w:val="14"/>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Non-controlled, non-affiliated investments (cost—$987,929,505 and $896,720,950, respectively)</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989,515,879</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905,271,258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Non-controlled, affiliated investments (cost—$74,369,962 and $91,520,908, respectively)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49,057,619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78,078,331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 (cost—$261,311,677 and $255,574,317, respectively)</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152,880,313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148,735,885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Total of investments (cost—$1,323,611,144 and $1,243,816,175, respectively)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1,191,453,811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1,132,085,474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(cost—$24,657,870 and $19,543,625, respectively)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24,653,889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5,506,564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7,606,964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1,221,766,808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1,160,118,827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12,244,957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12,429,712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18,172,125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Credit Facility payable (cost—$174,136,000 and $80,520,000, respectively) (See Notes 5 and 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167,088,178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77,645,830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2019 Notes payable (par—$250,000,000) (See Notes 5 and 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249,430,000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spacing w:after="0" w:line="201" w:lineRule="exact"/>
              <w:rPr>
                <w:sz w:val="20"/>
                <w:szCs w:val="20"/>
                <w:color w:val="auto"/>
              </w:rPr>
            </w:pPr>
            <w:r>
              <w:rPr>
                <w:rFonts w:ascii="Arial" w:cs="Arial" w:eastAsia="Arial" w:hAnsi="Arial"/>
                <w:sz w:val="18"/>
                <w:szCs w:val="18"/>
                <w:color w:val="auto"/>
                <w:w w:val="97"/>
              </w:rPr>
              <w:t>SBA debentures payable, net (par—$150,000,000 and $180,000,000, respectively) (See Notes 5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1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145,789,777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175,373,229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net (See Note 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4,419,262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4,086,831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Performance-based incentive fee payable, net (See Note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2,667,270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2,964,265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6,576,393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1,007,040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605,825,703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531,216,932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spacing w:after="0" w:line="201" w:lineRule="exact"/>
              <w:rPr>
                <w:sz w:val="20"/>
                <w:szCs w:val="20"/>
                <w:color w:val="auto"/>
              </w:rPr>
            </w:pPr>
            <w:r>
              <w:rPr>
                <w:rFonts w:ascii="Arial" w:cs="Arial" w:eastAsia="Arial" w:hAnsi="Arial"/>
                <w:sz w:val="18"/>
                <w:szCs w:val="18"/>
                <w:color w:val="auto"/>
              </w:rPr>
              <w:t>Common stock, 68,027,537 and 69,053,958 shares issued and outstanding, respectively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Par value $0.001 per share and 100,000,000 shares authorized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68,028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69,054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796,236,224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803,729,220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6,333,033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6,003,360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(62,157,643)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(70,687,629)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(132,156,359)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(111,763,780)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debt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7,617,822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1,551,670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615,941,105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628,901,895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1,221,766,808</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1,160,118,827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23,508,581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21,383,219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1,246,016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1,284,909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1,586,642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1,215,834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108,625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1,573,306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1,788,603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480,430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in kind</w:t>
            </w:r>
          </w:p>
        </w:tc>
        <w:tc>
          <w:tcPr>
            <w:tcW w:w="1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1,144,085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1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27,380,001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28,668,425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4,419,262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5,735,137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3,185,204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Interest and expenses on debt (See Note 10)</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6,278,847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5,857,378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521,625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628,290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Expenses before Management Fees waiver and provision for taxes</w:t>
            </w:r>
          </w:p>
        </w:tc>
        <w:tc>
          <w:tcPr>
            <w:tcW w:w="1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14,505,371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15,927,634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Management Fees waiver (See Note 3)</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(1,427,253)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taxes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340"/>
              <w:spacing w:after="0"/>
              <w:rPr>
                <w:sz w:val="20"/>
                <w:szCs w:val="20"/>
                <w:color w:val="auto"/>
              </w:rPr>
            </w:pPr>
            <w:r>
              <w:rPr>
                <w:rFonts w:ascii="Arial" w:cs="Arial" w:eastAsia="Arial" w:hAnsi="Arial"/>
                <w:sz w:val="18"/>
                <w:szCs w:val="18"/>
                <w:b w:val="1"/>
                <w:bCs w:val="1"/>
                <w:color w:val="auto"/>
              </w:rPr>
              <w:t>Net expenses</w:t>
            </w:r>
          </w:p>
        </w:tc>
        <w:tc>
          <w:tcPr>
            <w:tcW w:w="1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14,805,371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14,500,381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1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14,168,044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on investments and debt:</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 on:</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3,737,919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1,793,043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1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4,792,067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1,980,440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b w:val="1"/>
                <w:bCs w:val="1"/>
                <w:color w:val="auto"/>
              </w:rPr>
              <w:t>Net realized gain on investments</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8,529,986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3,773,483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on:</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(6,929,882)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1,738,065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(13,462,697)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(8,510,961)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Debt depreciation (See Notes 5 and 10)</w:t>
            </w: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6,066,152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1,126,766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 in unrealized depreciation on investments and debt</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(14,326,427)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(5,646,130)</w:t>
            </w: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loss from investments and debt</w:t>
            </w:r>
          </w:p>
        </w:tc>
        <w:tc>
          <w:tcPr>
            <w:tcW w:w="1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(5,796,441)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(1,872,647)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6,778,189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12,295,397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12,574,630</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14,168,044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on investments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8,529,986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3,773,483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Net change in unrealized depreciation on investments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(20,392,579)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(6,772,896)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depreciation on debt</w:t>
            </w:r>
          </w:p>
        </w:tc>
        <w:tc>
          <w:tcPr>
            <w:tcW w:w="2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1,126,766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6,778,189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12,295,397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(12,244,957)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(12,790,950)</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Capital transactions:</w:t>
            </w:r>
          </w:p>
        </w:tc>
        <w:tc>
          <w:tcPr>
            <w:tcW w:w="2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(7,494,022)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net assets</w:t>
            </w:r>
          </w:p>
        </w:tc>
        <w:tc>
          <w:tcPr>
            <w:tcW w:w="20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(12,960,790)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(495,553)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Beginning of period</w:t>
            </w: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628,901,895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646,808,471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615,941,105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646,312,918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340"/>
              <w:spacing w:after="0"/>
              <w:rPr>
                <w:sz w:val="20"/>
                <w:szCs w:val="20"/>
                <w:color w:val="auto"/>
              </w:rPr>
            </w:pPr>
            <w:r>
              <w:rPr>
                <w:rFonts w:ascii="Arial" w:cs="Arial" w:eastAsia="Arial" w:hAnsi="Arial"/>
                <w:sz w:val="18"/>
                <w:szCs w:val="18"/>
                <w:color w:val="auto"/>
              </w:rPr>
              <w:t>Undistributed net investment income, at end of period</w:t>
            </w: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4,710,289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Shares of common stock repurchased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(1,026,421)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200" w:lineRule="exact"/>
        <w:rPr>
          <w:sz w:val="20"/>
          <w:szCs w:val="20"/>
          <w:color w:val="auto"/>
        </w:rPr>
      </w:pP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70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6,778,189</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12,295,397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6"/>
              </w:rPr>
              <w:t>Adjustments to reconcile net increase in net assets resulting from operations to net cash (used 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provided by operating activities: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Net change in net unrealized depreciation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20,392,579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6,772,896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change in unrealized depreciation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(6,066,152)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Net realized gain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(8,529,986)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(3,773,483)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(729,769)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(194,455,970)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(138,433,423)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Payment-in-kind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(1,922,358)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125,791,017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192,303,018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416,548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Decrease (increase) in interest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2,100,400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(1,852,834)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 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767,691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Increase (decrease) in payable for investments purchased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18,172,125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 interest payable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(1,569,299)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Increase (decrease) in base management fee payable,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332,431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increase in performance-based incentive fee payable,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(296,995)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Increase in accrued other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188,868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(38,630,681)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62,388,387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Repurchase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(7,494,022)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(12,429,712)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(12,790,950)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Repayments under SBA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(30,000,000)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Borrowings under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217,000,000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Repayments under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(123,384,000)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(91,000,000)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142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43,692,266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(27,790,950)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5,061,585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34,597,437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86,150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38,202,068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24,653,889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72,832,675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7,431,597</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6,852,037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340"/>
              <w:spacing w:after="0"/>
              <w:rPr>
                <w:sz w:val="20"/>
                <w:szCs w:val="20"/>
                <w:color w:val="auto"/>
              </w:rPr>
            </w:pPr>
            <w:r>
              <w:rPr>
                <w:rFonts w:ascii="Arial" w:cs="Arial" w:eastAsia="Arial" w:hAnsi="Arial"/>
                <w:sz w:val="18"/>
                <w:szCs w:val="18"/>
                <w:color w:val="auto"/>
              </w:rPr>
              <w:t>Non-cash exchanges and conversions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12,697,510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Maturity /</w:t>
            </w:r>
          </w:p>
        </w:tc>
        <w:tc>
          <w:tcPr>
            <w:tcW w:w="26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Industry</w:t>
            </w:r>
          </w:p>
        </w:tc>
        <w:tc>
          <w:tcPr>
            <w:tcW w:w="84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Above</w:t>
            </w:r>
          </w:p>
        </w:tc>
        <w:tc>
          <w:tcPr>
            <w:tcW w:w="58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gridSpan w:val="2"/>
            <w:vMerge w:val="continue"/>
          </w:tcPr>
          <w:p>
            <w:pPr>
              <w:spacing w:after="0"/>
              <w:rPr>
                <w:sz w:val="12"/>
                <w:szCs w:val="12"/>
                <w:color w:val="auto"/>
              </w:rPr>
            </w:pPr>
          </w:p>
        </w:tc>
        <w:tc>
          <w:tcPr>
            <w:tcW w:w="1580" w:type="dxa"/>
            <w:vAlign w:val="bottom"/>
          </w:tcPr>
          <w:p>
            <w:pPr>
              <w:jc w:val="right"/>
              <w:ind w:right="162"/>
              <w:spacing w:after="0"/>
              <w:rPr>
                <w:sz w:val="20"/>
                <w:szCs w:val="20"/>
                <w:color w:val="auto"/>
              </w:rPr>
            </w:pPr>
            <w:r>
              <w:rPr>
                <w:rFonts w:ascii="Arial" w:cs="Arial" w:eastAsia="Arial" w:hAnsi="Arial"/>
                <w:sz w:val="12"/>
                <w:szCs w:val="12"/>
                <w:b w:val="1"/>
                <w:bCs w:val="1"/>
                <w:color w:val="auto"/>
              </w:rPr>
              <w:t>Expiration</w:t>
            </w:r>
          </w:p>
        </w:tc>
        <w:tc>
          <w:tcPr>
            <w:tcW w:w="2600" w:type="dxa"/>
            <w:vAlign w:val="bottom"/>
            <w:gridSpan w:val="2"/>
            <w:vMerge w:val="continue"/>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6"/>
              </w:rPr>
              <w:t>Coupon</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580" w:type="dxa"/>
            <w:vAlign w:val="bottom"/>
          </w:tcPr>
          <w:p>
            <w:pPr>
              <w:jc w:val="right"/>
              <w:ind w:right="6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9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6"/>
              </w:rPr>
              <w:t xml:space="preserve">Investments in Non-Controlled, Non-Affiliated Portfolio Companies—160.7% </w:t>
            </w:r>
            <w:r>
              <w:rPr>
                <w:rFonts w:ascii="Arial" w:cs="Arial" w:eastAsia="Arial" w:hAnsi="Arial"/>
                <w:sz w:val="9"/>
                <w:szCs w:val="9"/>
                <w:b w:val="1"/>
                <w:bCs w:val="1"/>
                <w:color w:val="auto"/>
                <w:w w:val="96"/>
              </w:rPr>
              <w:t>(1), (2)</w:t>
            </w:r>
          </w:p>
        </w:tc>
        <w:tc>
          <w:tcPr>
            <w:tcW w:w="2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Debt—78.6%</w:t>
            </w:r>
          </w:p>
        </w:tc>
        <w:tc>
          <w:tcPr>
            <w:tcW w:w="15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Allied America, Inc.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08/08/2022</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9.81%</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21,358,192</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21,057,856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21,384,889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08/08/2022</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2,000,000</w:t>
            </w:r>
          </w:p>
        </w:tc>
        <w:tc>
          <w:tcPr>
            <w:tcW w:w="14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Insulated Glass, LLC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12/21/2023</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7.98%</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3M 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31,200,000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30,580,416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30,576,000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12/21/2023</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1,350,649</w:t>
            </w:r>
          </w:p>
        </w:tc>
        <w:tc>
          <w:tcPr>
            <w:tcW w:w="14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Bazaarvoice, Inc.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02/01/2024</w:t>
            </w:r>
          </w:p>
        </w:tc>
        <w:tc>
          <w:tcPr>
            <w:tcW w:w="26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Printing and Publishing</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8.10%</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1M L+575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14,887,500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14,749,371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14,738,625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Bottom Line Systems, LLC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02/13/2023</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10.02%</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1M L+750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19,583,330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19,354,443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12/02/2022</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11.31%</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31,515,152</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31,516,838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31,515,152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Cano Health, LLC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12/23/2021</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8.58%</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1M 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37,358,331</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36,817,568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37,358,331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DermaRite Industries LLC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03/03/2022</w:t>
            </w:r>
          </w:p>
        </w:tc>
        <w:tc>
          <w:tcPr>
            <w:tcW w:w="26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9.52%</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9,825,000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9,720,195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9,557,457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Deva Holdings, Inc.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10/31/2023</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8.77%</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3M 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4,520,316</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4,446,372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4,520,316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10/31/2022</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385,000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06/09/2023</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10.80%</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3M L+800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19,713,838</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19,400,776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18,728,146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Group, LLC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06/27/2023</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9.30%</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3M L+650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27,410,052</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27,221,921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27,273,002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Juniper Landscaping of Florida, LLC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12/22/2021</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11.85%</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1M L+950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14,171,119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13,977,311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14,171,119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K2 Pure Solutions NoCal, L.P.</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12/20/2023</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Chemicals, Plastics and Rubber</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7.84%</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1M L+525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27,133,333</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26,727,301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26,726,333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(Revolver) </w:t>
            </w:r>
            <w:r>
              <w:rPr>
                <w:rFonts w:ascii="Arial" w:cs="Arial" w:eastAsia="Arial" w:hAnsi="Arial"/>
                <w:sz w:val="9"/>
                <w:szCs w:val="9"/>
                <w:color w:val="auto"/>
              </w:rPr>
              <w:t>(7)</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12/20/2023</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Chemicals, Plastics and Rubber</w:t>
            </w: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1,938,095</w:t>
            </w:r>
          </w:p>
        </w:tc>
        <w:tc>
          <w:tcPr>
            <w:tcW w:w="14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Ox Two, LLC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02/27/2023</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8.77%</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22,110,425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21,729,644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22,110,425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Ox Two, LLC (Revolver)</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02/27/2023</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12.75%</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P+725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750,000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02/27/2023</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2"/>
              </w:rPr>
              <w:t>Building Materials</w:t>
            </w:r>
          </w:p>
        </w:tc>
        <w:tc>
          <w:tcPr>
            <w:tcW w:w="8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1,750,000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Peninsula Pacific Entertainment LLC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11/13/2024</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Hotels, Motels, Inns and Gaming</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9.71%</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3M L+725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7,200,000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7,183,125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7,128,000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Peninsula Pacific Entertainment LLC </w:t>
            </w:r>
            <w:r>
              <w:rPr>
                <w:rFonts w:ascii="Arial" w:cs="Arial" w:eastAsia="Arial" w:hAnsi="Arial"/>
                <w:sz w:val="9"/>
                <w:szCs w:val="9"/>
                <w:color w:val="auto"/>
              </w:rPr>
              <w:t>(7)</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11/13/2024</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Hotels, Motels, Inns and Gaming</w:t>
            </w:r>
          </w:p>
        </w:tc>
        <w:tc>
          <w:tcPr>
            <w:tcW w:w="8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800,000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(11)</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06/01/2023</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5"/>
              </w:rPr>
              <w:t>Beverage, Food and Tobacco</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7.68%</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1M L+525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5,500,000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5,445,567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5,422,576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Provation Medical, Inc.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03/11/2024</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8"/>
              </w:rPr>
              <w:t>Electronics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9.42%</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27,000,000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26,396,785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26,392,500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Questex, LLC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09/09/2024</w:t>
            </w:r>
          </w:p>
        </w:tc>
        <w:tc>
          <w:tcPr>
            <w:tcW w:w="26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1"/>
              </w:rPr>
              <w:t>Media</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9.02%</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3M 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22,443,750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22,016,571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21,994,875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Questex, LLC (Revolver)</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09/09/2024</w:t>
            </w:r>
          </w:p>
        </w:tc>
        <w:tc>
          <w:tcPr>
            <w:tcW w:w="26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1"/>
              </w:rPr>
              <w:t>Media</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9.02%</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586,436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09/09/2024</w:t>
            </w:r>
          </w:p>
        </w:tc>
        <w:tc>
          <w:tcPr>
            <w:tcW w:w="26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1"/>
              </w:rPr>
              <w:t>Media</w:t>
            </w: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2,992,021</w:t>
            </w:r>
          </w:p>
        </w:tc>
        <w:tc>
          <w:tcPr>
            <w:tcW w:w="14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06/28/2022</w:t>
            </w:r>
          </w:p>
        </w:tc>
        <w:tc>
          <w:tcPr>
            <w:tcW w:w="26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1"/>
              </w:rPr>
              <w:t>Media</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8.60%</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22,359,375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21,955,122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21,800,390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06/28/2022</w:t>
            </w:r>
          </w:p>
        </w:tc>
        <w:tc>
          <w:tcPr>
            <w:tcW w:w="26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1"/>
              </w:rPr>
              <w:t>Media</w:t>
            </w: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9,121,622</w:t>
            </w:r>
          </w:p>
        </w:tc>
        <w:tc>
          <w:tcPr>
            <w:tcW w:w="14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(228,041)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 (Revolver)</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06/28/2022</w:t>
            </w:r>
          </w:p>
        </w:tc>
        <w:tc>
          <w:tcPr>
            <w:tcW w:w="26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1"/>
              </w:rPr>
              <w:t>Media</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8.60%</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810,811</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810,811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790,541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06/28/2022</w:t>
            </w:r>
          </w:p>
        </w:tc>
        <w:tc>
          <w:tcPr>
            <w:tcW w:w="26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1"/>
              </w:rPr>
              <w:t>Media</w:t>
            </w: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3,243,243</w:t>
            </w:r>
          </w:p>
        </w:tc>
        <w:tc>
          <w:tcPr>
            <w:tcW w:w="14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(81,081)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9.04%</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20,227,284</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19,982,458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20,227,284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5,506,214</w:t>
            </w:r>
          </w:p>
        </w:tc>
        <w:tc>
          <w:tcPr>
            <w:tcW w:w="14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 (Revolver)</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9.04%</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833,333</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833,333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833,333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Buildings and Real Estate</w:t>
            </w: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1,666,667</w:t>
            </w:r>
          </w:p>
        </w:tc>
        <w:tc>
          <w:tcPr>
            <w:tcW w:w="14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Triad Manufacturing, Inc.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12/28/2020</w:t>
            </w:r>
          </w:p>
        </w:tc>
        <w:tc>
          <w:tcPr>
            <w:tcW w:w="26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15.77%</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97"/>
              </w:rPr>
              <w:t>3M L+1,325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22,099,213</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21,885,003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21,325,740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US Dominion, Inc.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07/15/2024</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8"/>
              </w:rPr>
              <w:t>Electronics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9.28%</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3M L+675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29,850,000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29,358,834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29,850,000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07/15/2024</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8"/>
              </w:rPr>
              <w:t>Electronics</w:t>
            </w:r>
          </w:p>
        </w:tc>
        <w:tc>
          <w:tcPr>
            <w:tcW w:w="8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7,500,000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US Med Acquisition, Inc.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08/13/2021</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11.80%</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1M 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8,454,688</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8,454,688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8,031,952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Walker Edison Furniture Company LLC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09/26/2024</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0"/>
              </w:rPr>
              <w:t>Home and Office Furnishings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8.88%</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3M L+650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22,500,000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22,065,139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Whitney, Bradley &amp; Brown, Inc.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10/18/2022</w:t>
            </w:r>
          </w:p>
        </w:tc>
        <w:tc>
          <w:tcPr>
            <w:tcW w:w="26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11.53%</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1M 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19,183,125</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18,874,578</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19,183,125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158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483,910,430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484,232,914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Debt—65.5%</w:t>
            </w:r>
          </w:p>
        </w:tc>
        <w:tc>
          <w:tcPr>
            <w:tcW w:w="15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Condor Borrower, LLC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04/25/2025</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11.28%</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3M L+875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12,500,000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12,277,984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12,437,500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Confie Seguros Holding Co.</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10/31/2025</w:t>
            </w:r>
          </w:p>
        </w:tc>
        <w:tc>
          <w:tcPr>
            <w:tcW w:w="26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Insurance</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11.24%</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14,500,000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14,211,122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14,040,785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Inc.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03/31/2025</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5"/>
              </w:rPr>
              <w:t>Beverage, Food and Tobacco</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11.05%</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3M L+825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23,024,259</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22,619,598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23,024,259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Halo Buyer, Inc.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07/06/2026</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10.77%</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1M L+825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45,000,000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44,337,844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Inc.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04/03/2024</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0"/>
              </w:rPr>
              <w:t>Other Media</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12.05%</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3M L+925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20,400,000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20,068,042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Integrity Marketing Partners, LLC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11/30/2026</w:t>
            </w:r>
          </w:p>
        </w:tc>
        <w:tc>
          <w:tcPr>
            <w:tcW w:w="26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Insurance</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11.21%</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20,769,231</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20,474,544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20,561,538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Integrity Marketing Partners, LLC </w:t>
            </w:r>
            <w:r>
              <w:rPr>
                <w:rFonts w:ascii="Arial" w:cs="Arial" w:eastAsia="Arial" w:hAnsi="Arial"/>
                <w:sz w:val="9"/>
                <w:szCs w:val="9"/>
                <w:color w:val="auto"/>
              </w:rPr>
              <w:t>(7)</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11/30/2026</w:t>
            </w:r>
          </w:p>
        </w:tc>
        <w:tc>
          <w:tcPr>
            <w:tcW w:w="26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Insurance</w:t>
            </w:r>
          </w:p>
        </w:tc>
        <w:tc>
          <w:tcPr>
            <w:tcW w:w="8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2,373,626</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(23,736)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tcPr>
          <w:p>
            <w:pPr>
              <w:spacing w:after="0" w:line="129"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158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03/01/2019</w:t>
            </w:r>
          </w:p>
        </w:tc>
        <w:tc>
          <w:tcPr>
            <w:tcW w:w="2600" w:type="dxa"/>
            <w:vAlign w:val="bottom"/>
            <w:gridSpan w:val="2"/>
          </w:tcPr>
          <w:p>
            <w:pPr>
              <w:jc w:val="center"/>
              <w:ind w:right="160"/>
              <w:spacing w:after="0" w:line="129" w:lineRule="exact"/>
              <w:rPr>
                <w:sz w:val="20"/>
                <w:szCs w:val="20"/>
                <w:color w:val="auto"/>
              </w:rPr>
            </w:pPr>
            <w:r>
              <w:rPr>
                <w:rFonts w:ascii="Arial" w:cs="Arial" w:eastAsia="Arial" w:hAnsi="Arial"/>
                <w:sz w:val="12"/>
                <w:szCs w:val="12"/>
                <w:color w:val="auto"/>
                <w:w w:val="86"/>
              </w:rPr>
              <w:t>Cargo Transport</w:t>
            </w:r>
          </w:p>
        </w:tc>
        <w:tc>
          <w:tcPr>
            <w:tcW w:w="84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11.00%</w:t>
            </w:r>
          </w:p>
        </w:tc>
        <w:tc>
          <w:tcPr>
            <w:tcW w:w="780" w:type="dxa"/>
            <w:vAlign w:val="bottom"/>
            <w:gridSpan w:val="2"/>
          </w:tcPr>
          <w:p>
            <w:pPr>
              <w:ind w:left="46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481,052</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468,352</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481,052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w w:val="95"/>
              </w:rPr>
              <w:t>(PIK 11.00%)</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MailSouth, Inc.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10/23/2024</w:t>
            </w:r>
          </w:p>
        </w:tc>
        <w:tc>
          <w:tcPr>
            <w:tcW w:w="26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Printing and Publishing</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12.00%</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6M L+925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48,425,000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47,511,267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47,456,500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MBS Holdings, Inc.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01/02/2024</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Telecommunications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10.85%</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15,000,000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14,720,490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14,700,000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12/17/2021</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Hotels, Motels, Inns and Gaming</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14.80%</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97"/>
              </w:rPr>
              <w:t>3M L+1,200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76,500,000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76,500,000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83,062,990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PT Network, LLC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04/12/2023</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12.43%</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w w:val="97"/>
              </w:rPr>
              <w:t>3M L+1,000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41,666,667</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40,989,222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41,041,667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Shift4 Payments, LLC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11/28/2025</w:t>
            </w:r>
          </w:p>
        </w:tc>
        <w:tc>
          <w:tcPr>
            <w:tcW w:w="26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Financial Services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11.03%</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37,000,000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36,844,123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36,722,500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line="135" w:lineRule="exact"/>
              <w:rPr>
                <w:sz w:val="20"/>
                <w:szCs w:val="20"/>
                <w:color w:val="auto"/>
              </w:rPr>
            </w:pPr>
            <w:r>
              <w:rPr>
                <w:rFonts w:ascii="Arial" w:cs="Arial" w:eastAsia="Arial" w:hAnsi="Arial"/>
                <w:sz w:val="12"/>
                <w:szCs w:val="12"/>
                <w:color w:val="auto"/>
              </w:rPr>
              <w:t>VT Topco, Inc.</w:t>
            </w:r>
          </w:p>
        </w:tc>
        <w:tc>
          <w:tcPr>
            <w:tcW w:w="15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08/24/2026</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5"/>
              </w:rPr>
              <w:t>Business Services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9.80%</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1M L+700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12,500,000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12,437,500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12,468,750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Winter Park Intermediate, Inc.</w:t>
            </w:r>
          </w:p>
        </w:tc>
        <w:tc>
          <w:tcPr>
            <w:tcW w:w="15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04/06/2026</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Auto Sector</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11.02%</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32,800,000</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32,186,662</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32,472,000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15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395,646,750</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403,170,805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3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2"/>
              </w:rPr>
              <w:t>Industry</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860" w:type="dxa"/>
            <w:vAlign w:val="bottom"/>
            <w:gridSpan w:val="2"/>
            <w:vMerge w:val="continue"/>
          </w:tcPr>
          <w:p>
            <w:pPr>
              <w:spacing w:after="0"/>
              <w:rPr>
                <w:sz w:val="12"/>
                <w:szCs w:val="12"/>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Expiration</w:t>
            </w:r>
          </w:p>
        </w:tc>
        <w:tc>
          <w:tcPr>
            <w:tcW w:w="2380" w:type="dxa"/>
            <w:vAlign w:val="bottom"/>
            <w:gridSpan w:val="2"/>
            <w:vMerge w:val="continue"/>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Coupon</w:t>
            </w:r>
          </w:p>
        </w:tc>
        <w:tc>
          <w:tcPr>
            <w:tcW w:w="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Notes—7.8%</w:t>
            </w: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line="129" w:lineRule="exact"/>
              <w:rPr>
                <w:sz w:val="20"/>
                <w:szCs w:val="20"/>
                <w:color w:val="auto"/>
              </w:rPr>
            </w:pPr>
            <w:r>
              <w:rPr>
                <w:rFonts w:ascii="Arial" w:cs="Arial" w:eastAsia="Arial" w:hAnsi="Arial"/>
                <w:sz w:val="12"/>
                <w:szCs w:val="12"/>
                <w:color w:val="auto"/>
              </w:rPr>
              <w:t>Blackhawk Industrial Distribution, Inc.</w:t>
            </w:r>
          </w:p>
        </w:tc>
        <w:tc>
          <w:tcPr>
            <w:tcW w:w="680" w:type="dxa"/>
            <w:vAlign w:val="bottom"/>
          </w:tcPr>
          <w:p>
            <w:pPr>
              <w:ind w:left="140"/>
              <w:spacing w:after="0" w:line="129" w:lineRule="exact"/>
              <w:rPr>
                <w:sz w:val="20"/>
                <w:szCs w:val="20"/>
                <w:color w:val="auto"/>
              </w:rPr>
            </w:pPr>
            <w:r>
              <w:rPr>
                <w:rFonts w:ascii="Arial" w:cs="Arial" w:eastAsia="Arial" w:hAnsi="Arial"/>
                <w:sz w:val="12"/>
                <w:szCs w:val="12"/>
                <w:color w:val="auto"/>
                <w:w w:val="86"/>
              </w:rPr>
              <w:t>03/17/2025</w:t>
            </w:r>
          </w:p>
        </w:tc>
        <w:tc>
          <w:tcPr>
            <w:tcW w:w="160" w:type="dxa"/>
            <w:vAlign w:val="bottom"/>
          </w:tcPr>
          <w:p>
            <w:pPr>
              <w:spacing w:after="0"/>
              <w:rPr>
                <w:sz w:val="11"/>
                <w:szCs w:val="11"/>
                <w:color w:val="auto"/>
              </w:rPr>
            </w:pPr>
          </w:p>
        </w:tc>
        <w:tc>
          <w:tcPr>
            <w:tcW w:w="238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93"/>
              </w:rPr>
              <w:t>Distribution</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12.00%</w:t>
            </w:r>
          </w:p>
        </w:tc>
        <w:tc>
          <w:tcPr>
            <w:tcW w:w="80" w:type="dxa"/>
            <w:vAlign w:val="bottom"/>
          </w:tcPr>
          <w:p>
            <w:pPr>
              <w:spacing w:after="0"/>
              <w:rPr>
                <w:sz w:val="11"/>
                <w:szCs w:val="11"/>
                <w:color w:val="auto"/>
              </w:rPr>
            </w:pPr>
          </w:p>
        </w:tc>
        <w:tc>
          <w:tcPr>
            <w:tcW w:w="72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13,569,534</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8"/>
              </w:rPr>
              <w:t>$  13,307,183</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13,569,534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(PIK 2.00%)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Cascade Environmental LLC</w:t>
            </w:r>
          </w:p>
        </w:tc>
        <w:tc>
          <w:tcPr>
            <w:tcW w:w="68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w w:val="86"/>
              </w:rPr>
              <w:t>08/20/2021</w:t>
            </w:r>
          </w:p>
        </w:tc>
        <w:tc>
          <w:tcPr>
            <w:tcW w:w="16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Environmental Services</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36,955,649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36,580,410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34,553,533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95"/>
              </w:rPr>
              <w:t>(PIK 13.00%)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49,887,593</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48,123,067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Interests—0.3% </w:t>
            </w:r>
            <w:r>
              <w:rPr>
                <w:rFonts w:ascii="Arial" w:cs="Arial" w:eastAsia="Arial" w:hAnsi="Arial"/>
                <w:sz w:val="9"/>
                <w:szCs w:val="9"/>
                <w:b w:val="1"/>
                <w:bCs w:val="1"/>
                <w:color w:val="auto"/>
              </w:rPr>
              <w:t>(6)</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AH Holdings, Inc.</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6.00%</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211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462,602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36,450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546,750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584,633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556,000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68,981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556,000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527,701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1,602,750</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1,643,917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Equity/Partnership Interests/Warrants—8.5% </w:t>
            </w:r>
            <w:r>
              <w:rPr>
                <w:rFonts w:ascii="Arial" w:cs="Arial" w:eastAsia="Arial" w:hAnsi="Arial"/>
                <w:sz w:val="9"/>
                <w:szCs w:val="9"/>
                <w:b w:val="1"/>
                <w:bCs w:val="1"/>
                <w:color w:val="auto"/>
              </w:rPr>
              <w:t>(6)</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AH Holdings, Inc. (Warrants)</w:t>
            </w:r>
          </w:p>
        </w:tc>
        <w:tc>
          <w:tcPr>
            <w:tcW w:w="680" w:type="dxa"/>
            <w:vAlign w:val="bottom"/>
          </w:tcPr>
          <w:p>
            <w:pPr>
              <w:ind w:left="140"/>
              <w:spacing w:after="0" w:line="135" w:lineRule="exact"/>
              <w:rPr>
                <w:sz w:val="20"/>
                <w:szCs w:val="20"/>
                <w:color w:val="auto"/>
              </w:rPr>
            </w:pPr>
            <w:r>
              <w:rPr>
                <w:rFonts w:ascii="Arial" w:cs="Arial" w:eastAsia="Arial" w:hAnsi="Arial"/>
                <w:sz w:val="12"/>
                <w:szCs w:val="12"/>
                <w:color w:val="auto"/>
                <w:w w:val="86"/>
              </w:rPr>
              <w:t>03/23/2021</w:t>
            </w:r>
          </w:p>
        </w:tc>
        <w:tc>
          <w:tcPr>
            <w:tcW w:w="160" w:type="dxa"/>
            <w:vAlign w:val="bottom"/>
          </w:tcPr>
          <w:p>
            <w:pPr>
              <w:spacing w:after="0"/>
              <w:rPr>
                <w:sz w:val="11"/>
                <w:szCs w:val="11"/>
                <w:color w:val="auto"/>
              </w:rPr>
            </w:pP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(9)</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650,000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650,000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(7), (9)</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68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w w:val="86"/>
              </w:rPr>
              <w:t>05/05/2026</w:t>
            </w:r>
          </w:p>
        </w:tc>
        <w:tc>
          <w:tcPr>
            <w:tcW w:w="16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Education</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933</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586,975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1,866,067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Autumn Games, LLC</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Broadcasting and Entertainment</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1,333,330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3,000,000</w:t>
            </w:r>
          </w:p>
        </w:tc>
        <w:tc>
          <w:tcPr>
            <w:tcW w:w="140" w:type="dxa"/>
            <w:vAlign w:val="bottom"/>
          </w:tcPr>
          <w:p>
            <w:pPr>
              <w:spacing w:after="0"/>
              <w:rPr>
                <w:sz w:val="11"/>
                <w:szCs w:val="11"/>
                <w:color w:val="auto"/>
              </w:rPr>
            </w:pP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6"/>
              </w:rPr>
              <w:t xml:space="preserve">Cardinal Logistics Holdings LLC (Intermediate Transportation 100, LLC) </w:t>
            </w:r>
            <w:r>
              <w:rPr>
                <w:rFonts w:ascii="Arial" w:cs="Arial" w:eastAsia="Arial" w:hAnsi="Arial"/>
                <w:sz w:val="9"/>
                <w:szCs w:val="9"/>
                <w:color w:val="auto"/>
                <w:w w:val="96"/>
              </w:rPr>
              <w:t>(9)</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6"/>
              </w:rPr>
              <w:t>Cargo Transport</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(13)</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5,411,024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3,611,080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Environmental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33,901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2,852,080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520,736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(Allied) Investment Holdings, LLC (Allied America, Inc.) </w:t>
            </w:r>
            <w:r>
              <w:rPr>
                <w:rFonts w:ascii="Arial" w:cs="Arial" w:eastAsia="Arial" w:hAnsi="Arial"/>
                <w:sz w:val="9"/>
                <w:szCs w:val="9"/>
                <w:color w:val="auto"/>
              </w:rPr>
              <w:t>(9)</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112,001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1,153,614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1,312,852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333,333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CI (Summit) Investment Holdings LLC (SFP Holdings, Inc.)</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Buildings and Real Estate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1,287,386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Cowboy Parent LLC (Blackhawk Industrial Distribution, Inc.)</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3"/>
              </w:rPr>
              <w:t>Distribution</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22,500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2,250,000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2,535,289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Holdings Inc.</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Beverage, Food and Tobacco</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3,448,658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5,212,753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Financial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1,004,625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1,012,082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2"/>
              </w:rPr>
              <w:t>Building Materials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4,277</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217,635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1,177,113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 xml:space="preserve">Go Dawgs Capital III, LP (American Insulated Glass, LLC) </w:t>
            </w:r>
            <w:r>
              <w:rPr>
                <w:rFonts w:ascii="Arial" w:cs="Arial" w:eastAsia="Arial" w:hAnsi="Arial"/>
                <w:sz w:val="9"/>
                <w:szCs w:val="9"/>
                <w:color w:val="auto"/>
              </w:rPr>
              <w:t>(9)</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2"/>
              </w:rPr>
              <w:t>Building Materials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675,325</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675,325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675,325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Green Veracity Holdings, LP—Class A (VT Topco, Inc.)</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1,308,318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Infogroup Parent Holdings, Inc.</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0"/>
              </w:rPr>
              <w:t>Other Media</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181,495</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1,940,195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204,985</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2,049,849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3,839,997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JWC-WE Holdings, L.P. (Walker Edison Furniture Company LLC)</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0"/>
              </w:rPr>
              <w:t>Home and Office Furnishings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1,906,433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1,906,433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1,906,433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252,014</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2,265,639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524,189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3"/>
              </w:rPr>
              <w:t>Distribution</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19</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493,280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686,222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Environmental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495,249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495,249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623,125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SSC Dominion Holdings, LLC Class A (US Dominion, Inc.)</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Electronics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1,500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SSC Dominion Holdings, LLC Class B (US Dominion, Inc.)</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Electronics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552,896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 xml:space="preserve">U.S. Well Services, Inc.—Class A </w:t>
            </w:r>
            <w:r>
              <w:rPr>
                <w:rFonts w:ascii="Arial" w:cs="Arial" w:eastAsia="Arial" w:hAnsi="Arial"/>
                <w:sz w:val="9"/>
                <w:szCs w:val="9"/>
                <w:color w:val="auto"/>
              </w:rPr>
              <w:t>(11), (12)</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Oil and Gas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81,383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813,830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528,990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USWS Holdings, LLC </w:t>
            </w:r>
            <w:r>
              <w:rPr>
                <w:rFonts w:ascii="Arial" w:cs="Arial" w:eastAsia="Arial" w:hAnsi="Arial"/>
                <w:sz w:val="9"/>
                <w:szCs w:val="9"/>
                <w:color w:val="auto"/>
              </w:rPr>
              <w:t>(9), (11)</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Oil and Gas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1,188,368</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11,883,680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6,372,623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 xml:space="preserve">WBB Equity, LLC (Whitney, Bradley &amp; Brown, Inc.) </w:t>
            </w:r>
            <w:r>
              <w:rPr>
                <w:rFonts w:ascii="Arial" w:cs="Arial" w:eastAsia="Arial" w:hAnsi="Arial"/>
                <w:sz w:val="9"/>
                <w:szCs w:val="9"/>
                <w:color w:val="auto"/>
              </w:rPr>
              <w:t>(9)</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Aerospace and Defense</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628,571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628,571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1,269,714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Wheel Pros Holdings, L.P. (Winter Park Intermediate, Inc.)</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Auto Sector</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3,200,000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5,592,775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(9)</w:t>
            </w: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856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855,515</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839,016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Equity/Partnership Interests/Warrants</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56,881,982</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52,345,176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rPr>
                <w:sz w:val="20"/>
                <w:szCs w:val="20"/>
                <w:color w:val="auto"/>
              </w:rPr>
            </w:pPr>
            <w:r>
              <w:rPr>
                <w:rFonts w:ascii="Arial" w:cs="Arial" w:eastAsia="Arial" w:hAnsi="Arial"/>
                <w:sz w:val="12"/>
                <w:szCs w:val="12"/>
                <w:b w:val="1"/>
                <w:bCs w:val="1"/>
                <w:color w:val="auto"/>
                <w:w w:val="93"/>
              </w:rPr>
              <w:t>Total Investments in Non-Controlled, Non-Affiliated Portfolio Companies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987,929,505</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989,515,879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0"/>
              </w:rPr>
              <w:t xml:space="preserve">Investments in Non-Controlled, Affiliated Portfolio Companies—8.0% </w:t>
            </w:r>
            <w:r>
              <w:rPr>
                <w:rFonts w:ascii="Arial" w:cs="Arial" w:eastAsia="Arial" w:hAnsi="Arial"/>
                <w:sz w:val="9"/>
                <w:szCs w:val="9"/>
                <w:b w:val="1"/>
                <w:bCs w:val="1"/>
                <w:color w:val="auto"/>
                <w:w w:val="90"/>
              </w:rPr>
              <w:t>(1), (2)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2"/>
                <w:szCs w:val="12"/>
                <w:b w:val="1"/>
                <w:bCs w:val="1"/>
                <w:color w:val="auto"/>
              </w:rPr>
              <w:t xml:space="preserve">Preferred Equity—1.5% </w:t>
            </w:r>
            <w:r>
              <w:rPr>
                <w:rFonts w:ascii="Arial" w:cs="Arial" w:eastAsia="Arial" w:hAnsi="Arial"/>
                <w:sz w:val="9"/>
                <w:szCs w:val="9"/>
                <w:b w:val="1"/>
                <w:bCs w:val="1"/>
                <w:color w:val="auto"/>
              </w:rPr>
              <w:t>(6)</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Oil and Gas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23,269</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2,326,900</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9,307,600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6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2,326,900</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9,307,600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center"/>
              <w:ind w:left="22"/>
              <w:spacing w:after="0"/>
              <w:rPr>
                <w:sz w:val="20"/>
                <w:szCs w:val="20"/>
                <w:color w:val="auto"/>
              </w:rPr>
            </w:pPr>
            <w:r>
              <w:rPr>
                <w:rFonts w:ascii="Arial" w:cs="Arial" w:eastAsia="Arial" w:hAnsi="Arial"/>
                <w:sz w:val="12"/>
                <w:szCs w:val="12"/>
                <w:b w:val="1"/>
                <w:bCs w:val="1"/>
                <w:color w:val="auto"/>
                <w:w w:val="85"/>
              </w:rPr>
              <w:t>Basis Point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4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8"/>
              </w:rPr>
              <w:t>Industry</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80" w:type="dxa"/>
            <w:vAlign w:val="bottom"/>
            <w:gridSpan w:val="2"/>
            <w:vMerge w:val="continue"/>
          </w:tcPr>
          <w:p>
            <w:pPr>
              <w:spacing w:after="0"/>
              <w:rPr>
                <w:sz w:val="12"/>
                <w:szCs w:val="12"/>
                <w:color w:val="auto"/>
              </w:rPr>
            </w:pP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440" w:type="dxa"/>
            <w:vAlign w:val="bottom"/>
            <w:gridSpan w:val="2"/>
            <w:vMerge w:val="continue"/>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2"/>
              </w:rPr>
              <w:t>Coupon</w:t>
            </w:r>
          </w:p>
        </w:tc>
        <w:tc>
          <w:tcPr>
            <w:tcW w:w="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b w:val="1"/>
                <w:bCs w:val="1"/>
                <w:color w:val="auto"/>
                <w:w w:val="99"/>
              </w:rPr>
              <w:t>Shares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Interests/Warrants—6.5% </w:t>
            </w:r>
            <w:r>
              <w:rPr>
                <w:rFonts w:ascii="Arial" w:cs="Arial" w:eastAsia="Arial" w:hAnsi="Arial"/>
                <w:sz w:val="9"/>
                <w:szCs w:val="9"/>
                <w:b w:val="1"/>
                <w:bCs w:val="1"/>
                <w:color w:val="auto"/>
              </w:rPr>
              <w:t>(6)</w:t>
            </w:r>
          </w:p>
        </w:tc>
        <w:tc>
          <w:tcPr>
            <w:tcW w:w="940" w:type="dxa"/>
            <w:vAlign w:val="bottom"/>
            <w:tcBorders>
              <w:top w:val="single" w:sz="8" w:color="auto"/>
            </w:tcBorders>
            <w:shd w:val="clear" w:color="auto" w:fill="CCEEFF"/>
          </w:tcPr>
          <w:p>
            <w:pPr>
              <w:spacing w:after="0"/>
              <w:rPr>
                <w:sz w:val="11"/>
                <w:szCs w:val="11"/>
                <w:color w:val="auto"/>
              </w:rPr>
            </w:pPr>
          </w:p>
        </w:tc>
        <w:tc>
          <w:tcPr>
            <w:tcW w:w="2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940" w:type="dxa"/>
            <w:vAlign w:val="bottom"/>
          </w:tcPr>
          <w:p>
            <w:pPr>
              <w:ind w:left="5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4"/>
              </w:rPr>
              <w:t>Consumer Products</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6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859,496</w:t>
            </w:r>
          </w:p>
        </w:tc>
        <w:tc>
          <w:tcPr>
            <w:tcW w:w="2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30,503,493</w:t>
            </w:r>
          </w:p>
        </w:tc>
        <w:tc>
          <w:tcPr>
            <w:tcW w:w="2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16,804,236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940" w:type="dxa"/>
            <w:vAlign w:val="bottom"/>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4"/>
              </w:rPr>
              <w:t>Consumer Products</w:t>
            </w:r>
          </w:p>
        </w:tc>
        <w:tc>
          <w:tcPr>
            <w:tcW w:w="7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37,181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10,265,973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16,571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40" w:type="dxa"/>
            <w:vAlign w:val="bottom"/>
          </w:tcPr>
          <w:p>
            <w:pPr>
              <w:ind w:left="5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5"/>
              </w:rPr>
              <w:t>Oil and Gas</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6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w w:val="97"/>
              </w:rPr>
              <w:t>1,658,389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29,711,576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21,768,908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ETX Energy Management Company, LLC</w:t>
            </w:r>
          </w:p>
        </w:tc>
        <w:tc>
          <w:tcPr>
            <w:tcW w:w="940" w:type="dxa"/>
            <w:vAlign w:val="bottom"/>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5"/>
              </w:rPr>
              <w:t>Oil and Gas</w:t>
            </w:r>
          </w:p>
        </w:tc>
        <w:tc>
          <w:tcPr>
            <w:tcW w:w="7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1,754,104</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1,562,020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1,160,304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72,043,062</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39,750,019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4"/>
              </w:rPr>
              <w:t>Total Investments in Non-Controlled, Affiliated Portfolio Companies</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74,369,962</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49,057,619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w w:val="90"/>
              </w:rPr>
              <w:t xml:space="preserve">Investments in Controlled, Affiliated Portfolio Companies—24.7% </w:t>
            </w:r>
            <w:r>
              <w:rPr>
                <w:rFonts w:ascii="Arial" w:cs="Arial" w:eastAsia="Arial" w:hAnsi="Arial"/>
                <w:sz w:val="9"/>
                <w:szCs w:val="9"/>
                <w:b w:val="1"/>
                <w:bCs w:val="1"/>
                <w:color w:val="auto"/>
                <w:w w:val="90"/>
              </w:rPr>
              <w:t>(1), (2)</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Debt—15.1%</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40" w:type="dxa"/>
            <w:vAlign w:val="bottom"/>
          </w:tcPr>
          <w:p>
            <w:pPr>
              <w:ind w:left="140"/>
              <w:spacing w:after="0" w:line="135" w:lineRule="exact"/>
              <w:rPr>
                <w:sz w:val="20"/>
                <w:szCs w:val="20"/>
                <w:color w:val="auto"/>
              </w:rPr>
            </w:pPr>
            <w:r>
              <w:rPr>
                <w:rFonts w:ascii="Arial" w:cs="Arial" w:eastAsia="Arial" w:hAnsi="Arial"/>
                <w:sz w:val="12"/>
                <w:szCs w:val="12"/>
                <w:color w:val="auto"/>
              </w:rPr>
              <w:t>03/13/2024</w:t>
            </w:r>
          </w:p>
        </w:tc>
        <w:tc>
          <w:tcPr>
            <w:tcW w:w="244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6.65%</w:t>
            </w:r>
          </w:p>
        </w:tc>
        <w:tc>
          <w:tcPr>
            <w:tcW w:w="80" w:type="dxa"/>
            <w:vAlign w:val="bottom"/>
          </w:tcPr>
          <w:p>
            <w:pPr>
              <w:spacing w:after="0"/>
              <w:rPr>
                <w:sz w:val="11"/>
                <w:szCs w:val="11"/>
                <w:color w:val="auto"/>
              </w:rPr>
            </w:pPr>
          </w:p>
        </w:tc>
        <w:tc>
          <w:tcPr>
            <w:tcW w:w="560" w:type="dxa"/>
            <w:vAlign w:val="bottom"/>
          </w:tcPr>
          <w:p>
            <w:pPr>
              <w:ind w:left="60"/>
              <w:spacing w:after="0" w:line="135" w:lineRule="exact"/>
              <w:rPr>
                <w:sz w:val="20"/>
                <w:szCs w:val="20"/>
                <w:color w:val="auto"/>
              </w:rPr>
            </w:pPr>
            <w:r>
              <w:rPr>
                <w:rFonts w:ascii="Arial" w:cs="Arial" w:eastAsia="Arial" w:hAnsi="Arial"/>
                <w:sz w:val="12"/>
                <w:szCs w:val="12"/>
                <w:color w:val="auto"/>
                <w:w w:val="89"/>
              </w:rPr>
              <w:t>3M L+575</w:t>
            </w:r>
          </w:p>
        </w:tc>
        <w:tc>
          <w:tcPr>
            <w:tcW w:w="2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w w:val="86"/>
              </w:rPr>
              <w:t>28,000,000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39,051,600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35,660,604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LLC</w:t>
            </w:r>
          </w:p>
        </w:tc>
        <w:tc>
          <w:tcPr>
            <w:tcW w:w="94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07/01/2022</w:t>
            </w:r>
          </w:p>
        </w:tc>
        <w:tc>
          <w:tcPr>
            <w:tcW w:w="244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0"/>
              </w:rPr>
              <w:t>Energy and Utilities</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35,000,000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RAM Energy LLC (Revolver)</w:t>
            </w:r>
          </w:p>
        </w:tc>
        <w:tc>
          <w:tcPr>
            <w:tcW w:w="940" w:type="dxa"/>
            <w:vAlign w:val="bottom"/>
          </w:tcPr>
          <w:p>
            <w:pPr>
              <w:ind w:left="140"/>
              <w:spacing w:after="0" w:line="135" w:lineRule="exact"/>
              <w:rPr>
                <w:sz w:val="20"/>
                <w:szCs w:val="20"/>
                <w:color w:val="auto"/>
              </w:rPr>
            </w:pPr>
            <w:r>
              <w:rPr>
                <w:rFonts w:ascii="Arial" w:cs="Arial" w:eastAsia="Arial" w:hAnsi="Arial"/>
                <w:sz w:val="12"/>
                <w:szCs w:val="12"/>
                <w:color w:val="auto"/>
              </w:rPr>
              <w:t>07/01/2022</w:t>
            </w:r>
          </w:p>
        </w:tc>
        <w:tc>
          <w:tcPr>
            <w:tcW w:w="244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0"/>
              </w:rPr>
              <w:t>Energy and Utilities</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8.00%</w:t>
            </w:r>
          </w:p>
        </w:tc>
        <w:tc>
          <w:tcPr>
            <w:tcW w:w="80" w:type="dxa"/>
            <w:vAlign w:val="bottom"/>
          </w:tcPr>
          <w:p>
            <w:pPr>
              <w:spacing w:after="0"/>
              <w:rPr>
                <w:sz w:val="11"/>
                <w:szCs w:val="11"/>
                <w:color w:val="auto"/>
              </w:rPr>
            </w:pPr>
          </w:p>
        </w:tc>
        <w:tc>
          <w:tcPr>
            <w:tcW w:w="56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w w:val="86"/>
              </w:rPr>
              <w:t>15,000,000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15,000,000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15,000,000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LLC</w:t>
            </w:r>
          </w:p>
        </w:tc>
        <w:tc>
          <w:tcPr>
            <w:tcW w:w="94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12/31/2019</w:t>
            </w:r>
          </w:p>
        </w:tc>
        <w:tc>
          <w:tcPr>
            <w:tcW w:w="244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7,504,371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7,243,236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5"/>
              </w:rPr>
              <w:t>(PIK 3.00%)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96,294,836</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93,160,604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Equity—1.4% </w:t>
            </w:r>
            <w:r>
              <w:rPr>
                <w:rFonts w:ascii="Arial" w:cs="Arial" w:eastAsia="Arial" w:hAnsi="Arial"/>
                <w:sz w:val="9"/>
                <w:szCs w:val="9"/>
                <w:b w:val="1"/>
                <w:bCs w:val="1"/>
                <w:color w:val="auto"/>
              </w:rPr>
              <w:t>(6)</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MidOcean JF Holdings Corp.</w:t>
            </w:r>
          </w:p>
        </w:tc>
        <w:tc>
          <w:tcPr>
            <w:tcW w:w="940" w:type="dxa"/>
            <w:vAlign w:val="bottom"/>
          </w:tcPr>
          <w:p>
            <w:pPr>
              <w:ind w:left="5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6"/>
              </w:rPr>
              <w:t>Distribution</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6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153,922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15,392,188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9,082,240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40" w:type="dxa"/>
            <w:vAlign w:val="bottom"/>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15.00%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1,416,392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46,254,586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61,646,774</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9,082,240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Equity—8.2% </w:t>
            </w:r>
            <w:r>
              <w:rPr>
                <w:rFonts w:ascii="Arial" w:cs="Arial" w:eastAsia="Arial" w:hAnsi="Arial"/>
                <w:sz w:val="9"/>
                <w:szCs w:val="9"/>
                <w:b w:val="1"/>
                <w:bCs w:val="1"/>
                <w:color w:val="auto"/>
              </w:rPr>
              <w:t>(6)</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40" w:type="dxa"/>
            <w:vAlign w:val="bottom"/>
          </w:tcPr>
          <w:p>
            <w:pPr>
              <w:ind w:left="5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6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2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950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132,497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7,307,469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940" w:type="dxa"/>
            <w:vAlign w:val="bottom"/>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6"/>
              </w:rPr>
              <w:t>Distribution</w:t>
            </w:r>
          </w:p>
        </w:tc>
        <w:tc>
          <w:tcPr>
            <w:tcW w:w="7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65,933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24,761,831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RAM Energy Holdings LLC</w:t>
            </w:r>
          </w:p>
        </w:tc>
        <w:tc>
          <w:tcPr>
            <w:tcW w:w="940" w:type="dxa"/>
            <w:vAlign w:val="bottom"/>
          </w:tcPr>
          <w:p>
            <w:pPr>
              <w:ind w:left="5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0"/>
              </w:rPr>
              <w:t>Energy and Utilities</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6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84,747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76,264,739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43,330,000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40" w:type="dxa"/>
            <w:vAlign w:val="bottom"/>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7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2,211,000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8"/>
              </w:rPr>
              <w:t>103,370,067</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50,637,469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Controlled, Affiliated Portfolio Companies</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261,311,677</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152,880,313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Investments—193.4%</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5"/>
              </w:rPr>
              <w:t>1,323,611,144</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5"/>
              </w:rPr>
              <w:t>1,191,453,811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Equivalents—4.0%</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9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4,846,547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4,846,547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19,811,323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19,807,342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24,657,870</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24,653,889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Equivalents—197.4%</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u w:val="single" w:color="auto"/>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5"/>
              </w:rPr>
              <w:t>1,348,269,014</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u w:val="single" w:color="auto"/>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5"/>
              </w:rPr>
              <w:t>1,216,107,700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Assets—(97.4%)</w:t>
            </w: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6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(600,166,595)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615,941,105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6" w:lineRule="exact"/>
        <w:rPr>
          <w:sz w:val="20"/>
          <w:szCs w:val="20"/>
          <w:color w:val="auto"/>
        </w:rPr>
      </w:pPr>
    </w:p>
    <w:p>
      <w:pPr>
        <w:ind w:left="520" w:right="80" w:hanging="316"/>
        <w:spacing w:after="0" w:line="243" w:lineRule="auto"/>
        <w:tabs>
          <w:tab w:leader="none" w:pos="5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520" w:right="300" w:hanging="316"/>
        <w:spacing w:after="0" w:line="234" w:lineRule="auto"/>
        <w:tabs>
          <w:tab w:leader="none" w:pos="5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520" w:hanging="316"/>
        <w:spacing w:after="0" w:line="234" w:lineRule="auto"/>
        <w:tabs>
          <w:tab w:leader="none" w:pos="5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520" w:right="40" w:hanging="316"/>
        <w:spacing w:after="0" w:line="234" w:lineRule="auto"/>
        <w:tabs>
          <w:tab w:leader="none" w:pos="5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payment-in-kind, or PIK, interest and other fee rates, if any.</w:t>
      </w:r>
    </w:p>
    <w:p>
      <w:pPr>
        <w:spacing w:after="0" w:line="2" w:lineRule="exact"/>
        <w:rPr>
          <w:rFonts w:ascii="Arial" w:cs="Arial" w:eastAsia="Arial" w:hAnsi="Arial"/>
          <w:sz w:val="12"/>
          <w:szCs w:val="12"/>
          <w:color w:val="auto"/>
        </w:rPr>
      </w:pPr>
    </w:p>
    <w:p>
      <w:pPr>
        <w:ind w:left="520" w:right="200" w:hanging="316"/>
        <w:spacing w:after="0" w:line="234" w:lineRule="auto"/>
        <w:tabs>
          <w:tab w:leader="none" w:pos="5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520" w:hanging="316"/>
        <w:spacing w:after="0" w:line="234" w:lineRule="auto"/>
        <w:tabs>
          <w:tab w:leader="none" w:pos="5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520" w:hanging="316"/>
        <w:spacing w:after="0"/>
        <w:tabs>
          <w:tab w:leader="none" w:pos="520" w:val="left"/>
        </w:tabs>
        <w:numPr>
          <w:ilvl w:val="0"/>
          <w:numId w:val="85"/>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520" w:hanging="316"/>
        <w:spacing w:after="0" w:line="234" w:lineRule="auto"/>
        <w:tabs>
          <w:tab w:leader="none" w:pos="5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520" w:hanging="316"/>
        <w:spacing w:after="0" w:line="234" w:lineRule="auto"/>
        <w:tabs>
          <w:tab w:leader="none" w:pos="5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520" w:hanging="316"/>
        <w:spacing w:after="0" w:line="234" w:lineRule="auto"/>
        <w:tabs>
          <w:tab w:leader="none" w:pos="5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520" w:right="100" w:hanging="316"/>
        <w:spacing w:after="0" w:line="256" w:lineRule="auto"/>
        <w:tabs>
          <w:tab w:leader="none" w:pos="520" w:val="left"/>
        </w:tabs>
        <w:numPr>
          <w:ilvl w:val="0"/>
          <w:numId w:val="85"/>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2018, qualifying assets represent 89% of the Company’s total assets and non-qualifying assets represent 11% of the Company’s total assets.</w:t>
      </w:r>
    </w:p>
    <w:p>
      <w:pPr>
        <w:ind w:left="520" w:hanging="316"/>
        <w:spacing w:after="0" w:line="234" w:lineRule="auto"/>
        <w:tabs>
          <w:tab w:leader="none" w:pos="5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520" w:hanging="316"/>
        <w:spacing w:after="0"/>
        <w:tabs>
          <w:tab w:leader="none" w:pos="5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jc w:val="right"/>
              <w:ind w:right="262"/>
              <w:spacing w:after="0" w:line="135" w:lineRule="exact"/>
              <w:rPr>
                <w:sz w:val="20"/>
                <w:szCs w:val="20"/>
                <w:color w:val="auto"/>
              </w:rPr>
            </w:pPr>
            <w:r>
              <w:rPr>
                <w:rFonts w:ascii="Arial" w:cs="Arial" w:eastAsia="Arial" w:hAnsi="Arial"/>
                <w:sz w:val="12"/>
                <w:szCs w:val="12"/>
                <w:b w:val="1"/>
                <w:bCs w:val="1"/>
                <w:color w:val="auto"/>
              </w:rPr>
              <w:t>Maturity /</w:t>
            </w:r>
          </w:p>
        </w:tc>
        <w:tc>
          <w:tcPr>
            <w:tcW w:w="2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2"/>
              </w:rPr>
              <w:t>Industry</w:t>
            </w: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2"/>
                <w:szCs w:val="12"/>
                <w:b w:val="1"/>
                <w:bCs w:val="1"/>
                <w:color w:val="auto"/>
              </w:rPr>
              <w:t>Current</w:t>
            </w: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58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20" w:type="dxa"/>
            <w:vAlign w:val="bottom"/>
            <w:gridSpan w:val="2"/>
            <w:vMerge w:val="continue"/>
          </w:tcPr>
          <w:p>
            <w:pPr>
              <w:spacing w:after="0"/>
              <w:rPr>
                <w:sz w:val="12"/>
                <w:szCs w:val="12"/>
                <w:color w:val="auto"/>
              </w:rPr>
            </w:pPr>
          </w:p>
        </w:tc>
        <w:tc>
          <w:tcPr>
            <w:tcW w:w="960" w:type="dxa"/>
            <w:vAlign w:val="bottom"/>
          </w:tcPr>
          <w:p>
            <w:pPr>
              <w:jc w:val="right"/>
              <w:ind w:right="242"/>
              <w:spacing w:after="0"/>
              <w:rPr>
                <w:sz w:val="20"/>
                <w:szCs w:val="20"/>
                <w:color w:val="auto"/>
              </w:rPr>
            </w:pPr>
            <w:r>
              <w:rPr>
                <w:rFonts w:ascii="Arial" w:cs="Arial" w:eastAsia="Arial" w:hAnsi="Arial"/>
                <w:sz w:val="12"/>
                <w:szCs w:val="12"/>
                <w:b w:val="1"/>
                <w:bCs w:val="1"/>
                <w:color w:val="auto"/>
              </w:rPr>
              <w:t>Expiration</w:t>
            </w:r>
          </w:p>
        </w:tc>
        <w:tc>
          <w:tcPr>
            <w:tcW w:w="2660" w:type="dxa"/>
            <w:vAlign w:val="bottom"/>
            <w:gridSpan w:val="2"/>
            <w:vMerge w:val="continue"/>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Coupon</w:t>
            </w: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580" w:type="dxa"/>
            <w:vAlign w:val="bottom"/>
          </w:tcPr>
          <w:p>
            <w:pPr>
              <w:jc w:val="right"/>
              <w:ind w:right="8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6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3"/>
              </w:rPr>
              <w:t xml:space="preserve">Investments in Non-Controlled, Non-Affiliated Portfolio Companies—144.0% </w:t>
            </w:r>
            <w:r>
              <w:rPr>
                <w:rFonts w:ascii="Arial" w:cs="Arial" w:eastAsia="Arial" w:hAnsi="Arial"/>
                <w:sz w:val="9"/>
                <w:szCs w:val="9"/>
                <w:b w:val="1"/>
                <w:bCs w:val="1"/>
                <w:color w:val="auto"/>
                <w:w w:val="93"/>
              </w:rPr>
              <w:t>(1), (2)</w:t>
            </w:r>
          </w:p>
        </w:tc>
        <w:tc>
          <w:tcPr>
            <w:tcW w:w="2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Debt—66.9%</w:t>
            </w:r>
          </w:p>
        </w:tc>
        <w:tc>
          <w:tcPr>
            <w:tcW w:w="9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Allied America, Inc.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08/08/2022</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9.39%</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21,435,548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21,116,138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21,478,419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08/08/2022</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2,000,000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Bazaarvoice, Inc.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02/01/2024</w:t>
            </w:r>
          </w:p>
        </w:tc>
        <w:tc>
          <w:tcPr>
            <w:tcW w:w="26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Printing and Publishing</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10.24%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14,925,000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14,783,825</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Bottom Line Systems, LLC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02/13/2023</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9.74%</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L+750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19,583,330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19,345,650</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12/02/2022</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10.33%</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L+800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31,676,768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31,678,078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31,676,768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Cano Health, LLC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12/23/2021</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10.61%</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32,813,941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32,240,776</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Cano Health, LLC (Revolver)</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11/05/2018</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10.68%</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DermaRite Industries LLC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03/03/2022</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Manufacturing / Basic Industries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9.24%</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L+700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9,850,000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9,738,431</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Deva Holdings, Inc.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10/31/2023</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7.74%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4,962,500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4,877,212</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4,962,500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10/31/2022</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385,000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08/29/2022</w:t>
            </w:r>
          </w:p>
        </w:tc>
        <w:tc>
          <w:tcPr>
            <w:tcW w:w="26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8"/>
              </w:rPr>
              <w:t>Financial Services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9.74%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L+750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19,800,000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19,475,599</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19,800,000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08/29/2022</w:t>
            </w:r>
          </w:p>
        </w:tc>
        <w:tc>
          <w:tcPr>
            <w:tcW w:w="26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8"/>
              </w:rPr>
              <w:t>Financial Services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4,000,000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(11)</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08/29/2022</w:t>
            </w:r>
          </w:p>
        </w:tc>
        <w:tc>
          <w:tcPr>
            <w:tcW w:w="26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8"/>
              </w:rPr>
              <w:t>Financial Services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4,000,000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06/09/2023</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10.39%</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19,713,838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19,386,443</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Group, LLC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06/27/2023</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8.64%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22,457,923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22,225,155</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22,345,634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06/27/2023</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12,491,009</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(62,455)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Juniper Landscaping of Florida, LLC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12/22/2021</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11.61%</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14,350,500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14,140,360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14,350,500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K2 Pure Solutions NoCal, L.P.</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02/19/2021</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Chemicals, Plastics and Rubber</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11.24%</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14,243,249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14,033,015</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Ox Two, LLC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02/27/2023</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2"/>
              </w:rPr>
              <w:t>Building Materials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8.49%</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22,218,750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21,819,701</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22,218,750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Ox Two, LLC (Revolver)</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02/27/2023</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2"/>
              </w:rPr>
              <w:t>Building Materials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12.50%</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P+725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750,000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02/27/2023</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2"/>
              </w:rPr>
              <w:t>Building Materials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1,750,000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Questex, LLC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09/09/2024</w:t>
            </w:r>
          </w:p>
        </w:tc>
        <w:tc>
          <w:tcPr>
            <w:tcW w:w="26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8.57%</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22,500,000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22,054,120</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Questex, LLC (Revolver)</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09/09/2024</w:t>
            </w:r>
          </w:p>
        </w:tc>
        <w:tc>
          <w:tcPr>
            <w:tcW w:w="26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8.57%</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586,436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09/09/2024</w:t>
            </w:r>
          </w:p>
        </w:tc>
        <w:tc>
          <w:tcPr>
            <w:tcW w:w="26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2,992,021</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06/28/2022</w:t>
            </w:r>
          </w:p>
        </w:tc>
        <w:tc>
          <w:tcPr>
            <w:tcW w:w="26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8.36%</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22,500,000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22,071,351</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06/28/2022</w:t>
            </w:r>
          </w:p>
        </w:tc>
        <w:tc>
          <w:tcPr>
            <w:tcW w:w="26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9,121,622</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(182,432)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 (Revolver)</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06/28/2022</w:t>
            </w:r>
          </w:p>
        </w:tc>
        <w:tc>
          <w:tcPr>
            <w:tcW w:w="26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8.36%</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1,783,784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1,783,784</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1,748,108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06/28/2022</w:t>
            </w:r>
          </w:p>
        </w:tc>
        <w:tc>
          <w:tcPr>
            <w:tcW w:w="26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2,270,270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(45,405)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09/01/2022</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Buildings and Real Estate</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8.59%</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20,925,313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20,642,473</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20,925,313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09/01/2022</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Buildings and Real Estate</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1,375,000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09/01/2022</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Buildings and Real Estate</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2,500,000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Triad Manufacturing, Inc.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12/28/2020</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Manufacturing / Basic Industries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15.49%</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97"/>
              </w:rPr>
              <w:t>1M L+1,325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23,718,379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23,464,517</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Dominion, Inc.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07/15/2024</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Electronics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9.14%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29,925,000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29,415,076</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29,925,000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07/15/2024</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Electronics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7,500,000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Med Acquisition, Inc.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08/13/2021</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11.39%</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8,476,563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8,476,563</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8,052,732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Walker Edison Furniture Company LLC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09/26/2024</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0"/>
              </w:rPr>
              <w:t>Home and Office Furnishings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8.88%</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22,500,000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22,050,866</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Whitney, Bradley &amp; Brown, Inc.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10/18/2022</w:t>
            </w:r>
          </w:p>
        </w:tc>
        <w:tc>
          <w:tcPr>
            <w:tcW w:w="26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11.25%</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19,305,000</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18,977,907</w:t>
            </w: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19,305,000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418,295,444</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420,847,539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Debt—62.2%</w:t>
            </w:r>
          </w:p>
        </w:tc>
        <w:tc>
          <w:tcPr>
            <w:tcW w:w="96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Condor Borrower, LLC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04/25/2025</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11.09%</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12,500,000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12,271,734</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Inc.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03/31/2025</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10.64%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L+825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23,024,259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22,607,675</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23,024,259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Halo Buyer, Inc.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07/06/2026</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10.49%</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45,000,000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44,338,109</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Inc.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04/03/2024</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Other Media</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11.64%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L+925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20,400,000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20,056,087</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Integrity Marketing Partners, LLC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01/02/2023</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Banking, Finance, Insurance and Real Estate</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11.17%</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5,913,341</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03/01/2019</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Cargo Transport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11.00%</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481,052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447,988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481,052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5"/>
              </w:rPr>
              <w:t>(PIK 11.00%)</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MailSouth, Inc.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10/23/2024</w:t>
            </w:r>
          </w:p>
        </w:tc>
        <w:tc>
          <w:tcPr>
            <w:tcW w:w="26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Printing and Publishing</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12.00%</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L+925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48,425,000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47,496,549</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47,456,500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MBS Holdings, Inc.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01/02/2024</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Telecommunications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10.60%</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15,000,000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14,710,035</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12/17/2021</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Hotels, Motels, Inns and Gaming</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14.39%</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97"/>
              </w:rPr>
              <w:t>3M L+1,200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76,500,000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76,500,000</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80,904,325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Pathway Partners Vet Management LLC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10/10/2025</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10.24%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19,300,700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19,246,644</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19,107,693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10/10/2025</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4,699,300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(46,993)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PT Network, LLC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04/12/2023</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12.34%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w w:val="97"/>
              </w:rPr>
              <w:t>3M L+1,000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41,666,667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40,959,198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41,250,000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Shift4 Payments, LLC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11/28/2025</w:t>
            </w:r>
          </w:p>
        </w:tc>
        <w:tc>
          <w:tcPr>
            <w:tcW w:w="26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8"/>
              </w:rPr>
              <w:t>Financial Services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10.84%</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37,000,000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36,835,458</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36,768,750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VT Topco, Inc.</w:t>
            </w:r>
          </w:p>
        </w:tc>
        <w:tc>
          <w:tcPr>
            <w:tcW w:w="96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08/24/2026</w:t>
            </w:r>
          </w:p>
        </w:tc>
        <w:tc>
          <w:tcPr>
            <w:tcW w:w="26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9.34%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12,500,000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12,437,500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Winter Park Intermediate, Inc.</w:t>
            </w: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04/03/2026</w:t>
            </w: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Auto Sector</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10.62%</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32,000,000</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31,380,959</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31,680,000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96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385,201,277</w:t>
            </w: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391,038,029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60" w:right="4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500" w:type="dxa"/>
            <w:vAlign w:val="bottom"/>
            <w:gridSpan w:val="2"/>
            <w:vMerge w:val="continue"/>
          </w:tcPr>
          <w:p>
            <w:pPr>
              <w:spacing w:after="0"/>
              <w:rPr>
                <w:sz w:val="12"/>
                <w:szCs w:val="12"/>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460" w:type="dxa"/>
            <w:vAlign w:val="bottom"/>
            <w:vMerge w:val="continue"/>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Notes—7.7%</w:t>
            </w:r>
          </w:p>
        </w:tc>
        <w:tc>
          <w:tcPr>
            <w:tcW w:w="900" w:type="dxa"/>
            <w:vAlign w:val="bottom"/>
            <w:tcBorders>
              <w:top w:val="single" w:sz="8" w:color="auto"/>
            </w:tcBorders>
            <w:shd w:val="clear" w:color="auto" w:fill="CCEEFF"/>
          </w:tcPr>
          <w:p>
            <w:pPr>
              <w:spacing w:after="0"/>
              <w:rPr>
                <w:sz w:val="11"/>
                <w:szCs w:val="11"/>
                <w:color w:val="auto"/>
              </w:rPr>
            </w:pPr>
          </w:p>
        </w:tc>
        <w:tc>
          <w:tcPr>
            <w:tcW w:w="24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line="129" w:lineRule="exact"/>
              <w:rPr>
                <w:sz w:val="20"/>
                <w:szCs w:val="20"/>
                <w:color w:val="auto"/>
              </w:rPr>
            </w:pPr>
            <w:r>
              <w:rPr>
                <w:rFonts w:ascii="Arial" w:cs="Arial" w:eastAsia="Arial" w:hAnsi="Arial"/>
                <w:sz w:val="12"/>
                <w:szCs w:val="12"/>
                <w:color w:val="auto"/>
              </w:rPr>
              <w:t>Blackhawk Industrial Distribution, Inc.</w:t>
            </w:r>
          </w:p>
        </w:tc>
        <w:tc>
          <w:tcPr>
            <w:tcW w:w="900" w:type="dxa"/>
            <w:vAlign w:val="bottom"/>
          </w:tcPr>
          <w:p>
            <w:pPr>
              <w:ind w:left="140"/>
              <w:spacing w:after="0" w:line="129" w:lineRule="exact"/>
              <w:rPr>
                <w:sz w:val="20"/>
                <w:szCs w:val="20"/>
                <w:color w:val="auto"/>
              </w:rPr>
            </w:pPr>
            <w:r>
              <w:rPr>
                <w:rFonts w:ascii="Arial" w:cs="Arial" w:eastAsia="Arial" w:hAnsi="Arial"/>
                <w:sz w:val="12"/>
                <w:szCs w:val="12"/>
                <w:color w:val="auto"/>
              </w:rPr>
              <w:t>03/17/2025</w:t>
            </w:r>
          </w:p>
        </w:tc>
        <w:tc>
          <w:tcPr>
            <w:tcW w:w="2460" w:type="dxa"/>
            <w:vAlign w:val="bottom"/>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92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12.00%</w:t>
            </w:r>
          </w:p>
        </w:tc>
        <w:tc>
          <w:tcPr>
            <w:tcW w:w="860" w:type="dxa"/>
            <w:vAlign w:val="bottom"/>
            <w:gridSpan w:val="2"/>
          </w:tcPr>
          <w:p>
            <w:pPr>
              <w:ind w:left="46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13,500,000</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8"/>
              </w:rPr>
              <w:t>$  13,230,411</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13,230,000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(PIK 2.00%)</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Cascade Environmental LLC</w:t>
            </w:r>
          </w:p>
        </w:tc>
        <w:tc>
          <w:tcPr>
            <w:tcW w:w="9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08/20/2021</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15.00%</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35,792,396</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35,386,702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34,897,586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(PIK 13.00%)</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48,617,113</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48,127,586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9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AH Holdings, Inc.</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6.00%</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211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396,898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36,450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546,750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565,339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556,000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556,000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8.00%</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3,591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25,771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1,602,750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1,544,008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Equity/Partnership Interests/Warrants—7.0%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AH Holdings, Inc. (Warrants)</w:t>
            </w:r>
          </w:p>
        </w:tc>
        <w:tc>
          <w:tcPr>
            <w:tcW w:w="9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03/23/2021</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900" w:type="dxa"/>
            <w:vAlign w:val="bottom"/>
          </w:tcPr>
          <w:p>
            <w:pPr>
              <w:ind w:left="140"/>
              <w:spacing w:after="0" w:line="135" w:lineRule="exact"/>
              <w:rPr>
                <w:sz w:val="20"/>
                <w:szCs w:val="20"/>
                <w:color w:val="auto"/>
              </w:rPr>
            </w:pPr>
            <w:r>
              <w:rPr>
                <w:rFonts w:ascii="Arial" w:cs="Arial" w:eastAsia="Arial" w:hAnsi="Arial"/>
                <w:sz w:val="12"/>
                <w:szCs w:val="12"/>
                <w:color w:val="auto"/>
              </w:rPr>
              <w:t>05/05/2026</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9"/>
              </w:rPr>
              <w:t>Education</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933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586,975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1,651,653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Autumn Games, LLC</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Broadcasting and Entertainment</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1,333,330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3,000,000</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line="129" w:lineRule="exact"/>
              <w:rPr>
                <w:sz w:val="20"/>
                <w:szCs w:val="20"/>
                <w:color w:val="auto"/>
              </w:rPr>
            </w:pPr>
            <w:r>
              <w:rPr>
                <w:rFonts w:ascii="Arial" w:cs="Arial" w:eastAsia="Arial" w:hAnsi="Arial"/>
                <w:sz w:val="12"/>
                <w:szCs w:val="12"/>
                <w:color w:val="auto"/>
                <w:w w:val="98"/>
              </w:rPr>
              <w:t>Cardinal Logistics Holdings LLC (Intermediate Transportation 100,</w:t>
            </w:r>
          </w:p>
        </w:tc>
        <w:tc>
          <w:tcPr>
            <w:tcW w:w="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80" w:type="dxa"/>
            <w:vAlign w:val="bottom"/>
          </w:tcPr>
          <w:p>
            <w:pPr>
              <w:ind w:left="100"/>
              <w:spacing w:after="0"/>
              <w:rPr>
                <w:sz w:val="20"/>
                <w:szCs w:val="20"/>
                <w:color w:val="auto"/>
              </w:rPr>
            </w:pPr>
            <w:r>
              <w:rPr>
                <w:rFonts w:ascii="Arial" w:cs="Arial" w:eastAsia="Arial" w:hAnsi="Arial"/>
                <w:sz w:val="12"/>
                <w:szCs w:val="12"/>
                <w:color w:val="auto"/>
              </w:rPr>
              <w:t xml:space="preserve">LLC) </w:t>
            </w:r>
            <w:r>
              <w:rPr>
                <w:rFonts w:ascii="Arial" w:cs="Arial" w:eastAsia="Arial" w:hAnsi="Arial"/>
                <w:sz w:val="9"/>
                <w:szCs w:val="9"/>
                <w:color w:val="auto"/>
              </w:rPr>
              <w:t>(9)</w:t>
            </w:r>
          </w:p>
        </w:tc>
        <w:tc>
          <w:tcPr>
            <w:tcW w:w="900" w:type="dxa"/>
            <w:vAlign w:val="bottom"/>
          </w:tcPr>
          <w:p>
            <w:pPr>
              <w:ind w:left="500"/>
              <w:spacing w:after="0"/>
              <w:rPr>
                <w:sz w:val="20"/>
                <w:szCs w:val="20"/>
                <w:color w:val="auto"/>
              </w:rPr>
            </w:pPr>
            <w:r>
              <w:rPr>
                <w:rFonts w:ascii="Arial" w:cs="Arial" w:eastAsia="Arial" w:hAnsi="Arial"/>
                <w:sz w:val="12"/>
                <w:szCs w:val="12"/>
                <w:color w:val="auto"/>
              </w:rPr>
              <w:t>—</w:t>
            </w:r>
          </w:p>
        </w:tc>
        <w:tc>
          <w:tcPr>
            <w:tcW w:w="2460" w:type="dxa"/>
            <w:vAlign w:val="bottom"/>
          </w:tcPr>
          <w:p>
            <w:pPr>
              <w:jc w:val="center"/>
              <w:spacing w:after="0"/>
              <w:rPr>
                <w:sz w:val="20"/>
                <w:szCs w:val="20"/>
                <w:color w:val="auto"/>
              </w:rPr>
            </w:pPr>
            <w:r>
              <w:rPr>
                <w:rFonts w:ascii="Arial" w:cs="Arial" w:eastAsia="Arial" w:hAnsi="Arial"/>
                <w:sz w:val="12"/>
                <w:szCs w:val="12"/>
                <w:color w:val="auto"/>
                <w:w w:val="86"/>
              </w:rPr>
              <w:t>Cargo Transport</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8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(13)</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5,411,024</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2,776,777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33,901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2,852,080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1,186,539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 xml:space="preserve">CI (Allied) Investment Holdings, LLC (Allied America, Inc.) </w:t>
            </w:r>
            <w:r>
              <w:rPr>
                <w:rFonts w:ascii="Arial" w:cs="Arial" w:eastAsia="Arial" w:hAnsi="Arial"/>
                <w:sz w:val="9"/>
                <w:szCs w:val="9"/>
                <w:color w:val="auto"/>
              </w:rPr>
              <w:t>(9)</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84,000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840,004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957,866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333,333</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CI (Summit) Investment Holdings LLC (SFP Holdings, Inc.)</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7"/>
              </w:rPr>
              <w:t>Buildings and Real Estate</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100,000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1,245,827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Cowboy Parent LLC (Blackhawk Industrial Distribution, Inc.)</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3"/>
              </w:rPr>
              <w:t>Distribution</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DecoPac Holdings Inc.</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3,449</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3,448,658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4,165,759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Financial Services</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1,049,378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Faraday Holdings, LLC</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2"/>
              </w:rPr>
              <w:t>Building Materials</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4,277</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217,635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1,147,011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Green Veracity Holdings, LP—Class A (VT Topco, Inc.)</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388,378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2,787,265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Parent Holdings, Inc.</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181,495</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2,167,874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204,985</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2,049,849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3,654,472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9"/>
              </w:rPr>
              <w:t>JWC-WE Holdings, L.P. (Walker Edison Furniture Company LLC)</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Home and Office Furnishings</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1,906,433</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1,906,433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1,906,433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252,014</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2,265,639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841,727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3"/>
              </w:rPr>
              <w:t>Distribution</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493,280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522,889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1,148,703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1,158,703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672,195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SSC Dominion Holdings, LLC Class A (US Dominion, Inc.)</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Electronics</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SSC Dominion Holdings, LLC Class B (US Dominion, Inc.)</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8"/>
              </w:rPr>
              <w:t>Electronics</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WBB Equity, LLC (Whitney, Bradley &amp; Brown, Inc.) </w:t>
            </w:r>
            <w:r>
              <w:rPr>
                <w:rFonts w:ascii="Arial" w:cs="Arial" w:eastAsia="Arial" w:hAnsi="Arial"/>
                <w:sz w:val="9"/>
                <w:szCs w:val="9"/>
                <w:color w:val="auto"/>
              </w:rPr>
              <w:t>(9)</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628,571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628,571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1,181,714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Wheel Pros Holdings, L.P. (Winter Park Intermediate, Inc.)</w:t>
            </w:r>
          </w:p>
        </w:tc>
        <w:tc>
          <w:tcPr>
            <w:tcW w:w="900" w:type="dxa"/>
            <w:vAlign w:val="bottom"/>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9"/>
              </w:rPr>
              <w:t>Auto Sector</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3,200,000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4,513,118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(9)</w:t>
            </w:r>
          </w:p>
        </w:tc>
        <w:tc>
          <w:tcPr>
            <w:tcW w:w="9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856</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855,515</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1,035,599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43,004,366</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43,714,096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2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896,720,950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905,271,258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Investments in Non-Controlled, Affiliated Portfolio Companies—12.4% </w:t>
            </w:r>
            <w:r>
              <w:rPr>
                <w:rFonts w:ascii="Arial" w:cs="Arial" w:eastAsia="Arial" w:hAnsi="Arial"/>
                <w:sz w:val="9"/>
                <w:szCs w:val="9"/>
                <w:b w:val="1"/>
                <w:bCs w:val="1"/>
                <w:color w:val="auto"/>
              </w:rPr>
              <w:t>(1), (2)</w:t>
            </w: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Debt—1.9%</w:t>
            </w:r>
          </w:p>
        </w:tc>
        <w:tc>
          <w:tcPr>
            <w:tcW w:w="9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line="129" w:lineRule="exact"/>
              <w:rPr>
                <w:sz w:val="20"/>
                <w:szCs w:val="20"/>
                <w:color w:val="auto"/>
              </w:rPr>
            </w:pPr>
            <w:r>
              <w:rPr>
                <w:rFonts w:ascii="Arial" w:cs="Arial" w:eastAsia="Arial" w:hAnsi="Arial"/>
                <w:sz w:val="12"/>
                <w:szCs w:val="12"/>
                <w:color w:val="auto"/>
              </w:rPr>
              <w:t>U.S. Well Services, LLC</w:t>
            </w:r>
          </w:p>
        </w:tc>
        <w:tc>
          <w:tcPr>
            <w:tcW w:w="900" w:type="dxa"/>
            <w:vAlign w:val="bottom"/>
          </w:tcPr>
          <w:p>
            <w:pPr>
              <w:ind w:left="140"/>
              <w:spacing w:after="0" w:line="129" w:lineRule="exact"/>
              <w:rPr>
                <w:sz w:val="20"/>
                <w:szCs w:val="20"/>
                <w:color w:val="auto"/>
              </w:rPr>
            </w:pPr>
            <w:r>
              <w:rPr>
                <w:rFonts w:ascii="Arial" w:cs="Arial" w:eastAsia="Arial" w:hAnsi="Arial"/>
                <w:sz w:val="12"/>
                <w:szCs w:val="12"/>
                <w:color w:val="auto"/>
              </w:rPr>
              <w:t>02/02/2022</w:t>
            </w:r>
          </w:p>
        </w:tc>
        <w:tc>
          <w:tcPr>
            <w:tcW w:w="246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92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13.08%</w:t>
            </w:r>
          </w:p>
        </w:tc>
        <w:tc>
          <w:tcPr>
            <w:tcW w:w="86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w w:val="97"/>
              </w:rPr>
              <w:t>1M L+1,100</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10,160,537</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10,098,625</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10,160,537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(PIK 13.08%)</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Well Services, LLC (Revolver)</w:t>
            </w:r>
          </w:p>
        </w:tc>
        <w:tc>
          <w:tcPr>
            <w:tcW w:w="9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02/02/2022</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8.08%</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900" w:type="dxa"/>
            <w:vAlign w:val="bottom"/>
          </w:tcPr>
          <w:p>
            <w:pPr>
              <w:ind w:left="140"/>
              <w:spacing w:after="0" w:line="135" w:lineRule="exact"/>
              <w:rPr>
                <w:sz w:val="20"/>
                <w:szCs w:val="20"/>
                <w:color w:val="auto"/>
              </w:rPr>
            </w:pPr>
            <w:r>
              <w:rPr>
                <w:rFonts w:ascii="Arial" w:cs="Arial" w:eastAsia="Arial" w:hAnsi="Arial"/>
                <w:sz w:val="12"/>
                <w:szCs w:val="12"/>
                <w:color w:val="auto"/>
              </w:rPr>
              <w:t>02/02/2022</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511,893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Borders>
              <w:bottom w:val="single" w:sz="8" w:color="auto"/>
            </w:tcBorders>
          </w:tcPr>
          <w:p>
            <w:pPr>
              <w:ind w:left="4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9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11,779,153</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11,841,065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Maturity /</w:t>
            </w:r>
          </w:p>
        </w:tc>
        <w:tc>
          <w:tcPr>
            <w:tcW w:w="26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2"/>
              </w:rPr>
              <w:t>Industry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Current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260" w:type="dxa"/>
            <w:vAlign w:val="bottom"/>
            <w:gridSpan w:val="2"/>
            <w:vMerge w:val="continue"/>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2620" w:type="dxa"/>
            <w:vAlign w:val="bottom"/>
            <w:gridSpan w:val="2"/>
            <w:vMerge w:val="continue"/>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Coupon</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82"/>
              <w:spacing w:after="0"/>
              <w:rPr>
                <w:sz w:val="20"/>
                <w:szCs w:val="20"/>
                <w:color w:val="auto"/>
              </w:rPr>
            </w:pPr>
            <w:r>
              <w:rPr>
                <w:rFonts w:ascii="Arial" w:cs="Arial" w:eastAsia="Arial" w:hAnsi="Arial"/>
                <w:sz w:val="12"/>
                <w:szCs w:val="12"/>
                <w:b w:val="1"/>
                <w:bCs w:val="1"/>
                <w:color w:val="auto"/>
                <w:w w:val="94"/>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7"/>
              </w:rPr>
              <w:t xml:space="preserve">Common Equity/Partnership Interests/Warrants—10.5% </w:t>
            </w:r>
            <w:r>
              <w:rPr>
                <w:rFonts w:ascii="Arial" w:cs="Arial" w:eastAsia="Arial" w:hAnsi="Arial"/>
                <w:sz w:val="9"/>
                <w:szCs w:val="9"/>
                <w:b w:val="1"/>
                <w:bCs w:val="1"/>
                <w:color w:val="auto"/>
                <w:w w:val="97"/>
              </w:rPr>
              <w:t>(6)</w:t>
            </w:r>
          </w:p>
        </w:tc>
        <w:tc>
          <w:tcPr>
            <w:tcW w:w="980" w:type="dxa"/>
            <w:vAlign w:val="bottom"/>
            <w:tcBorders>
              <w:top w:val="single" w:sz="8" w:color="auto"/>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980" w:type="dxa"/>
            <w:vAlign w:val="bottom"/>
          </w:tcPr>
          <w:p>
            <w:pPr>
              <w:ind w:left="480"/>
              <w:spacing w:after="0" w:line="135" w:lineRule="exact"/>
              <w:rPr>
                <w:sz w:val="20"/>
                <w:szCs w:val="20"/>
                <w:color w:val="auto"/>
              </w:rPr>
            </w:pPr>
            <w:r>
              <w:rPr>
                <w:rFonts w:ascii="Arial" w:cs="Arial" w:eastAsia="Arial" w:hAnsi="Arial"/>
                <w:sz w:val="12"/>
                <w:szCs w:val="12"/>
                <w:color w:val="auto"/>
              </w:rPr>
              <w:t>—</w:t>
            </w:r>
          </w:p>
        </w:tc>
        <w:tc>
          <w:tcPr>
            <w:tcW w:w="262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6"/>
              </w:rPr>
              <w:t>Consumer Products</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859,496</w:t>
            </w:r>
          </w:p>
        </w:tc>
        <w:tc>
          <w:tcPr>
            <w:tcW w:w="2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30,503,493</w:t>
            </w:r>
          </w:p>
        </w:tc>
        <w:tc>
          <w:tcPr>
            <w:tcW w:w="2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18,137,081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980" w:type="dxa"/>
            <w:vAlign w:val="bottom"/>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26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6"/>
              </w:rPr>
              <w:t>Consumer Products</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37,181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10,265,973</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29,841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line="135" w:lineRule="exact"/>
              <w:rPr>
                <w:sz w:val="20"/>
                <w:szCs w:val="20"/>
                <w:color w:val="auto"/>
              </w:rPr>
            </w:pPr>
            <w:r>
              <w:rPr>
                <w:rFonts w:ascii="Arial" w:cs="Arial" w:eastAsia="Arial" w:hAnsi="Arial"/>
                <w:sz w:val="12"/>
                <w:szCs w:val="12"/>
                <w:color w:val="auto"/>
              </w:rPr>
              <w:t>Big Run, Inc.</w:t>
            </w:r>
          </w:p>
        </w:tc>
        <w:tc>
          <w:tcPr>
            <w:tcW w:w="980" w:type="dxa"/>
            <w:vAlign w:val="bottom"/>
          </w:tcPr>
          <w:p>
            <w:pPr>
              <w:ind w:left="480"/>
              <w:spacing w:after="0" w:line="135" w:lineRule="exact"/>
              <w:rPr>
                <w:sz w:val="20"/>
                <w:szCs w:val="20"/>
                <w:color w:val="auto"/>
              </w:rPr>
            </w:pPr>
            <w:r>
              <w:rPr>
                <w:rFonts w:ascii="Arial" w:cs="Arial" w:eastAsia="Arial" w:hAnsi="Arial"/>
                <w:sz w:val="12"/>
                <w:szCs w:val="12"/>
                <w:color w:val="auto"/>
              </w:rPr>
              <w:t>—</w:t>
            </w:r>
          </w:p>
        </w:tc>
        <w:tc>
          <w:tcPr>
            <w:tcW w:w="262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8"/>
              </w:rPr>
              <w:t>Environmental Services</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143,668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674,943</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397,025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80" w:type="dxa"/>
            <w:vAlign w:val="bottom"/>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26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8"/>
              </w:rPr>
              <w:t>Oil and Gas</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1,658,389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29,711,576</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33,040,294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line="135" w:lineRule="exact"/>
              <w:rPr>
                <w:sz w:val="20"/>
                <w:szCs w:val="20"/>
                <w:color w:val="auto"/>
              </w:rPr>
            </w:pPr>
            <w:r>
              <w:rPr>
                <w:rFonts w:ascii="Arial" w:cs="Arial" w:eastAsia="Arial" w:hAnsi="Arial"/>
                <w:sz w:val="12"/>
                <w:szCs w:val="12"/>
                <w:color w:val="auto"/>
              </w:rPr>
              <w:t>ETX Energy Management Company, LLC</w:t>
            </w:r>
          </w:p>
        </w:tc>
        <w:tc>
          <w:tcPr>
            <w:tcW w:w="980" w:type="dxa"/>
            <w:vAlign w:val="bottom"/>
          </w:tcPr>
          <w:p>
            <w:pPr>
              <w:ind w:left="480"/>
              <w:spacing w:after="0" w:line="135" w:lineRule="exact"/>
              <w:rPr>
                <w:sz w:val="20"/>
                <w:szCs w:val="20"/>
                <w:color w:val="auto"/>
              </w:rPr>
            </w:pPr>
            <w:r>
              <w:rPr>
                <w:rFonts w:ascii="Arial" w:cs="Arial" w:eastAsia="Arial" w:hAnsi="Arial"/>
                <w:sz w:val="12"/>
                <w:szCs w:val="12"/>
                <w:color w:val="auto"/>
              </w:rPr>
              <w:t>—</w:t>
            </w:r>
          </w:p>
        </w:tc>
        <w:tc>
          <w:tcPr>
            <w:tcW w:w="262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8"/>
              </w:rPr>
              <w:t>Oil and Gas</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w w:val="97"/>
              </w:rPr>
              <w:t>1,754,104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1,562,020</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1,761,079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USWS Holdings, LLC—Class A and Class B </w:t>
            </w:r>
            <w:r>
              <w:rPr>
                <w:rFonts w:ascii="Arial" w:cs="Arial" w:eastAsia="Arial" w:hAnsi="Arial"/>
                <w:sz w:val="9"/>
                <w:szCs w:val="9"/>
                <w:color w:val="auto"/>
              </w:rPr>
              <w:t>(9)</w:t>
            </w:r>
          </w:p>
        </w:tc>
        <w:tc>
          <w:tcPr>
            <w:tcW w:w="980" w:type="dxa"/>
            <w:vAlign w:val="bottom"/>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26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8"/>
              </w:rPr>
              <w:t>Oil and Gas</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8,190,817</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7,023,750</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12,871,946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79,741,755</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66,237,266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91,520,908</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78,078,331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Companies—23.6% </w:t>
            </w:r>
            <w:r>
              <w:rPr>
                <w:rFonts w:ascii="Arial" w:cs="Arial" w:eastAsia="Arial" w:hAnsi="Arial"/>
                <w:sz w:val="9"/>
                <w:szCs w:val="9"/>
                <w:b w:val="1"/>
                <w:bCs w:val="1"/>
                <w:color w:val="auto"/>
              </w:rPr>
              <w:t>(1), (2)</w:t>
            </w: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Debt—15.7%</w:t>
            </w:r>
          </w:p>
        </w:tc>
        <w:tc>
          <w:tcPr>
            <w:tcW w:w="9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80" w:type="dxa"/>
            <w:vAlign w:val="bottom"/>
          </w:tcPr>
          <w:p>
            <w:pPr>
              <w:ind w:left="120"/>
              <w:spacing w:after="0" w:line="135" w:lineRule="exact"/>
              <w:rPr>
                <w:sz w:val="20"/>
                <w:szCs w:val="20"/>
                <w:color w:val="auto"/>
              </w:rPr>
            </w:pPr>
            <w:r>
              <w:rPr>
                <w:rFonts w:ascii="Arial" w:cs="Arial" w:eastAsia="Arial" w:hAnsi="Arial"/>
                <w:sz w:val="12"/>
                <w:szCs w:val="12"/>
                <w:color w:val="auto"/>
              </w:rPr>
              <w:t>03/13/2024</w:t>
            </w:r>
          </w:p>
        </w:tc>
        <w:tc>
          <w:tcPr>
            <w:tcW w:w="262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6.55%</w:t>
            </w:r>
          </w:p>
        </w:tc>
        <w:tc>
          <w:tcPr>
            <w:tcW w:w="580" w:type="dxa"/>
            <w:vAlign w:val="bottom"/>
          </w:tcPr>
          <w:p>
            <w:pPr>
              <w:ind w:left="80"/>
              <w:spacing w:after="0" w:line="135" w:lineRule="exact"/>
              <w:rPr>
                <w:sz w:val="20"/>
                <w:szCs w:val="20"/>
                <w:color w:val="auto"/>
              </w:rPr>
            </w:pPr>
            <w:r>
              <w:rPr>
                <w:rFonts w:ascii="Arial" w:cs="Arial" w:eastAsia="Arial" w:hAnsi="Arial"/>
                <w:sz w:val="12"/>
                <w:szCs w:val="12"/>
                <w:color w:val="auto"/>
                <w:w w:val="89"/>
              </w:rPr>
              <w:t>3M L+575</w:t>
            </w:r>
          </w:p>
        </w:tc>
        <w:tc>
          <w:tcPr>
            <w:tcW w:w="3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w w:val="86"/>
              </w:rPr>
              <w:t>28,000,000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39,051,600</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36,513,484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LLC</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07/01/2022</w:t>
            </w:r>
          </w:p>
        </w:tc>
        <w:tc>
          <w:tcPr>
            <w:tcW w:w="26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0"/>
              </w:rPr>
              <w:t>Energy and Utilities</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8.00%</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35,000,000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line="135" w:lineRule="exact"/>
              <w:rPr>
                <w:sz w:val="20"/>
                <w:szCs w:val="20"/>
                <w:color w:val="auto"/>
              </w:rPr>
            </w:pPr>
            <w:r>
              <w:rPr>
                <w:rFonts w:ascii="Arial" w:cs="Arial" w:eastAsia="Arial" w:hAnsi="Arial"/>
                <w:sz w:val="12"/>
                <w:szCs w:val="12"/>
                <w:color w:val="auto"/>
              </w:rPr>
              <w:t>RAM Energy LLC (Revolver)</w:t>
            </w:r>
          </w:p>
        </w:tc>
        <w:tc>
          <w:tcPr>
            <w:tcW w:w="980" w:type="dxa"/>
            <w:vAlign w:val="bottom"/>
          </w:tcPr>
          <w:p>
            <w:pPr>
              <w:ind w:left="120"/>
              <w:spacing w:after="0" w:line="135" w:lineRule="exact"/>
              <w:rPr>
                <w:sz w:val="20"/>
                <w:szCs w:val="20"/>
                <w:color w:val="auto"/>
              </w:rPr>
            </w:pPr>
            <w:r>
              <w:rPr>
                <w:rFonts w:ascii="Arial" w:cs="Arial" w:eastAsia="Arial" w:hAnsi="Arial"/>
                <w:sz w:val="12"/>
                <w:szCs w:val="12"/>
                <w:color w:val="auto"/>
              </w:rPr>
              <w:t>07/01/2022</w:t>
            </w:r>
          </w:p>
        </w:tc>
        <w:tc>
          <w:tcPr>
            <w:tcW w:w="26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0"/>
              </w:rPr>
              <w:t>Energy and Utilities</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8.00%</w:t>
            </w:r>
          </w:p>
        </w:tc>
        <w:tc>
          <w:tcPr>
            <w:tcW w:w="58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w w:val="86"/>
              </w:rPr>
              <w:t>10,000,000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10,000,000</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10,000,000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07/01/2022</w:t>
            </w:r>
          </w:p>
        </w:tc>
        <w:tc>
          <w:tcPr>
            <w:tcW w:w="26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0"/>
              </w:rPr>
              <w:t>Energy and Utilities</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5,000,000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40" w:type="dxa"/>
            <w:vAlign w:val="bottom"/>
          </w:tcPr>
          <w:p>
            <w:pPr>
              <w:spacing w:after="0" w:line="129" w:lineRule="exact"/>
              <w:rPr>
                <w:sz w:val="20"/>
                <w:szCs w:val="20"/>
                <w:color w:val="auto"/>
              </w:rPr>
            </w:pPr>
            <w:r>
              <w:rPr>
                <w:rFonts w:ascii="Arial" w:cs="Arial" w:eastAsia="Arial" w:hAnsi="Arial"/>
                <w:sz w:val="12"/>
                <w:szCs w:val="12"/>
                <w:color w:val="auto"/>
              </w:rPr>
              <w:t>Superior Digital Displays, LLC</w:t>
            </w:r>
          </w:p>
        </w:tc>
        <w:tc>
          <w:tcPr>
            <w:tcW w:w="980" w:type="dxa"/>
            <w:vAlign w:val="bottom"/>
          </w:tcPr>
          <w:p>
            <w:pPr>
              <w:ind w:left="120"/>
              <w:spacing w:after="0" w:line="129" w:lineRule="exact"/>
              <w:rPr>
                <w:sz w:val="20"/>
                <w:szCs w:val="20"/>
                <w:color w:val="auto"/>
              </w:rPr>
            </w:pPr>
            <w:r>
              <w:rPr>
                <w:rFonts w:ascii="Arial" w:cs="Arial" w:eastAsia="Arial" w:hAnsi="Arial"/>
                <w:sz w:val="12"/>
                <w:szCs w:val="12"/>
                <w:color w:val="auto"/>
              </w:rPr>
              <w:t>12/31/2018</w:t>
            </w:r>
          </w:p>
        </w:tc>
        <w:tc>
          <w:tcPr>
            <w:tcW w:w="2620" w:type="dxa"/>
            <w:vAlign w:val="bottom"/>
            <w:gridSpan w:val="2"/>
          </w:tcPr>
          <w:p>
            <w:pPr>
              <w:jc w:val="center"/>
              <w:ind w:right="240"/>
              <w:spacing w:after="0" w:line="129" w:lineRule="exact"/>
              <w:rPr>
                <w:sz w:val="20"/>
                <w:szCs w:val="20"/>
                <w:color w:val="auto"/>
              </w:rPr>
            </w:pPr>
            <w:r>
              <w:rPr>
                <w:rFonts w:ascii="Arial" w:cs="Arial" w:eastAsia="Arial" w:hAnsi="Arial"/>
                <w:sz w:val="12"/>
                <w:szCs w:val="12"/>
                <w:color w:val="auto"/>
                <w:w w:val="91"/>
              </w:rPr>
              <w:t>Media</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7.84%</w:t>
            </w:r>
          </w:p>
        </w:tc>
        <w:tc>
          <w:tcPr>
            <w:tcW w:w="580" w:type="dxa"/>
            <w:vAlign w:val="bottom"/>
          </w:tcPr>
          <w:p>
            <w:pPr>
              <w:ind w:left="80"/>
              <w:spacing w:after="0" w:line="129" w:lineRule="exact"/>
              <w:rPr>
                <w:sz w:val="20"/>
                <w:szCs w:val="20"/>
                <w:color w:val="auto"/>
              </w:rPr>
            </w:pPr>
            <w:r>
              <w:rPr>
                <w:rFonts w:ascii="Arial" w:cs="Arial" w:eastAsia="Arial" w:hAnsi="Arial"/>
                <w:sz w:val="12"/>
                <w:szCs w:val="12"/>
                <w:color w:val="auto"/>
                <w:w w:val="89"/>
              </w:rPr>
              <w:t>3M L+550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w w:val="86"/>
              </w:rPr>
              <w:t>23,208,601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color w:val="auto"/>
              </w:rPr>
              <w:t>22,749,435</w:t>
            </w:r>
          </w:p>
        </w:tc>
        <w:tc>
          <w:tcPr>
            <w:tcW w:w="2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17,220,000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color w:val="auto"/>
              </w:rPr>
              <w:t>(PIK 7.84%)</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9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106,801,035</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98,733,484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980" w:type="dxa"/>
            <w:vAlign w:val="bottom"/>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26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3"/>
              </w:rPr>
              <w:t>Distribution</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153,922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15,392,189</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12,099,647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80" w:type="dxa"/>
            <w:vAlign w:val="bottom"/>
          </w:tcPr>
          <w:p>
            <w:pPr>
              <w:ind w:left="480"/>
              <w:spacing w:after="0" w:line="135" w:lineRule="exact"/>
              <w:rPr>
                <w:sz w:val="20"/>
                <w:szCs w:val="20"/>
                <w:color w:val="auto"/>
              </w:rPr>
            </w:pPr>
            <w:r>
              <w:rPr>
                <w:rFonts w:ascii="Arial" w:cs="Arial" w:eastAsia="Arial" w:hAnsi="Arial"/>
                <w:sz w:val="12"/>
                <w:szCs w:val="12"/>
                <w:color w:val="auto"/>
              </w:rPr>
              <w:t>—</w:t>
            </w:r>
          </w:p>
        </w:tc>
        <w:tc>
          <w:tcPr>
            <w:tcW w:w="26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1"/>
              </w:rPr>
              <w:t>Media</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15.00%</w:t>
            </w:r>
          </w:p>
        </w:tc>
        <w:tc>
          <w:tcPr>
            <w:tcW w:w="58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873,289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30,011,026</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9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45,403,215</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12,099,647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Equity—6.0% </w:t>
            </w:r>
            <w:r>
              <w:rPr>
                <w:rFonts w:ascii="Arial" w:cs="Arial" w:eastAsia="Arial" w:hAnsi="Arial"/>
                <w:sz w:val="9"/>
                <w:szCs w:val="9"/>
                <w:b w:val="1"/>
                <w:bCs w:val="1"/>
                <w:color w:val="auto"/>
              </w:rPr>
              <w:t>(6)</w:t>
            </w:r>
          </w:p>
        </w:tc>
        <w:tc>
          <w:tcPr>
            <w:tcW w:w="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80" w:type="dxa"/>
            <w:vAlign w:val="bottom"/>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26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132,497</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3,987,794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line="135" w:lineRule="exact"/>
              <w:rPr>
                <w:sz w:val="20"/>
                <w:szCs w:val="20"/>
                <w:color w:val="auto"/>
              </w:rPr>
            </w:pPr>
            <w:r>
              <w:rPr>
                <w:rFonts w:ascii="Arial" w:cs="Arial" w:eastAsia="Arial" w:hAnsi="Arial"/>
                <w:sz w:val="12"/>
                <w:szCs w:val="12"/>
                <w:color w:val="auto"/>
              </w:rPr>
              <w:t>MidOcean JF Holdings Corp.</w:t>
            </w:r>
          </w:p>
        </w:tc>
        <w:tc>
          <w:tcPr>
            <w:tcW w:w="980" w:type="dxa"/>
            <w:vAlign w:val="bottom"/>
          </w:tcPr>
          <w:p>
            <w:pPr>
              <w:ind w:left="480"/>
              <w:spacing w:after="0" w:line="135" w:lineRule="exact"/>
              <w:rPr>
                <w:sz w:val="20"/>
                <w:szCs w:val="20"/>
                <w:color w:val="auto"/>
              </w:rPr>
            </w:pPr>
            <w:r>
              <w:rPr>
                <w:rFonts w:ascii="Arial" w:cs="Arial" w:eastAsia="Arial" w:hAnsi="Arial"/>
                <w:sz w:val="12"/>
                <w:szCs w:val="12"/>
                <w:color w:val="auto"/>
              </w:rPr>
              <w:t>—</w:t>
            </w:r>
          </w:p>
        </w:tc>
        <w:tc>
          <w:tcPr>
            <w:tcW w:w="262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3"/>
              </w:rPr>
              <w:t>Distribution</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65,933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24,761,831</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Holdings LLC</w:t>
            </w:r>
          </w:p>
        </w:tc>
        <w:tc>
          <w:tcPr>
            <w:tcW w:w="980" w:type="dxa"/>
            <w:vAlign w:val="bottom"/>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26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0"/>
              </w:rPr>
              <w:t>Energy and Utilities</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84,747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76,264,739</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33,914,960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80" w:type="dxa"/>
            <w:vAlign w:val="bottom"/>
          </w:tcPr>
          <w:p>
            <w:pPr>
              <w:ind w:left="480"/>
              <w:spacing w:after="0" w:line="135" w:lineRule="exact"/>
              <w:rPr>
                <w:sz w:val="20"/>
                <w:szCs w:val="20"/>
                <w:color w:val="auto"/>
              </w:rPr>
            </w:pPr>
            <w:r>
              <w:rPr>
                <w:rFonts w:ascii="Arial" w:cs="Arial" w:eastAsia="Arial" w:hAnsi="Arial"/>
                <w:sz w:val="12"/>
                <w:szCs w:val="12"/>
                <w:color w:val="auto"/>
              </w:rPr>
              <w:t>—</w:t>
            </w:r>
          </w:p>
        </w:tc>
        <w:tc>
          <w:tcPr>
            <w:tcW w:w="26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1"/>
              </w:rPr>
              <w:t>Media</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11,100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2,211,000</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t>
            </w:r>
          </w:p>
        </w:tc>
        <w:tc>
          <w:tcPr>
            <w:tcW w:w="9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103,370,067</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37,902,754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rPr>
                <w:sz w:val="20"/>
                <w:szCs w:val="20"/>
                <w:color w:val="auto"/>
              </w:rPr>
            </w:pPr>
            <w:r>
              <w:rPr>
                <w:rFonts w:ascii="Arial" w:cs="Arial" w:eastAsia="Arial" w:hAnsi="Arial"/>
                <w:sz w:val="12"/>
                <w:szCs w:val="12"/>
                <w:b w:val="1"/>
                <w:bCs w:val="1"/>
                <w:color w:val="auto"/>
                <w:w w:val="90"/>
              </w:rPr>
              <w:t>Total Investments in Controlled, Affiliated Portfolio Companies</w:t>
            </w:r>
          </w:p>
        </w:tc>
        <w:tc>
          <w:tcPr>
            <w:tcW w:w="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255,574,317</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148,735,885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Investments—180.0%</w:t>
            </w:r>
          </w:p>
        </w:tc>
        <w:tc>
          <w:tcPr>
            <w:tcW w:w="9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88"/>
              </w:rPr>
              <w:t>1,243,816,175</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1,132,085,474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6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Equivalents—3.1%</w:t>
            </w:r>
          </w:p>
        </w:tc>
        <w:tc>
          <w:tcPr>
            <w:tcW w:w="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9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531,379</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531,379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19,012,246</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18,974,775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Cash and Cash Equivalents</w:t>
            </w:r>
          </w:p>
        </w:tc>
        <w:tc>
          <w:tcPr>
            <w:tcW w:w="9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19,543,625</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19,506,154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6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and Cash Equivalents—183.1%</w:t>
            </w:r>
          </w:p>
        </w:tc>
        <w:tc>
          <w:tcPr>
            <w:tcW w:w="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w w:val="88"/>
              </w:rPr>
              <w:t>1,263,359,800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w w:val="93"/>
              </w:rPr>
              <w:t>1,151,591,628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24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Assets—(83.1%)</w:t>
            </w:r>
          </w:p>
        </w:tc>
        <w:tc>
          <w:tcPr>
            <w:tcW w:w="9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(522,689,733)</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Assets—100.0%</w:t>
            </w:r>
          </w:p>
        </w:tc>
        <w:tc>
          <w:tcPr>
            <w:tcW w:w="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628,901,895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6" w:lineRule="exact"/>
        <w:rPr>
          <w:sz w:val="20"/>
          <w:szCs w:val="20"/>
          <w:color w:val="auto"/>
        </w:rPr>
      </w:pPr>
    </w:p>
    <w:p>
      <w:pPr>
        <w:ind w:left="420" w:right="180" w:hanging="216"/>
        <w:spacing w:after="0" w:line="243" w:lineRule="auto"/>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20" w:right="120" w:hanging="216"/>
        <w:spacing w:after="0" w:line="234" w:lineRule="auto"/>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420" w:hanging="216"/>
        <w:spacing w:after="0" w:line="234" w:lineRule="auto"/>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420" w:right="220" w:hanging="216"/>
        <w:spacing w:after="0" w:line="256" w:lineRule="auto"/>
        <w:tabs>
          <w:tab w:leader="none" w:pos="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LIBOR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PIK interest and other fee rates, if any.</w:t>
      </w:r>
    </w:p>
    <w:p>
      <w:pPr>
        <w:ind w:left="420" w:hanging="216"/>
        <w:spacing w:after="0"/>
        <w:tabs>
          <w:tab w:leader="none" w:pos="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420" w:hanging="216"/>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40" w:right="24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5" w:lineRule="exact"/>
        <w:rPr>
          <w:sz w:val="20"/>
          <w:szCs w:val="20"/>
          <w:color w:val="auto"/>
        </w:rPr>
      </w:pPr>
    </w:p>
    <w:p>
      <w:pPr>
        <w:ind w:left="420" w:hanging="216"/>
        <w:spacing w:after="0"/>
        <w:tabs>
          <w:tab w:leader="none" w:pos="420" w:val="left"/>
        </w:tabs>
        <w:numPr>
          <w:ilvl w:val="0"/>
          <w:numId w:val="87"/>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 w:lineRule="exact"/>
        <w:rPr>
          <w:rFonts w:ascii="Arial" w:cs="Arial" w:eastAsia="Arial" w:hAnsi="Arial"/>
          <w:sz w:val="11"/>
          <w:szCs w:val="11"/>
          <w:color w:val="auto"/>
        </w:rPr>
      </w:pPr>
    </w:p>
    <w:p>
      <w:pPr>
        <w:ind w:left="420" w:hanging="216"/>
        <w:spacing w:after="0" w:line="234" w:lineRule="auto"/>
        <w:tabs>
          <w:tab w:leader="none" w:pos="4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420" w:hanging="216"/>
        <w:spacing w:after="0" w:line="234" w:lineRule="auto"/>
        <w:tabs>
          <w:tab w:leader="none" w:pos="4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420" w:hanging="216"/>
        <w:spacing w:after="0" w:line="234" w:lineRule="auto"/>
        <w:tabs>
          <w:tab w:leader="none" w:pos="4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420" w:hanging="216"/>
        <w:spacing w:after="0" w:line="256" w:lineRule="auto"/>
        <w:tabs>
          <w:tab w:leader="none" w:pos="420" w:val="left"/>
        </w:tabs>
        <w:numPr>
          <w:ilvl w:val="0"/>
          <w:numId w:val="87"/>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420" w:hanging="216"/>
        <w:spacing w:after="0" w:line="234" w:lineRule="auto"/>
        <w:tabs>
          <w:tab w:leader="none" w:pos="4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420" w:hanging="216"/>
        <w:spacing w:after="0"/>
        <w:tabs>
          <w:tab w:leader="none" w:pos="4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20"/>
          </w:cols>
          <w:pgMar w:left="240" w:top="459" w:right="6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5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9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8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240" w:top="460"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060" w:right="10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the Investment Adviser;</w:t>
      </w:r>
    </w:p>
    <w:p>
      <w:pPr>
        <w:spacing w:after="0" w:line="130" w:lineRule="exact"/>
        <w:rPr>
          <w:rFonts w:ascii="Arial" w:cs="Arial" w:eastAsia="Arial" w:hAnsi="Arial"/>
          <w:sz w:val="18"/>
          <w:szCs w:val="18"/>
          <w:color w:val="auto"/>
        </w:rPr>
      </w:pPr>
    </w:p>
    <w:p>
      <w:pPr>
        <w:ind w:left="1060" w:right="240" w:hanging="424"/>
        <w:spacing w:after="0" w:line="279"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180" w:hanging="424"/>
        <w:spacing w:after="0" w:line="312" w:lineRule="auto"/>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060" w:right="24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6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reflect the fair value of an investment, it may independently value such investments by using the valuation procedure that it uses with respect to assets for which market quotations are not readily available.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2019 Notes during the reporting period, including any reversal of previously recorded unrealized appreciation or depreciation, when gains or losses are realized.</w:t>
      </w:r>
    </w:p>
    <w:p>
      <w:pPr>
        <w:spacing w:after="0" w:line="1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6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three months ended December 31, 2018 and 2017, we recorded a provision for taxes of $0.3 million ($0.1 million of excise tax and $0.2 million of U.S. federal and state income taxes related to the Taxable Subsidiaries) and zero, respectively.</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80"/>
          </w:cols>
          <w:pgMar w:left="24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December 31,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92"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 transactions.</w:t>
      </w:r>
    </w:p>
    <w:p>
      <w:pPr>
        <w:spacing w:after="0" w:line="24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 Recent Accounting Pronouncements</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August 2018, the FASB issued Accounting Standards Update, or ASU 2018-13, Fair Value Measurement (Topic 820): Disclosure Framework - Changes to the Disclosure Requirements for Fair Value Measurement, which changes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5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 xml:space="preserve">In August 2018, the SEC issued the Final Rule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The amendments are intended to facilitate the disclosure of information to investors and simplify compliance. The final rule was effective on November 5, 2018. We but do not anticipate the impact of this final rule to have a material impact on our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Under the Investment Management Agreement, as amended and restated on February 5, 2019,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2019.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6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00" w:right="254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unfunded commitments, if any) and is payable quarterly in arrears. In addition, on November 13, 2018, in connection with our board of directors’ approval of the application of the modified asset coverage requirements to the Company, our board of directors also approved an amendment to the Investment Advisory Agreement reducing the Investment Advisor’s annual base management fee from 1.50% to 1.00% on gross assets that exceed 200% of the Company’s total net assets as of the immediately preceding quarter-end.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months ended December 31, 2018 and 2017, the Investment Adviser earned a base management fee of $4.4 million and $4.8 million (after a waiver of $0.9 million), respectively, from us.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w:t>
      </w:r>
    </w:p>
    <w:p>
      <w:pPr>
        <w:spacing w:after="0" w:line="6"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(7.00% annualized). Effective January 1, 2018,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2.1875% in any calendar quarter. From December 31, 2015 through December 31, 2017, the</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60"/>
          </w:cols>
          <w:pgMar w:left="240" w:top="460"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Investment Adviser voluntarily agreed, in consultation with the board of directors, to irrevocably waive 16% of incentive fees, correlated to our 16% energy cost exposure (oil &amp; gas and energy &amp; utilities industries) at cost as of December 31, 2015. For the three months ended December 31, 2018 and 2017, the Investment Adviser earned $2.7 million and $2.7 million (after a waiver of $0.5 million), respectively, in incentive fees on net investment income from us.</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2018 and 2017, the Investment Adviser did not accrue an incentive fee on capital gains as calculated under the Investment Management Agreement (as described above).</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months ended December 31, 2018 and 2017, the Investment Adviser did not accrue an incentive fee on capital gains as calculated under GAAP.</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2019.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both the three months ended December 31, 2018 and 2017, we reimbursed the Investment Adviser approximately $0.3 million, including expenses the Investment Adviser incurred on behalf of the Administrator, for services described above.</w:t>
      </w:r>
    </w:p>
    <w:p>
      <w:pPr>
        <w:spacing w:after="0" w:line="178" w:lineRule="exact"/>
        <w:rPr>
          <w:sz w:val="20"/>
          <w:szCs w:val="20"/>
          <w:color w:val="auto"/>
        </w:rPr>
      </w:pPr>
    </w:p>
    <w:p>
      <w:pPr>
        <w:jc w:val="center"/>
        <w:ind w:right="160"/>
        <w:spacing w:after="0" w:line="449" w:lineRule="auto"/>
        <w:rPr>
          <w:sz w:val="20"/>
          <w:szCs w:val="20"/>
          <w:color w:val="auto"/>
        </w:rPr>
      </w:pPr>
      <w:r>
        <w:rPr>
          <w:rFonts w:ascii="Arial" w:cs="Arial" w:eastAsia="Arial" w:hAnsi="Arial"/>
          <w:sz w:val="18"/>
          <w:szCs w:val="18"/>
          <w:color w:val="auto"/>
        </w:rPr>
        <w:t>There were no transactions subject to Rule 17a-7 under the 1940 Act during both the three months ended December 31, 2018 and 2017. F-20</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880" w:right="216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Purchases of investments, including PIK interest, for the three months ended December 31, 2018 and 2017 totaled $196.4 million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$142.1 million, respectively. Sales and repayments of investments for the same periods totaled $125.8 million and $192.3 million, respectively.</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49"/>
        </w:trPr>
        <w:tc>
          <w:tcPr>
            <w:tcW w:w="38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14"/>
              <w:spacing w:after="0" w:line="129"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14"/>
              <w:spacing w:after="0" w:line="129" w:lineRule="exact"/>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First lien</w:t>
            </w:r>
          </w:p>
        </w:tc>
        <w:tc>
          <w:tcPr>
            <w:tcW w:w="2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580,205,266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577,393,518</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536,875,632</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531,422,088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395,646,750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403,170,805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385,201,277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391,038,029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49,887,593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48,123,067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48,617,113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48,127,586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297,871,535</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162,766,421</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273,122,153</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161,497,771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1,323,611,144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1,191,453,811</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1,243,816,175</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1,132,085,474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24,657,870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24,653,889</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19,543,625</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Total investments and cash and cash equivalents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1,348,269,014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1,216,107,700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1,263,359,800</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1,151,591,628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94"/>
              <w:spacing w:after="0"/>
              <w:rPr>
                <w:sz w:val="20"/>
                <w:szCs w:val="20"/>
                <w:color w:val="auto"/>
              </w:rPr>
            </w:pPr>
            <w:r>
              <w:rPr>
                <w:rFonts w:ascii="Arial" w:cs="Arial" w:eastAsia="Arial" w:hAnsi="Arial"/>
                <w:sz w:val="18"/>
                <w:szCs w:val="18"/>
                <w:color w:val="auto"/>
              </w:rPr>
              <w:t>F-21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60" w:right="8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40" w:right="24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5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1940" w:type="dxa"/>
            <w:vAlign w:val="bottom"/>
            <w:gridSpan w:val="2"/>
          </w:tcPr>
          <w:p>
            <w:pPr>
              <w:jc w:val="right"/>
              <w:ind w:right="190"/>
              <w:spacing w:after="0" w:line="158"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38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Fair value, as defined under ASC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20"/>
          </w:cols>
          <w:pgMar w:left="240" w:top="459" w:right="6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660" w:right="1300" w:hanging="904"/>
        <w:spacing w:after="0" w:line="277" w:lineRule="auto"/>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60" w:right="560" w:hanging="904"/>
        <w:spacing w:after="0" w:line="264"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60" w:right="1000" w:hanging="904"/>
        <w:spacing w:after="0" w:line="277" w:lineRule="auto"/>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three months ended December 31, 2018 and 2017, our ability to observe valuation inputs resulted in no reclassifications.</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w:t>
      </w:r>
    </w:p>
    <w:p>
      <w:pPr>
        <w:spacing w:after="0" w:line="158"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301"/>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Valuation Technique</w:t>
            </w:r>
          </w:p>
        </w:tc>
        <w:tc>
          <w:tcPr>
            <w:tcW w:w="25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Unobservable Input</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8"/>
        </w:trPr>
        <w:tc>
          <w:tcPr>
            <w:tcW w:w="29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121"/>
              <w:spacing w:after="0" w:line="158" w:lineRule="exact"/>
              <w:rPr>
                <w:sz w:val="20"/>
                <w:szCs w:val="20"/>
                <w:color w:val="auto"/>
              </w:rPr>
            </w:pPr>
            <w:r>
              <w:rPr>
                <w:rFonts w:ascii="Arial" w:cs="Arial" w:eastAsia="Arial" w:hAnsi="Arial"/>
                <w:sz w:val="14"/>
                <w:szCs w:val="14"/>
                <w:b w:val="1"/>
                <w:bCs w:val="1"/>
                <w:color w:val="auto"/>
                <w:w w:val="95"/>
              </w:rPr>
              <w:t>December 31, 2018</w:t>
            </w:r>
          </w:p>
        </w:tc>
        <w:tc>
          <w:tcPr>
            <w:tcW w:w="26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15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20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7,120,000</w:t>
            </w:r>
          </w:p>
        </w:tc>
        <w:tc>
          <w:tcPr>
            <w:tcW w:w="26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Market Comparable</w:t>
            </w:r>
          </w:p>
        </w:tc>
        <w:tc>
          <w:tcPr>
            <w:tcW w:w="26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bids or quotes</w:t>
            </w:r>
          </w:p>
        </w:tc>
        <w:tc>
          <w:tcPr>
            <w:tcW w:w="2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N/A</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180,966,837</w:t>
            </w:r>
          </w:p>
        </w:tc>
        <w:tc>
          <w:tcPr>
            <w:tcW w:w="260" w:type="dxa"/>
            <w:vAlign w:val="bottom"/>
          </w:tcPr>
          <w:p>
            <w:pPr>
              <w:spacing w:after="0"/>
              <w:rPr>
                <w:sz w:val="17"/>
                <w:szCs w:val="17"/>
                <w:color w:val="auto"/>
              </w:rPr>
            </w:pPr>
          </w:p>
        </w:tc>
        <w:tc>
          <w:tcPr>
            <w:tcW w:w="2200" w:type="dxa"/>
            <w:vAlign w:val="bottom"/>
            <w:gridSpan w:val="2"/>
          </w:tcPr>
          <w:p>
            <w:pPr>
              <w:ind w:left="34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Broker/Dealer bids or quotes</w:t>
            </w:r>
          </w:p>
        </w:tc>
        <w:tc>
          <w:tcPr>
            <w:tcW w:w="1520" w:type="dxa"/>
            <w:vAlign w:val="bottom"/>
            <w:gridSpan w:val="2"/>
          </w:tcPr>
          <w:p>
            <w:pPr>
              <w:ind w:left="6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570,273,518</w:t>
            </w:r>
          </w:p>
        </w:tc>
        <w:tc>
          <w:tcPr>
            <w:tcW w:w="26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52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2"/>
              </w:rPr>
              <w:t>7.5% – 17.6%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222,203,968</w:t>
            </w:r>
          </w:p>
        </w:tc>
        <w:tc>
          <w:tcPr>
            <w:tcW w:w="260" w:type="dxa"/>
            <w:vAlign w:val="bottom"/>
          </w:tcPr>
          <w:p>
            <w:pPr>
              <w:spacing w:after="0"/>
              <w:rPr>
                <w:sz w:val="16"/>
                <w:szCs w:val="16"/>
                <w:color w:val="auto"/>
              </w:rPr>
            </w:pPr>
          </w:p>
        </w:tc>
        <w:tc>
          <w:tcPr>
            <w:tcW w:w="2200" w:type="dxa"/>
            <w:vAlign w:val="bottom"/>
            <w:gridSpan w:val="2"/>
          </w:tcPr>
          <w:p>
            <w:pPr>
              <w:ind w:left="34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52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11.0% – 14.1%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(13.1%)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2"/>
              </w:rPr>
              <w:t>12.0% – 17.0%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48,123,067</w:t>
            </w:r>
          </w:p>
        </w:tc>
        <w:tc>
          <w:tcPr>
            <w:tcW w:w="2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161,713,242</w:t>
            </w:r>
          </w:p>
        </w:tc>
        <w:tc>
          <w:tcPr>
            <w:tcW w:w="260" w:type="dxa"/>
            <w:vAlign w:val="bottom"/>
          </w:tcPr>
          <w:p>
            <w:pPr>
              <w:spacing w:after="0"/>
              <w:rPr>
                <w:sz w:val="16"/>
                <w:szCs w:val="16"/>
                <w:color w:val="auto"/>
              </w:rPr>
            </w:pPr>
          </w:p>
        </w:tc>
        <w:tc>
          <w:tcPr>
            <w:tcW w:w="2200" w:type="dxa"/>
            <w:vAlign w:val="bottom"/>
            <w:gridSpan w:val="2"/>
          </w:tcPr>
          <w:p>
            <w:pPr>
              <w:ind w:left="200"/>
              <w:spacing w:after="0"/>
              <w:rPr>
                <w:sz w:val="20"/>
                <w:szCs w:val="20"/>
                <w:color w:val="auto"/>
              </w:rPr>
            </w:pPr>
            <w:r>
              <w:rPr>
                <w:rFonts w:ascii="Arial" w:cs="Arial" w:eastAsia="Arial" w:hAnsi="Arial"/>
                <w:sz w:val="16"/>
                <w:szCs w:val="16"/>
                <w:color w:val="auto"/>
              </w:rPr>
              <w:t>Enterprise Market Value</w:t>
            </w:r>
          </w:p>
        </w:tc>
        <w:tc>
          <w:tcPr>
            <w:tcW w:w="252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EBITDA multiple</w:t>
            </w:r>
          </w:p>
        </w:tc>
        <w:tc>
          <w:tcPr>
            <w:tcW w:w="1520" w:type="dxa"/>
            <w:vAlign w:val="bottom"/>
            <w:gridSpan w:val="2"/>
          </w:tcPr>
          <w:p>
            <w:pPr>
              <w:jc w:val="center"/>
              <w:ind w:right="40"/>
              <w:spacing w:after="0"/>
              <w:rPr>
                <w:sz w:val="20"/>
                <w:szCs w:val="20"/>
                <w:color w:val="auto"/>
              </w:rPr>
            </w:pPr>
            <w:r>
              <w:rPr>
                <w:rFonts w:ascii="Arial" w:cs="Arial" w:eastAsia="Arial" w:hAnsi="Arial"/>
                <w:sz w:val="16"/>
                <w:szCs w:val="16"/>
                <w:color w:val="auto"/>
                <w:w w:val="91"/>
              </w:rPr>
              <w:t>6.0x –13.0x</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6"/>
                <w:szCs w:val="16"/>
                <w:color w:val="auto"/>
                <w:w w:val="97"/>
              </w:rPr>
              <w:t>(9.0x)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Level 3 investments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1,190,400,632</w:t>
            </w: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6"/>
                <w:szCs w:val="16"/>
                <w:color w:val="auto"/>
              </w:rPr>
              <w:t>Long-Term Credit Facility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vMerge w:val="restart"/>
          </w:tcPr>
          <w:p>
            <w:pPr>
              <w:ind w:left="34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w w:val="87"/>
              </w:rPr>
              <w:t>5.6%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980" w:type="dxa"/>
            <w:vAlign w:val="bottom"/>
            <w:gridSpan w:val="3"/>
            <w:vMerge w:val="continue"/>
          </w:tcPr>
          <w:p>
            <w:pPr>
              <w:spacing w:after="0"/>
              <w:rPr>
                <w:sz w:val="16"/>
                <w:szCs w:val="16"/>
                <w:color w:val="auto"/>
              </w:rPr>
            </w:pP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167,088,178</w:t>
            </w:r>
          </w:p>
        </w:tc>
        <w:tc>
          <w:tcPr>
            <w:tcW w:w="26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281"/>
              <w:spacing w:after="0"/>
              <w:rPr>
                <w:sz w:val="20"/>
                <w:szCs w:val="20"/>
                <w:color w:val="auto"/>
              </w:rPr>
            </w:pPr>
            <w:r>
              <w:rPr>
                <w:rFonts w:ascii="Arial" w:cs="Arial" w:eastAsia="Arial" w:hAnsi="Arial"/>
                <w:sz w:val="14"/>
                <w:szCs w:val="14"/>
                <w:b w:val="1"/>
                <w:bCs w:val="1"/>
                <w:color w:val="auto"/>
              </w:rPr>
              <w:t>Fair Value at</w:t>
            </w:r>
          </w:p>
        </w:tc>
        <w:tc>
          <w:tcPr>
            <w:tcW w:w="360" w:type="dxa"/>
            <w:vAlign w:val="bottom"/>
          </w:tcPr>
          <w:p>
            <w:pPr>
              <w:spacing w:after="0"/>
              <w:rPr>
                <w:sz w:val="14"/>
                <w:szCs w:val="14"/>
                <w:color w:val="auto"/>
              </w:rPr>
            </w:pPr>
          </w:p>
        </w:tc>
        <w:tc>
          <w:tcPr>
            <w:tcW w:w="2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25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Unobservable Input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8"/>
        </w:trPr>
        <w:tc>
          <w:tcPr>
            <w:tcW w:w="27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81"/>
              <w:spacing w:after="0" w:line="158" w:lineRule="exact"/>
              <w:rPr>
                <w:sz w:val="20"/>
                <w:szCs w:val="20"/>
                <w:color w:val="auto"/>
              </w:rPr>
            </w:pPr>
            <w:r>
              <w:rPr>
                <w:rFonts w:ascii="Arial" w:cs="Arial" w:eastAsia="Arial" w:hAnsi="Arial"/>
                <w:sz w:val="14"/>
                <w:szCs w:val="14"/>
                <w:b w:val="1"/>
                <w:bCs w:val="1"/>
                <w:color w:val="auto"/>
                <w:w w:val="91"/>
              </w:rPr>
              <w:t>September 30, 2018</w:t>
            </w:r>
          </w:p>
        </w:tc>
        <w:tc>
          <w:tcPr>
            <w:tcW w:w="36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Second lien</w:t>
            </w:r>
          </w:p>
        </w:tc>
        <w:tc>
          <w:tcPr>
            <w:tcW w:w="17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164,734,450</w:t>
            </w:r>
          </w:p>
        </w:tc>
        <w:tc>
          <w:tcPr>
            <w:tcW w:w="36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Market Comparable</w:t>
            </w:r>
          </w:p>
        </w:tc>
        <w:tc>
          <w:tcPr>
            <w:tcW w:w="36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91"/>
              </w:rPr>
              <w:t>Broker/Dealer bids or quotes</w:t>
            </w:r>
          </w:p>
        </w:tc>
        <w:tc>
          <w:tcPr>
            <w:tcW w:w="3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531,422,088</w:t>
            </w:r>
          </w:p>
        </w:tc>
        <w:tc>
          <w:tcPr>
            <w:tcW w:w="360" w:type="dxa"/>
            <w:vAlign w:val="bottom"/>
          </w:tcPr>
          <w:p>
            <w:pPr>
              <w:spacing w:after="0"/>
              <w:rPr>
                <w:sz w:val="16"/>
                <w:szCs w:val="16"/>
                <w:color w:val="auto"/>
              </w:rPr>
            </w:pPr>
          </w:p>
        </w:tc>
        <w:tc>
          <w:tcPr>
            <w:tcW w:w="2180" w:type="dxa"/>
            <w:vAlign w:val="bottom"/>
            <w:gridSpan w:val="2"/>
          </w:tcPr>
          <w:p>
            <w:pPr>
              <w:ind w:left="28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Market Yield</w:t>
            </w:r>
          </w:p>
        </w:tc>
        <w:tc>
          <w:tcPr>
            <w:tcW w:w="1400" w:type="dxa"/>
            <w:vAlign w:val="bottom"/>
          </w:tcPr>
          <w:p>
            <w:pPr>
              <w:jc w:val="center"/>
              <w:spacing w:after="0"/>
              <w:rPr>
                <w:sz w:val="20"/>
                <w:szCs w:val="20"/>
                <w:color w:val="auto"/>
              </w:rPr>
            </w:pPr>
            <w:r>
              <w:rPr>
                <w:rFonts w:ascii="Arial" w:cs="Arial" w:eastAsia="Arial" w:hAnsi="Arial"/>
                <w:sz w:val="16"/>
                <w:szCs w:val="16"/>
                <w:color w:val="auto"/>
                <w:w w:val="92"/>
              </w:rPr>
              <w:t>7.4% – 17.5%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226,303,579</w:t>
            </w:r>
          </w:p>
        </w:tc>
        <w:tc>
          <w:tcPr>
            <w:tcW w:w="36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6"/>
              </w:rPr>
              <w:t>Market Yield</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10.7% – 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Subordinated debt / corporate notes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2"/>
              </w:rPr>
              <w:t>12.5% – 15.3%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48,127,586</w:t>
            </w:r>
          </w:p>
        </w:tc>
        <w:tc>
          <w:tcPr>
            <w:tcW w:w="360" w:type="dxa"/>
            <w:vAlign w:val="bottom"/>
          </w:tcPr>
          <w:p>
            <w:pPr>
              <w:spacing w:after="0"/>
              <w:rPr>
                <w:sz w:val="17"/>
                <w:szCs w:val="17"/>
                <w:color w:val="auto"/>
              </w:rPr>
            </w:pPr>
          </w:p>
        </w:tc>
        <w:tc>
          <w:tcPr>
            <w:tcW w:w="2180" w:type="dxa"/>
            <w:vAlign w:val="bottom"/>
            <w:gridSpan w:val="2"/>
          </w:tcPr>
          <w:p>
            <w:pPr>
              <w:ind w:left="28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Market Yield</w:t>
            </w:r>
          </w:p>
        </w:tc>
        <w:tc>
          <w:tcPr>
            <w:tcW w:w="1400" w:type="dxa"/>
            <w:vAlign w:val="bottom"/>
          </w:tcPr>
          <w:p>
            <w:pPr>
              <w:jc w:val="center"/>
              <w:spacing w:after="0"/>
              <w:rPr>
                <w:sz w:val="20"/>
                <w:szCs w:val="20"/>
                <w:color w:val="auto"/>
              </w:rPr>
            </w:pPr>
            <w:r>
              <w:rPr>
                <w:rFonts w:ascii="Arial" w:cs="Arial" w:eastAsia="Arial" w:hAnsi="Arial"/>
                <w:sz w:val="16"/>
                <w:szCs w:val="16"/>
                <w:color w:val="auto"/>
                <w:w w:val="96"/>
              </w:rPr>
              <w:t>(14.5%)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160,656,044</w:t>
            </w:r>
          </w:p>
        </w:tc>
        <w:tc>
          <w:tcPr>
            <w:tcW w:w="36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Enterprise Market Value</w:t>
            </w:r>
          </w:p>
        </w:tc>
        <w:tc>
          <w:tcPr>
            <w:tcW w:w="25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EBITDA multiple</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3.9x – 13.8x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(8.2x)</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80" w:type="dxa"/>
            <w:vAlign w:val="bottom"/>
            <w:gridSpan w:val="2"/>
          </w:tcPr>
          <w:p>
            <w:pPr>
              <w:ind w:left="300"/>
              <w:spacing w:after="0"/>
              <w:rPr>
                <w:sz w:val="20"/>
                <w:szCs w:val="20"/>
                <w:color w:val="auto"/>
              </w:rPr>
            </w:pPr>
            <w:r>
              <w:rPr>
                <w:rFonts w:ascii="Arial" w:cs="Arial" w:eastAsia="Arial" w:hAnsi="Arial"/>
                <w:sz w:val="16"/>
                <w:szCs w:val="16"/>
                <w:color w:val="auto"/>
              </w:rPr>
              <w:t>Total Level 3 investments</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1,131,243,747</w:t>
            </w: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77,645,830</w:t>
            </w:r>
          </w:p>
        </w:tc>
        <w:tc>
          <w:tcPr>
            <w:tcW w:w="36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6"/>
              </w:rPr>
              <w:t>Market Yield</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investments, cash and cash equivalents, Credit Facility and the 2019 Notes were categorized as follows in the fair value hierarchy for ASC 820 purposes: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Fair Value at December 31, 2018</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ind w:right="452"/>
              <w:spacing w:after="0" w:line="129"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414"/>
              <w:spacing w:after="0" w:line="129"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tcPr>
          <w:p>
            <w:pPr>
              <w:jc w:val="right"/>
              <w:ind w:right="572"/>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investments</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1,028,687,390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ind w:left="98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1,028,687,390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162,766,421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1,053,179</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161,713,242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1,191,453,811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1,053,179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1,190,400,632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24,653,889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24,653,889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Total investments and cash and cash</w:t>
            </w:r>
          </w:p>
        </w:tc>
        <w:tc>
          <w:tcPr>
            <w:tcW w:w="3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6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1,216,107,700</w:t>
            </w: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25,707,068</w:t>
            </w:r>
          </w:p>
        </w:tc>
        <w:tc>
          <w:tcPr>
            <w:tcW w:w="6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1,190,400,632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167,088,178</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167,088,178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249,430,000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7"/>
              </w:rPr>
              <w:t>249,430,000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416,518,178</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7"/>
              </w:rPr>
              <w:t>249,430,000</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167,088,178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at September 30, 2018</w:t>
            </w: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ind w:right="452"/>
              <w:spacing w:after="0" w:line="129"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414"/>
              <w:spacing w:after="0" w:line="129"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tcPr>
          <w:p>
            <w:pPr>
              <w:jc w:val="right"/>
              <w:ind w:right="572"/>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investments</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ind w:left="98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161,497,771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841,727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160,656,044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1,132,085,474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841,727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1,131,243,747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19,506,154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19,506,154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Total investments and cash and cash</w:t>
            </w:r>
          </w:p>
        </w:tc>
        <w:tc>
          <w:tcPr>
            <w:tcW w:w="3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6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1,151,591,628</w:t>
            </w: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20,347,881</w:t>
            </w:r>
          </w:p>
        </w:tc>
        <w:tc>
          <w:tcPr>
            <w:tcW w:w="6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1,131,243,747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77,645,830</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7"/>
              </w:rPr>
              <w:t>251,322,500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328,968,330</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7"/>
              </w:rPr>
              <w:t>251,322,500</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3"/>
          </w:tcPr>
          <w:p>
            <w:pPr>
              <w:jc w:val="right"/>
              <w:ind w:right="150"/>
              <w:spacing w:after="0"/>
              <w:rPr>
                <w:sz w:val="20"/>
                <w:szCs w:val="20"/>
                <w:color w:val="auto"/>
              </w:rPr>
            </w:pPr>
            <w:r>
              <w:rPr>
                <w:rFonts w:ascii="Arial" w:cs="Arial" w:eastAsia="Arial" w:hAnsi="Arial"/>
                <w:sz w:val="18"/>
                <w:szCs w:val="18"/>
                <w:color w:val="auto"/>
              </w:rPr>
              <w:t>F-25</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5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8"/>
          </w:tcPr>
          <w:p>
            <w:pPr>
              <w:jc w:val="center"/>
              <w:ind w:right="72"/>
              <w:spacing w:after="0"/>
              <w:rPr>
                <w:sz w:val="20"/>
                <w:szCs w:val="20"/>
                <w:color w:val="auto"/>
              </w:rPr>
            </w:pPr>
            <w:r>
              <w:rPr>
                <w:rFonts w:ascii="Arial" w:cs="Arial" w:eastAsia="Arial" w:hAnsi="Arial"/>
                <w:sz w:val="14"/>
                <w:szCs w:val="14"/>
                <w:b w:val="1"/>
                <w:bCs w:val="1"/>
                <w:color w:val="auto"/>
                <w:w w:val="93"/>
              </w:rPr>
              <w:t>Three Months Ended December 31, 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0"/>
                <w:szCs w:val="10"/>
                <w:color w:val="auto"/>
              </w:rPr>
            </w:pPr>
          </w:p>
        </w:tc>
        <w:tc>
          <w:tcPr>
            <w:tcW w:w="13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3"/>
                <w:szCs w:val="13"/>
                <w:color w:val="auto"/>
              </w:rPr>
            </w:pPr>
          </w:p>
        </w:tc>
        <w:tc>
          <w:tcPr>
            <w:tcW w:w="1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160,656,044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1,131,243,747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Net realized gains</w:t>
            </w: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805,044</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7,672,845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8,477,889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3,054,099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(22,878,354)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(19,824,255)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Purchases, PIK interest, net discount accretion and non-cash</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520"/>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175,080,250</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21,214,018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196,294,268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(120,839,706)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(4,951,311)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(125,791,017)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1,028,687,390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161,713,242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1,190,400,632</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w w:val="99"/>
              </w:rPr>
              <w:t>Net change in unrealized appreciation (depreciation) reported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within the net change in unrealized depreciation 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investments in our Consolidated Statements of Operations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attributable to our Level 3 assets still held at the reporting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date.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3,476,349</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(14,245,662)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(10,769,313)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72"/>
              <w:spacing w:after="0"/>
              <w:rPr>
                <w:sz w:val="20"/>
                <w:szCs w:val="20"/>
                <w:color w:val="auto"/>
              </w:rPr>
            </w:pPr>
            <w:r>
              <w:rPr>
                <w:rFonts w:ascii="Arial" w:cs="Arial" w:eastAsia="Arial" w:hAnsi="Arial"/>
                <w:sz w:val="14"/>
                <w:szCs w:val="14"/>
                <w:b w:val="1"/>
                <w:bCs w:val="1"/>
                <w:color w:val="auto"/>
                <w:w w:val="93"/>
              </w:rPr>
              <w:t>Three Months Ended December 31, 2017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0"/>
                <w:szCs w:val="10"/>
                <w:color w:val="auto"/>
              </w:rPr>
            </w:pPr>
          </w:p>
        </w:tc>
        <w:tc>
          <w:tcPr>
            <w:tcW w:w="13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3"/>
                <w:szCs w:val="13"/>
                <w:color w:val="auto"/>
              </w:rPr>
            </w:pPr>
          </w:p>
        </w:tc>
        <w:tc>
          <w:tcPr>
            <w:tcW w:w="1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986,328,498</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166,268,568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1,152,597,066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Net realized gains</w:t>
            </w: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1,961,209</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1,810,786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3,771,995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depreciation</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(3,759,168)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(2,980,993)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(6,740,161)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Purchases, PIK interest, net discount accretion and non-cash</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520"/>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133,670,716</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8,708,434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142,379,150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(190,492,232)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(1,810,786)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(192,303,018)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927,709,023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171,996,009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1,099,705,032</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depreciation reported within the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change in unrealized (depreciation) appreciation 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investments in our Consolidated Statements of Operations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attributable to our Level 3 assets still held at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reporting date.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(1,441,348)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(2,980,993)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(4,422,341)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vMerge w:val="restart"/>
          </w:tcPr>
          <w:p>
            <w:pPr>
              <w:ind w:left="3740"/>
              <w:spacing w:after="0"/>
              <w:rPr>
                <w:sz w:val="20"/>
                <w:szCs w:val="20"/>
                <w:color w:val="auto"/>
              </w:rPr>
            </w:pPr>
            <w:r>
              <w:rPr>
                <w:rFonts w:ascii="Arial" w:cs="Arial" w:eastAsia="Arial" w:hAnsi="Arial"/>
                <w:sz w:val="18"/>
                <w:szCs w:val="18"/>
                <w:color w:val="auto"/>
              </w:rPr>
              <w:t>F-26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60" w:right="5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29"/>
        </w:trPr>
        <w:tc>
          <w:tcPr>
            <w:tcW w:w="5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250"/>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Beginning Balance (cost – $80,520,000 and $79,392,900,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77,645,830</w:t>
            </w:r>
          </w:p>
        </w:tc>
        <w:tc>
          <w:tcPr>
            <w:tcW w:w="3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$ 76,037,341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Net change in unrealized (depreciation) appreciation included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2"/>
          </w:tcPr>
          <w:p>
            <w:pPr>
              <w:ind w:left="520"/>
              <w:spacing w:after="0"/>
              <w:rPr>
                <w:sz w:val="20"/>
                <w:szCs w:val="20"/>
                <w:color w:val="auto"/>
              </w:rPr>
            </w:pPr>
            <w:r>
              <w:rPr>
                <w:rFonts w:ascii="Arial" w:cs="Arial" w:eastAsia="Arial" w:hAnsi="Arial"/>
                <w:sz w:val="18"/>
                <w:szCs w:val="18"/>
                <w:color w:val="auto"/>
              </w:rPr>
              <w:t>in earnings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(4,173,652)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540,734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217,000,000</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(123,384,000)</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40" w:type="dxa"/>
            <w:vAlign w:val="bottom"/>
            <w:gridSpan w:val="3"/>
          </w:tcPr>
          <w:p>
            <w:pPr>
              <w:spacing w:after="0"/>
              <w:rPr>
                <w:sz w:val="20"/>
                <w:szCs w:val="20"/>
                <w:color w:val="auto"/>
              </w:rPr>
            </w:pPr>
            <w:r>
              <w:rPr>
                <w:rFonts w:ascii="Arial" w:cs="Arial" w:eastAsia="Arial" w:hAnsi="Arial"/>
                <w:sz w:val="18"/>
                <w:szCs w:val="18"/>
                <w:color w:val="auto"/>
              </w:rPr>
              <w:t>Ending Balance (cost – $174,136,000 and $79,392,900,</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167,088,178</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$ 76,578,075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Temporary draws outstanding,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40" w:type="dxa"/>
            <w:vAlign w:val="bottom"/>
            <w:gridSpan w:val="3"/>
          </w:tcPr>
          <w:p>
            <w:pPr>
              <w:spacing w:after="0"/>
              <w:rPr>
                <w:sz w:val="20"/>
                <w:szCs w:val="20"/>
                <w:color w:val="auto"/>
              </w:rPr>
            </w:pPr>
            <w:r>
              <w:rPr>
                <w:rFonts w:ascii="Arial" w:cs="Arial" w:eastAsia="Arial" w:hAnsi="Arial"/>
                <w:sz w:val="18"/>
                <w:szCs w:val="18"/>
                <w:color w:val="auto"/>
              </w:rPr>
              <w:t>Ending Balance (cost – $174,136,000 and $79,392,900,</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167,088,178</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$ 76,578,075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hanging="316"/>
        <w:spacing w:after="0"/>
        <w:tabs>
          <w:tab w:leader="none" w:pos="520" w:val="left"/>
        </w:tabs>
        <w:numPr>
          <w:ilvl w:val="0"/>
          <w:numId w:val="90"/>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20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As of December 31, 2018, we had outstanding non-U.S. dollar borrowings on our Credit Facility. Net change in fair value on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4"/>
              </w:rPr>
              <w:t>Amount Borrowed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9"/>
              </w:rPr>
              <w:t>Borrowing Cost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 Value</w:t>
            </w:r>
          </w:p>
        </w:tc>
        <w:tc>
          <w:tcPr>
            <w:tcW w:w="13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Reset Date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1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29,000,000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40,136,000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36,934,197</w:t>
            </w:r>
          </w:p>
        </w:tc>
        <w:tc>
          <w:tcPr>
            <w:tcW w:w="1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9"/>
              </w:rPr>
              <w:t>March 15, 2019</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(3,201,803)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As of September 30, 2018, we had outstanding non-U.S. dollar borrowings on our Credit Facility. Net change in fair value on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4"/>
              </w:rPr>
              <w:t>Amount Borrowed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9"/>
              </w:rPr>
              <w:t>Borrowing Cost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Current Value</w:t>
            </w:r>
          </w:p>
        </w:tc>
        <w:tc>
          <w:tcPr>
            <w:tcW w:w="17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Reset Date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1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41,520,000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39,121,590</w:t>
            </w:r>
          </w:p>
        </w:tc>
        <w:tc>
          <w:tcPr>
            <w:tcW w:w="16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w w:val="88"/>
              </w:rPr>
              <w:t>December 14, 2018</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(2,398,410)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carrying value of our consolidated financial liabilities approximates fair value. We have adopted the principles under ASC Subtopic ASC 825-10, Financial Instruments, or ASC 825-10, which provides companies with an option to report selected financial assets and liabilities at fair value, and made an irrevocable election to apply ASC 825-10 to our Credit Facility and the 2019 Notes. We elected to use the fair value option for the Credit Facility and the 2019 Notes to align the measurement attributes of both our assets and liabilities while mitigating volatility in earnings from using different measurement attributes. During both the three months ended December 31, 2018 and 2017 we did not incur any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2019 Notes are reported in our Consolidated Statements of Operations. We elected not to apply ASC 825-10 to any other financial assets or</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liabilities, including the SBA debentures. For the three months ended December 31, 2018 and 2017, our Credit Facility and the 2019 Notes had a net change in unrealized depreciation of $6.1 million and $1.1 million, respectively. As of December 31, 2018 and September 30, 2018, the net unrealized depreciation on our Credit Facility and the 2019 Notes totaled $7.6 million and $1.6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2018 were as follows: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Purchases of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Sale of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Income</w:t>
            </w:r>
          </w:p>
        </w:tc>
        <w:tc>
          <w:tcPr>
            <w:tcW w:w="1140" w:type="dxa"/>
            <w:vAlign w:val="bottom"/>
            <w:gridSpan w:val="4"/>
          </w:tcPr>
          <w:p>
            <w:pPr>
              <w:ind w:left="140"/>
              <w:spacing w:after="0"/>
              <w:rPr>
                <w:sz w:val="20"/>
                <w:szCs w:val="20"/>
                <w:color w:val="auto"/>
              </w:rPr>
            </w:pPr>
            <w:r>
              <w:rPr>
                <w:rFonts w:ascii="Arial" w:cs="Arial" w:eastAsia="Arial" w:hAnsi="Arial"/>
                <w:sz w:val="14"/>
                <w:szCs w:val="14"/>
                <w:b w:val="1"/>
                <w:bCs w:val="1"/>
                <w:color w:val="auto"/>
              </w:rPr>
              <w:t>Net Change in</w:t>
            </w: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040" w:type="dxa"/>
            <w:vAlign w:val="bottom"/>
            <w:gridSpan w:val="4"/>
          </w:tcPr>
          <w:p>
            <w:pPr>
              <w:ind w:left="14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4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14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Appreciation /</w:t>
            </w: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58"/>
        </w:trPr>
        <w:tc>
          <w:tcPr>
            <w:tcW w:w="338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28"/>
              <w:spacing w:after="0" w:line="158"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1100" w:type="dxa"/>
            <w:vAlign w:val="bottom"/>
            <w:gridSpan w:val="3"/>
          </w:tcPr>
          <w:p>
            <w:pPr>
              <w:ind w:left="160"/>
              <w:spacing w:after="0" w:line="158" w:lineRule="exact"/>
              <w:rPr>
                <w:sz w:val="20"/>
                <w:szCs w:val="20"/>
                <w:color w:val="auto"/>
              </w:rPr>
            </w:pPr>
            <w:r>
              <w:rPr>
                <w:rFonts w:ascii="Arial" w:cs="Arial" w:eastAsia="Arial" w:hAnsi="Arial"/>
                <w:sz w:val="14"/>
                <w:szCs w:val="14"/>
                <w:b w:val="1"/>
                <w:bCs w:val="1"/>
                <w:color w:val="auto"/>
                <w:w w:val="92"/>
              </w:rPr>
              <w:t xml:space="preserve">Affiliates </w:t>
            </w:r>
            <w:r>
              <w:rPr>
                <w:rFonts w:ascii="Arial" w:cs="Arial" w:eastAsia="Arial" w:hAnsi="Arial"/>
                <w:sz w:val="12"/>
                <w:szCs w:val="12"/>
                <w:b w:val="1"/>
                <w:bCs w:val="1"/>
                <w:color w:val="auto"/>
                <w:w w:val="92"/>
              </w:rPr>
              <w:t>(1), (2)</w:t>
            </w:r>
          </w:p>
        </w:tc>
        <w:tc>
          <w:tcPr>
            <w:tcW w:w="1340" w:type="dxa"/>
            <w:vAlign w:val="bottom"/>
            <w:gridSpan w:val="4"/>
          </w:tcPr>
          <w:p>
            <w:pPr>
              <w:ind w:left="140"/>
              <w:spacing w:after="0" w:line="158" w:lineRule="exact"/>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8"/>
              <w:spacing w:after="0" w:line="158" w:lineRule="exact"/>
              <w:rPr>
                <w:sz w:val="20"/>
                <w:szCs w:val="20"/>
                <w:color w:val="auto"/>
              </w:rPr>
            </w:pPr>
            <w:r>
              <w:rPr>
                <w:rFonts w:ascii="Arial" w:cs="Arial" w:eastAsia="Arial" w:hAnsi="Arial"/>
                <w:sz w:val="14"/>
                <w:szCs w:val="14"/>
                <w:b w:val="1"/>
                <w:bCs w:val="1"/>
                <w:color w:val="auto"/>
                <w:w w:val="92"/>
              </w:rPr>
              <w:t>Accrued</w:t>
            </w:r>
          </w:p>
        </w:tc>
        <w:tc>
          <w:tcPr>
            <w:tcW w:w="1140" w:type="dxa"/>
            <w:vAlign w:val="bottom"/>
            <w:gridSpan w:val="4"/>
          </w:tcPr>
          <w:p>
            <w:pPr>
              <w:ind w:left="140"/>
              <w:spacing w:after="0" w:line="158" w:lineRule="exact"/>
              <w:rPr>
                <w:sz w:val="20"/>
                <w:szCs w:val="20"/>
                <w:color w:val="auto"/>
              </w:rPr>
            </w:pPr>
            <w:r>
              <w:rPr>
                <w:rFonts w:ascii="Arial" w:cs="Arial" w:eastAsia="Arial" w:hAnsi="Arial"/>
                <w:sz w:val="14"/>
                <w:szCs w:val="14"/>
                <w:b w:val="1"/>
                <w:bCs w:val="1"/>
                <w:color w:val="auto"/>
              </w:rPr>
              <w:t>(Depreciation)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92"/>
              </w:rPr>
              <w:t xml:space="preserve">2018 </w:t>
            </w:r>
            <w:r>
              <w:rPr>
                <w:rFonts w:ascii="Arial" w:cs="Arial" w:eastAsia="Arial" w:hAnsi="Arial"/>
                <w:sz w:val="12"/>
                <w:szCs w:val="12"/>
                <w:b w:val="1"/>
                <w:bCs w:val="1"/>
                <w:color w:val="auto"/>
                <w:w w:val="92"/>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0"/>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3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Controlled Affiliates</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AKW Holdings Limited</w:t>
            </w:r>
          </w:p>
        </w:tc>
        <w:tc>
          <w:tcPr>
            <w:tcW w:w="4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40,501,278</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580,572</w:t>
            </w:r>
          </w:p>
        </w:tc>
        <w:tc>
          <w:tcPr>
            <w:tcW w:w="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2,466,795</w:t>
            </w:r>
          </w:p>
        </w:tc>
        <w:tc>
          <w:tcPr>
            <w:tcW w:w="1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42,968,073</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MidOcean JF Holdings Corp. (JF Acquisition, LLC)</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12,099,647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(3,017,406)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9,082,240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RAM Energy LLC</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78,914,960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1,010,000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9,415,040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93,330,000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17,220,000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16,707,877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(16,168,548)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203,031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(10,457,361)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18,166,922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(1,346,115)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16,820,807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Big Run, Inc.</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397,025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(447,844)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277,918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(227,099)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ETX Energy, LLC</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34,801,373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2,326,900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(4,891,461)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32,236,812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U.S. Well Services, LLC </w:t>
            </w:r>
            <w:r>
              <w:rPr>
                <w:rFonts w:ascii="Arial" w:cs="Arial" w:eastAsia="Arial" w:hAnsi="Arial"/>
                <w:sz w:val="12"/>
                <w:szCs w:val="12"/>
                <w:color w:val="auto"/>
              </w:rPr>
              <w:t>(3)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24,713,011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225,253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(11,252,488)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213,730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(5,910,108)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4,859,930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Controlled and Non-Controlled Affiliates</w:t>
            </w:r>
          </w:p>
        </w:tc>
        <w:tc>
          <w:tcPr>
            <w:tcW w:w="4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226,814,216</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24,260,030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(27,868,880)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2,007,333</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(13,462,698)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201,937,932</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4,632,831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520" w:hanging="316"/>
        <w:spacing w:after="0"/>
        <w:tabs>
          <w:tab w:leader="none" w:pos="520" w:val="left"/>
        </w:tabs>
        <w:numPr>
          <w:ilvl w:val="0"/>
          <w:numId w:val="91"/>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520" w:hanging="316"/>
        <w:spacing w:after="0" w:line="221" w:lineRule="auto"/>
        <w:tabs>
          <w:tab w:leader="none" w:pos="520" w:val="left"/>
        </w:tabs>
        <w:numPr>
          <w:ilvl w:val="0"/>
          <w:numId w:val="91"/>
        </w:numPr>
        <w:rPr>
          <w:rFonts w:ascii="Arial" w:cs="Arial" w:eastAsia="Arial" w:hAnsi="Arial"/>
          <w:sz w:val="12"/>
          <w:szCs w:val="12"/>
          <w:color w:val="auto"/>
        </w:rPr>
      </w:pPr>
      <w:r>
        <w:rPr>
          <w:rFonts w:ascii="Arial" w:cs="Arial" w:eastAsia="Arial" w:hAnsi="Arial"/>
          <w:sz w:val="14"/>
          <w:szCs w:val="14"/>
          <w:color w:val="auto"/>
        </w:rPr>
        <w:t>Includes PIK.</w:t>
      </w:r>
    </w:p>
    <w:p>
      <w:pPr>
        <w:ind w:left="520" w:hanging="316"/>
        <w:spacing w:after="0"/>
        <w:tabs>
          <w:tab w:leader="none" w:pos="520" w:val="left"/>
        </w:tabs>
        <w:numPr>
          <w:ilvl w:val="0"/>
          <w:numId w:val="91"/>
        </w:numPr>
        <w:rPr>
          <w:rFonts w:ascii="Arial" w:cs="Arial" w:eastAsia="Arial" w:hAnsi="Arial"/>
          <w:sz w:val="12"/>
          <w:szCs w:val="12"/>
          <w:color w:val="auto"/>
        </w:rPr>
      </w:pPr>
      <w:r>
        <w:rPr>
          <w:rFonts w:ascii="Arial" w:cs="Arial" w:eastAsia="Arial" w:hAnsi="Arial"/>
          <w:sz w:val="14"/>
          <w:szCs w:val="14"/>
          <w:color w:val="auto"/>
        </w:rPr>
        <w:t>Ceased to be an affiliate during the three months ended December 31, 2018.</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information sets forth the computation of basic and diluted per share net increase in net assets resulting from operations: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December 31,</w:t>
            </w:r>
          </w:p>
        </w:tc>
      </w:tr>
      <w:tr>
        <w:trPr>
          <w:trHeight w:val="142"/>
        </w:trPr>
        <w:tc>
          <w:tcPr>
            <w:tcW w:w="20" w:type="dxa"/>
            <w:vAlign w:val="bottom"/>
          </w:tcPr>
          <w:p>
            <w:pPr>
              <w:spacing w:after="0"/>
              <w:rPr>
                <w:sz w:val="12"/>
                <w:szCs w:val="12"/>
                <w:color w:val="auto"/>
              </w:rPr>
            </w:pPr>
          </w:p>
        </w:tc>
        <w:tc>
          <w:tcPr>
            <w:tcW w:w="698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6,778,189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12,295,397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68,908,920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71,060,836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6980" w:type="dxa"/>
            <w:vAlign w:val="bottom"/>
          </w:tcPr>
          <w:p>
            <w:pPr>
              <w:ind w:left="5320"/>
              <w:spacing w:after="0"/>
              <w:rPr>
                <w:sz w:val="20"/>
                <w:szCs w:val="20"/>
                <w:color w:val="auto"/>
              </w:rPr>
            </w:pPr>
            <w:r>
              <w:rPr>
                <w:rFonts w:ascii="Arial" w:cs="Arial" w:eastAsia="Arial" w:hAnsi="Arial"/>
                <w:sz w:val="18"/>
                <w:szCs w:val="18"/>
                <w:color w:val="auto"/>
              </w:rPr>
              <w:t>F-28</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CASH AND CASH EQUIVALENTS</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2018 and September 30, 2018, cash and cash equivalents consisted of money market funds in the amounts of $24.7 million and $19.5 million at fair value, respectively.</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the financial highlights: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30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9.11</w:t>
            </w:r>
          </w:p>
        </w:tc>
        <w:tc>
          <w:tcPr>
            <w:tcW w:w="500" w:type="dxa"/>
            <w:vAlign w:val="bottom"/>
          </w:tcPr>
          <w:p>
            <w:pPr>
              <w:spacing w:after="0"/>
              <w:rPr>
                <w:sz w:val="18"/>
                <w:szCs w:val="18"/>
                <w:color w:val="auto"/>
              </w:rPr>
            </w:pP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loss </w:t>
            </w:r>
            <w:r>
              <w:rPr>
                <w:rFonts w:ascii="Arial" w:cs="Arial" w:eastAsia="Arial" w:hAnsi="Arial"/>
                <w:sz w:val="15"/>
                <w:szCs w:val="15"/>
                <w:color w:val="auto"/>
              </w:rPr>
              <w:t>(1)</w:t>
            </w:r>
          </w:p>
        </w:tc>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5"/>
                <w:szCs w:val="15"/>
                <w:color w:val="auto"/>
              </w:rPr>
              <w:t>(1)</w:t>
            </w:r>
          </w:p>
        </w:tc>
        <w:tc>
          <w:tcPr>
            <w:tcW w:w="28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5"/>
                <w:szCs w:val="15"/>
                <w:color w:val="auto"/>
              </w:rPr>
              <w:t>(1), (2)</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(0.18)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Repurchase of common stock </w:t>
            </w:r>
            <w:r>
              <w:rPr>
                <w:rFonts w:ascii="Arial" w:cs="Arial" w:eastAsia="Arial" w:hAnsi="Arial"/>
                <w:sz w:val="15"/>
                <w:szCs w:val="15"/>
                <w:color w:val="auto"/>
              </w:rPr>
              <w:t>(1)</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2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3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(3)</w:t>
            </w:r>
          </w:p>
        </w:tc>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(12.39)%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68,027,537</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71,060,836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Ratios**/ Supplemental Data:</w:t>
            </w: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9"/>
              </w:rPr>
              <w:t xml:space="preserve">Ratio of operating expenses to average net assets </w:t>
            </w:r>
            <w:r>
              <w:rPr>
                <w:rFonts w:ascii="Arial" w:cs="Arial" w:eastAsia="Arial" w:hAnsi="Arial"/>
                <w:sz w:val="15"/>
                <w:szCs w:val="15"/>
                <w:color w:val="auto"/>
                <w:w w:val="99"/>
              </w:rPr>
              <w:t>(4), (5), (6)</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8"/>
              </w:rPr>
              <w:t>Ratio of interest and expenses on debt to average net assets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total expenses to average net assets </w:t>
            </w:r>
            <w:r>
              <w:rPr>
                <w:rFonts w:ascii="Arial" w:cs="Arial" w:eastAsia="Arial" w:hAnsi="Arial"/>
                <w:sz w:val="15"/>
                <w:szCs w:val="15"/>
                <w:color w:val="auto"/>
              </w:rPr>
              <w:t>(5), (6)</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15"/>
                <w:szCs w:val="15"/>
                <w:color w:val="auto"/>
              </w:rPr>
              <w:t>(6)</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3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615,941,105</w:t>
            </w: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646,312,918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Weighted average debt outstanding </w:t>
            </w:r>
            <w:r>
              <w:rPr>
                <w:rFonts w:ascii="Arial" w:cs="Arial" w:eastAsia="Arial" w:hAnsi="Arial"/>
                <w:sz w:val="15"/>
                <w:szCs w:val="15"/>
                <w:color w:val="auto"/>
              </w:rPr>
              <w:t>(7)</w:t>
            </w:r>
          </w:p>
        </w:tc>
        <w:tc>
          <w:tcPr>
            <w:tcW w:w="28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532,965,659</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541,820,206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debt per share </w:t>
            </w:r>
            <w:r>
              <w:rPr>
                <w:rFonts w:ascii="Arial" w:cs="Arial" w:eastAsia="Arial" w:hAnsi="Arial"/>
                <w:sz w:val="15"/>
                <w:szCs w:val="15"/>
                <w:color w:val="auto"/>
              </w:rPr>
              <w:t>(1), (7)</w:t>
            </w:r>
          </w:p>
        </w:tc>
        <w:tc>
          <w:tcPr>
            <w:tcW w:w="3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xml:space="preserve">Asset coverage per unit </w:t>
            </w:r>
            <w:r>
              <w:rPr>
                <w:rFonts w:ascii="Arial" w:cs="Arial" w:eastAsia="Arial" w:hAnsi="Arial"/>
                <w:sz w:val="15"/>
                <w:szCs w:val="15"/>
                <w:color w:val="auto"/>
              </w:rPr>
              <w:t>(8)</w:t>
            </w:r>
          </w:p>
        </w:tc>
        <w:tc>
          <w:tcPr>
            <w:tcW w:w="30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2,479</w:t>
            </w:r>
          </w:p>
        </w:tc>
        <w:tc>
          <w:tcPr>
            <w:tcW w:w="500" w:type="dxa"/>
            <w:vAlign w:val="bottom"/>
          </w:tcPr>
          <w:p>
            <w:pPr>
              <w:spacing w:after="0"/>
              <w:rPr>
                <w:sz w:val="18"/>
                <w:szCs w:val="18"/>
                <w:color w:val="auto"/>
              </w:rPr>
            </w:pP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040" w:type="dxa"/>
            <w:vAlign w:val="bottom"/>
            <w:gridSpan w:val="2"/>
          </w:tcPr>
          <w:p>
            <w:pPr>
              <w:jc w:val="right"/>
              <w:ind w:right="2085"/>
              <w:spacing w:after="0"/>
              <w:rPr>
                <w:sz w:val="20"/>
                <w:szCs w:val="20"/>
                <w:color w:val="auto"/>
              </w:rPr>
            </w:pPr>
            <w:r>
              <w:rPr>
                <w:rFonts w:ascii="Arial" w:cs="Arial" w:eastAsia="Arial" w:hAnsi="Arial"/>
                <w:sz w:val="18"/>
                <w:szCs w:val="18"/>
                <w:color w:val="auto"/>
              </w:rPr>
              <w:t>F-29</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245745</wp:posOffset>
            </wp:positionV>
            <wp:extent cx="6946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00" w:right="8040" w:firstLine="4"/>
        <w:spacing w:after="0" w:line="248" w:lineRule="auto"/>
        <w:tabs>
          <w:tab w:leader="none" w:pos="524" w:val="left"/>
        </w:tabs>
        <w:numPr>
          <w:ilvl w:val="0"/>
          <w:numId w:val="92"/>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520" w:hanging="316"/>
        <w:spacing w:after="0" w:line="221" w:lineRule="auto"/>
        <w:tabs>
          <w:tab w:leader="none" w:pos="520" w:val="left"/>
        </w:tabs>
        <w:numPr>
          <w:ilvl w:val="0"/>
          <w:numId w:val="93"/>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520" w:right="140" w:hanging="316"/>
        <w:spacing w:after="0" w:line="221" w:lineRule="auto"/>
        <w:tabs>
          <w:tab w:leader="none" w:pos="520" w:val="left"/>
        </w:tabs>
        <w:numPr>
          <w:ilvl w:val="0"/>
          <w:numId w:val="93"/>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520" w:hanging="316"/>
        <w:spacing w:after="0" w:line="221" w:lineRule="auto"/>
        <w:tabs>
          <w:tab w:leader="none" w:pos="520" w:val="left"/>
        </w:tabs>
        <w:numPr>
          <w:ilvl w:val="0"/>
          <w:numId w:val="93"/>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520" w:hanging="316"/>
        <w:spacing w:after="0" w:line="221" w:lineRule="auto"/>
        <w:tabs>
          <w:tab w:leader="none" w:pos="520" w:val="left"/>
        </w:tabs>
        <w:numPr>
          <w:ilvl w:val="0"/>
          <w:numId w:val="93"/>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520" w:right="40" w:hanging="316"/>
        <w:spacing w:after="0" w:line="221" w:lineRule="auto"/>
        <w:tabs>
          <w:tab w:leader="none" w:pos="520" w:val="left"/>
        </w:tabs>
        <w:numPr>
          <w:ilvl w:val="0"/>
          <w:numId w:val="93"/>
        </w:numPr>
        <w:rPr>
          <w:rFonts w:ascii="Arial" w:cs="Arial" w:eastAsia="Arial" w:hAnsi="Arial"/>
          <w:sz w:val="12"/>
          <w:szCs w:val="12"/>
          <w:color w:val="auto"/>
        </w:rPr>
      </w:pPr>
      <w:r>
        <w:rPr>
          <w:rFonts w:ascii="Arial" w:cs="Arial" w:eastAsia="Arial" w:hAnsi="Arial"/>
          <w:sz w:val="14"/>
          <w:szCs w:val="14"/>
          <w:color w:val="auto"/>
        </w:rPr>
        <w:t>For the three months ended December 31, 2017, the ratio of operating expenses to average net assets before the waiver of certain Management Fees to average net assets was 6.20% and the ratio of total expenses before the waiver of certain Management Fees to average net assets was 9.81%.</w:t>
      </w:r>
    </w:p>
    <w:p>
      <w:pPr>
        <w:ind w:left="520" w:hanging="316"/>
        <w:spacing w:after="0" w:line="221" w:lineRule="auto"/>
        <w:tabs>
          <w:tab w:leader="none" w:pos="520" w:val="left"/>
        </w:tabs>
        <w:numPr>
          <w:ilvl w:val="0"/>
          <w:numId w:val="93"/>
        </w:numPr>
        <w:rPr>
          <w:rFonts w:ascii="Arial" w:cs="Arial" w:eastAsia="Arial" w:hAnsi="Arial"/>
          <w:sz w:val="12"/>
          <w:szCs w:val="12"/>
          <w:color w:val="auto"/>
        </w:rPr>
      </w:pPr>
      <w:r>
        <w:rPr>
          <w:rFonts w:ascii="Arial" w:cs="Arial" w:eastAsia="Arial" w:hAnsi="Arial"/>
          <w:sz w:val="14"/>
          <w:szCs w:val="14"/>
          <w:color w:val="auto"/>
        </w:rPr>
        <w:t>Does not annualize non-recurring provision for taxes.</w:t>
      </w:r>
    </w:p>
    <w:p>
      <w:pPr>
        <w:ind w:left="520" w:hanging="316"/>
        <w:spacing w:after="0" w:line="221" w:lineRule="auto"/>
        <w:tabs>
          <w:tab w:leader="none" w:pos="520" w:val="left"/>
        </w:tabs>
        <w:numPr>
          <w:ilvl w:val="0"/>
          <w:numId w:val="93"/>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520" w:right="220" w:hanging="316"/>
        <w:spacing w:after="0" w:line="255" w:lineRule="auto"/>
        <w:tabs>
          <w:tab w:leader="none" w:pos="520" w:val="left"/>
        </w:tabs>
        <w:numPr>
          <w:ilvl w:val="0"/>
          <w:numId w:val="93"/>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exemptive relief received from the SEC in June 2011.</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annualized weighted average cost of debt for the three months ended December 31, 2018 and 2017, inclusive of the fee on the undrawn commitment and amendment costs on the Credit Facility, amortized upfront fees on SBA debentures and debt issuance costs, was 4.71% and 4.32%, respectively. As of December 31,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88"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requirements applicable to us for senior securities have been reduced from 200% to 150%, subject to compliance with certain disclosure requirements. As of December 31, 2018 and September 30, 2018, our asset coverage ratio, as computed in accordance with the 1940 Act, was 248% and 291%, respectively.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2018, we had a $445 million multi-currency Credit Facility with certain lenders and SunTrust Bank, acting as administrative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agent, and JPMorgan Chase Bank, N.A., acting as syndication agent for the lenders. As of December 31, 2018 and September 30, 2018, we had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$174.1 million and $80.5 million (including a $2.0 million temporary draw), respectively, in outstanding borrowings under the Credit Facility.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Credit Facility had a weighted average interest rate of 4.39% and 3.79%, respectively, exclusive of the fee on undrawn commitments of 0.375%, as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2018 and September 30, 2018. The Credit Facility is a five-year revolving facility with a stated maturity date of May 25, 2022, a one-year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term-out period following its fourth year and pricing set at 225 basis points over LIBOR. The Credit Facility is secured by substantially all of our assets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excluding assets held by our SBIC Funds.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zero SBA debentures outstanding as of December 31, 2018. We have funded SBIC II with $75.0 million of equity capital and it had SBA debentures outstanding of $150 million as of December 31,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December 31, 2018 and September 30, 2018, our SBIC Funds had $150.0 million and $300.0 million in debt commitments, respectively, of which $150.0 million and $180.0 million was drawn, respectively. As of December 31, 2018 and September 30, 2018, the unamortized fees on the SBA debentures was $4.2 million and $4.6 million, respectively. The SBA debentures’ upfront fees of 3.43% consist of a commitment fee of 1.00% and an issuance discount of 2.43%, which are being amortized.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fixed-rate SBA debentures were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20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Fixed All-in</w:t>
            </w:r>
          </w:p>
        </w:tc>
        <w:tc>
          <w:tcPr>
            <w:tcW w:w="300" w:type="dxa"/>
            <w:vAlign w:val="bottom"/>
          </w:tcPr>
          <w:p>
            <w:pPr>
              <w:spacing w:after="0"/>
              <w:rPr>
                <w:sz w:val="14"/>
                <w:szCs w:val="14"/>
                <w:color w:val="auto"/>
              </w:rPr>
            </w:pPr>
          </w:p>
        </w:tc>
        <w:tc>
          <w:tcPr>
            <w:tcW w:w="1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As of December 31, 2018</w:t>
            </w:r>
          </w:p>
        </w:tc>
        <w:tc>
          <w:tcPr>
            <w:tcW w:w="0" w:type="dxa"/>
            <w:vAlign w:val="bottom"/>
          </w:tcPr>
          <w:p>
            <w:pPr>
              <w:spacing w:after="0"/>
              <w:rPr>
                <w:sz w:val="1"/>
                <w:szCs w:val="1"/>
                <w:color w:val="auto"/>
              </w:rPr>
            </w:pPr>
          </w:p>
        </w:tc>
      </w:tr>
      <w:tr>
        <w:trPr>
          <w:trHeight w:val="158"/>
        </w:trPr>
        <w:tc>
          <w:tcPr>
            <w:tcW w:w="3900" w:type="dxa"/>
            <w:vAlign w:val="bottom"/>
            <w:gridSpan w:val="3"/>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4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2"/>
              </w:rPr>
              <w:t xml:space="preserve">Coupon Rate </w:t>
            </w:r>
            <w:r>
              <w:rPr>
                <w:rFonts w:ascii="Arial" w:cs="Arial" w:eastAsia="Arial" w:hAnsi="Arial"/>
                <w:sz w:val="12"/>
                <w:szCs w:val="12"/>
                <w:b w:val="1"/>
                <w:bCs w:val="1"/>
                <w:color w:val="auto"/>
                <w:w w:val="92"/>
              </w:rPr>
              <w:t>(1)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23, 2016</w:t>
            </w:r>
          </w:p>
        </w:tc>
        <w:tc>
          <w:tcPr>
            <w:tcW w:w="1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March 1, 2026</w:t>
            </w:r>
          </w:p>
        </w:tc>
        <w:tc>
          <w:tcPr>
            <w:tcW w:w="6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80"/>
              <w:spacing w:after="0" w:line="203" w:lineRule="exact"/>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September 21, 2016</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September 1, 2026</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September 1, 2027</w:t>
            </w: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2.87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March 21, 2018</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March 1, 2028</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3.11%</w:t>
            </w:r>
          </w:p>
        </w:tc>
        <w:tc>
          <w:tcPr>
            <w:tcW w:w="4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20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Fixed All-in</w:t>
            </w:r>
          </w:p>
        </w:tc>
        <w:tc>
          <w:tcPr>
            <w:tcW w:w="300" w:type="dxa"/>
            <w:vAlign w:val="bottom"/>
          </w:tcPr>
          <w:p>
            <w:pPr>
              <w:spacing w:after="0"/>
              <w:rPr>
                <w:sz w:val="19"/>
                <w:szCs w:val="19"/>
                <w:color w:val="auto"/>
              </w:rPr>
            </w:pPr>
          </w:p>
        </w:tc>
        <w:tc>
          <w:tcPr>
            <w:tcW w:w="1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As of September 30, 2018</w:t>
            </w:r>
          </w:p>
        </w:tc>
        <w:tc>
          <w:tcPr>
            <w:tcW w:w="0" w:type="dxa"/>
            <w:vAlign w:val="bottom"/>
          </w:tcPr>
          <w:p>
            <w:pPr>
              <w:spacing w:after="0"/>
              <w:rPr>
                <w:sz w:val="1"/>
                <w:szCs w:val="1"/>
                <w:color w:val="auto"/>
              </w:rPr>
            </w:pPr>
          </w:p>
        </w:tc>
      </w:tr>
      <w:tr>
        <w:trPr>
          <w:trHeight w:val="158"/>
        </w:trPr>
        <w:tc>
          <w:tcPr>
            <w:tcW w:w="3900" w:type="dxa"/>
            <w:vAlign w:val="bottom"/>
            <w:gridSpan w:val="3"/>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4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2"/>
              </w:rPr>
              <w:t xml:space="preserve">Coupon Rate </w:t>
            </w:r>
            <w:r>
              <w:rPr>
                <w:rFonts w:ascii="Arial" w:cs="Arial" w:eastAsia="Arial" w:hAnsi="Arial"/>
                <w:sz w:val="12"/>
                <w:szCs w:val="12"/>
                <w:b w:val="1"/>
                <w:bCs w:val="1"/>
                <w:color w:val="auto"/>
                <w:w w:val="92"/>
              </w:rPr>
              <w:t>(1)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21, 2011</w:t>
            </w:r>
          </w:p>
        </w:tc>
        <w:tc>
          <w:tcPr>
            <w:tcW w:w="1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September 1, 2021</w:t>
            </w:r>
          </w:p>
        </w:tc>
        <w:tc>
          <w:tcPr>
            <w:tcW w:w="6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80"/>
              <w:spacing w:after="0" w:line="203" w:lineRule="exact"/>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March 1, 2026</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September 1, 2026</w:t>
            </w: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September 20, 2017</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September 1, 2027</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2018</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March 1, 2028</w:t>
            </w: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71,000,000</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gridSpan w:val="3"/>
            <w:vMerge w:val="continue"/>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3.15%</w:t>
            </w:r>
          </w:p>
        </w:tc>
        <w:tc>
          <w:tcPr>
            <w:tcW w:w="300" w:type="dxa"/>
            <w:vAlign w:val="bottom"/>
            <w:vMerge w:val="continue"/>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hanging="316"/>
        <w:spacing w:after="0"/>
        <w:tabs>
          <w:tab w:leader="none" w:pos="520" w:val="left"/>
        </w:tabs>
        <w:numPr>
          <w:ilvl w:val="0"/>
          <w:numId w:val="94"/>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2018, our SBIC Funds were in compliance with their regulatory requirements.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Notes</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As of December 31, 2018 and September 30, 2018,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November 13, 2018, our board of directors authorized the Company to redeem $250.0 million outstanding aggregate principal amount of its</w:t>
      </w:r>
    </w:p>
    <w:p>
      <w:pPr>
        <w:spacing w:after="0" w:line="46" w:lineRule="exact"/>
        <w:rPr>
          <w:sz w:val="20"/>
          <w:szCs w:val="20"/>
          <w:color w:val="auto"/>
        </w:rPr>
      </w:pPr>
    </w:p>
    <w:p>
      <w:pPr>
        <w:ind w:left="200" w:right="440"/>
        <w:spacing w:after="0" w:line="261" w:lineRule="auto"/>
        <w:rPr>
          <w:sz w:val="20"/>
          <w:szCs w:val="20"/>
          <w:color w:val="auto"/>
        </w:rPr>
      </w:pPr>
      <w:r>
        <w:rPr>
          <w:rFonts w:ascii="Arial" w:cs="Arial" w:eastAsia="Arial" w:hAnsi="Arial"/>
          <w:sz w:val="18"/>
          <w:szCs w:val="18"/>
          <w:color w:val="auto"/>
        </w:rPr>
        <w:t>2019 Notes. Upon the delivery of a notice of redemption, the 2019 Notes will be prepaid at 100% of the principal amount, plus accrued and unpaid interest through the prepayment date, as well as a make-whole premium.</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December 31, 2018 and September 30, 2018, we had $41.0 million and $60.6 million, respectively, in commitments to fund investments. For the same periods, there were no letters of credit issued.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UNCONSOLIDATED SIGNIFICANT SUBSIDIARIES</w:t>
      </w:r>
    </w:p>
    <w:p>
      <w:pPr>
        <w:spacing w:after="0" w:line="121" w:lineRule="exact"/>
        <w:rPr>
          <w:sz w:val="20"/>
          <w:szCs w:val="20"/>
          <w:color w:val="auto"/>
        </w:rPr>
      </w:pPr>
    </w:p>
    <w:p>
      <w:pPr>
        <w:ind w:left="200" w:right="360" w:firstLine="441"/>
        <w:spacing w:after="0" w:line="288" w:lineRule="auto"/>
        <w:rPr>
          <w:sz w:val="20"/>
          <w:szCs w:val="20"/>
          <w:color w:val="auto"/>
        </w:rPr>
      </w:pPr>
      <w:r>
        <w:rPr>
          <w:rFonts w:ascii="Arial" w:cs="Arial" w:eastAsia="Arial" w:hAnsi="Arial"/>
          <w:sz w:val="16"/>
          <w:szCs w:val="16"/>
          <w:color w:val="auto"/>
        </w:rPr>
        <w:t>We must determine which, if any, of our unconsolidated controlled portfolio companies is a “significant subsidiary” within the meaning of Regulation S-X. Superior Digital Displays, LLC became a controlled affiliated investment as of December 31, 2013. We have determined that, as of December 31, 2018, Superior Digital Displays, LLC triggered at least one of the significance tests by 20%. As a result and in accordance with</w:t>
      </w:r>
    </w:p>
    <w:p>
      <w:pPr>
        <w:ind w:left="200" w:right="60"/>
        <w:spacing w:after="0" w:line="261" w:lineRule="auto"/>
        <w:rPr>
          <w:sz w:val="20"/>
          <w:szCs w:val="20"/>
          <w:color w:val="auto"/>
        </w:rPr>
      </w:pPr>
      <w:r>
        <w:rPr>
          <w:rFonts w:ascii="Arial" w:cs="Arial" w:eastAsia="Arial" w:hAnsi="Arial"/>
          <w:sz w:val="18"/>
          <w:szCs w:val="18"/>
          <w:color w:val="auto"/>
        </w:rPr>
        <w:t>Rule 4-08(g) of Regulation S-K, presented below is summarized unaudited financial information for Superior Digital Displays, LLC as of December 31, 2018 and September 30, 2018 as well as for the three months ended December 31, 2018 and 2017.</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40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4800" w:type="dxa"/>
            <w:vAlign w:val="bottom"/>
            <w:gridSpan w:val="4"/>
          </w:tcPr>
          <w:p>
            <w:pPr>
              <w:ind w:left="2860"/>
              <w:spacing w:after="0"/>
              <w:rPr>
                <w:sz w:val="20"/>
                <w:szCs w:val="20"/>
                <w:color w:val="auto"/>
              </w:rPr>
            </w:pPr>
            <w:r>
              <w:rPr>
                <w:rFonts w:ascii="Arial" w:cs="Arial" w:eastAsia="Arial" w:hAnsi="Arial"/>
                <w:sz w:val="14"/>
                <w:szCs w:val="14"/>
                <w:b w:val="1"/>
                <w:bCs w:val="1"/>
                <w:color w:val="auto"/>
              </w:rPr>
              <w:t xml:space="preserve">December 31, 2018 </w:t>
            </w:r>
            <w:r>
              <w:rPr>
                <w:rFonts w:ascii="Arial" w:cs="Arial" w:eastAsia="Arial" w:hAnsi="Arial"/>
                <w:sz w:val="12"/>
                <w:szCs w:val="12"/>
                <w:b w:val="1"/>
                <w:bCs w:val="1"/>
                <w:color w:val="auto"/>
              </w:rPr>
              <w:t>(2)</w:t>
            </w:r>
          </w:p>
        </w:tc>
        <w:tc>
          <w:tcPr>
            <w:tcW w:w="1840" w:type="dxa"/>
            <w:vAlign w:val="bottom"/>
            <w:gridSpan w:val="4"/>
          </w:tcPr>
          <w:p>
            <w:pPr>
              <w:ind w:left="520"/>
              <w:spacing w:after="0"/>
              <w:rPr>
                <w:sz w:val="20"/>
                <w:szCs w:val="20"/>
                <w:color w:val="auto"/>
              </w:rPr>
            </w:pPr>
            <w:r>
              <w:rPr>
                <w:rFonts w:ascii="Arial" w:cs="Arial" w:eastAsia="Arial" w:hAnsi="Arial"/>
                <w:sz w:val="14"/>
                <w:szCs w:val="14"/>
                <w:b w:val="1"/>
                <w:bCs w:val="1"/>
                <w:color w:val="auto"/>
                <w:w w:val="99"/>
              </w:rPr>
              <w:t>September 30,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Current assets</w:t>
            </w:r>
          </w:p>
        </w:tc>
        <w:tc>
          <w:tcPr>
            <w:tcW w:w="3340" w:type="dxa"/>
            <w:vAlign w:val="bottom"/>
            <w:tcBorders>
              <w:top w:val="single" w:sz="8" w:color="CCEEFF"/>
            </w:tcBorders>
            <w:gridSpan w:val="2"/>
            <w:shd w:val="clear" w:color="auto" w:fill="CCEEFF"/>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739.5</w:t>
            </w:r>
          </w:p>
        </w:tc>
        <w:tc>
          <w:tcPr>
            <w:tcW w:w="5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1,033.7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5,923.5</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7,225.0</w:t>
            </w: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2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9"/>
        </w:trPr>
        <w:tc>
          <w:tcPr>
            <w:tcW w:w="4400" w:type="dxa"/>
            <w:vAlign w:val="bottom"/>
            <w:gridSpan w:val="4"/>
            <w:vMerge w:val="continue"/>
          </w:tcPr>
          <w:p>
            <w:pPr>
              <w:spacing w:after="0"/>
              <w:rPr>
                <w:sz w:val="12"/>
                <w:szCs w:val="12"/>
                <w:color w:val="auto"/>
              </w:rPr>
            </w:pPr>
          </w:p>
        </w:tc>
        <w:tc>
          <w:tcPr>
            <w:tcW w:w="28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74"/>
              <w:spacing w:after="0" w:line="129"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(2)</w:t>
            </w:r>
          </w:p>
        </w:tc>
        <w:tc>
          <w:tcPr>
            <w:tcW w:w="5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revenue</w:t>
            </w:r>
          </w:p>
        </w:tc>
        <w:tc>
          <w:tcPr>
            <w:tcW w:w="310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367.7</w:t>
            </w:r>
          </w:p>
        </w:tc>
        <w:tc>
          <w:tcPr>
            <w:tcW w:w="5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413.1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2,255.3</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(1,887.6)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All amounts are in thousands.</w:t>
      </w:r>
    </w:p>
    <w:p>
      <w:pPr>
        <w:ind w:left="200"/>
        <w:spacing w:after="0"/>
        <w:tabs>
          <w:tab w:leader="none" w:pos="50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4"/>
          <w:szCs w:val="14"/>
          <w:color w:val="auto"/>
        </w:rPr>
        <w:t>Unaudited.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STOCK REPURCHASE PROGRAM</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months ended December 31, 2018 and 2017 we repurchased 1.0 million and zero shares of common stock in open market transactions for an aggregate cost (including transaction costs) of $7.5 million and zero, respectively.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to 150%,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5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On January 31, 2019, the Company announced the redemption of $250.0 million outstanding aggregate principal amount of its 2019 Notes due October 1, 2019. The 2019 Notes will be prepaid at 100% of the principal amount, plus accrued and unpaid interest through the payment date of March 4, 2019, as well as a make-whole premium.</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2018. Our internal control system is a process designed to provide reasonable assurance to our management and board of directors regarding the preparation and fair presentation of published financial statements.</w:t>
      </w:r>
    </w:p>
    <w:p>
      <w:pPr>
        <w:spacing w:after="0" w:line="15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5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2018.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Based on the assessment management believes that, as of September 30, 2018, our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based on those criteria.</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PennantPark Investment’s independent registered public accounting firm has issued an audit report on the effectiveness of our internal control over financial reporting as of September 30, 2018. This report appears on page F-36.</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Investment Corporation and its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We have audited the accompanying consolidated statements of assets and liabilities, including the consolidated schedules of investments, of PennantPark Investment Corporation and its Subsidiaries (collectively referred to as the “Company”) as of September 30, 2018 and 2017, and the related consolidated statements of operations, changes in net assets and cash flows for each of the three years in the period ended September 30, 2018, and the related notes to the consolidated financial statements of the Company (collectively, the financial statements). In our opinion, the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 and in our opinion, the related financial statements schedules, when considered in relation to the basic consolidated financial statements taken as a whole, presents fairly in all material respects the information set forth therein.</w:t>
      </w:r>
    </w:p>
    <w:p>
      <w:pPr>
        <w:spacing w:after="0" w:line="166"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PennantPark Investment Corporation and its Subsidiaries’ internal control over financial reporting as of September 30,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and our report dated November 15, 2018, expressed an unqualified opinion on the effectiveness of the Company’s internal control over financial reporting.</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September 30, 2018, by correspondence with the custodians and brokers or by other appropriate auditing procedures where replies from brokers were not received. We believe that our audits provide a reasonable basis for our opinion.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15, 2018</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60"/>
          </w:cols>
          <w:pgMar w:left="240" w:top="460"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Investment Corporation and its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12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 xml:space="preserve">We have audited PennantPark Investment Corporation and its Subsidiaries’ (collectively referred to as the “Company”) internal control over financial reporting as of September 30,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In our opinion, the Company maintained, in all material respects, effective internal control over financial reporting as of September 30,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statements of assets and liabilities, including the consolidated schedules of investments as of September 30, 2018 and 2017, the related consolidated statements of operations, changes in net assets and cash flows for each of the three years in the period ended September 30, 2018, and the related notes to the consolidated financial statements (collectively, the financial statements) of the Company and our report dated November 15, 2018 expressed an unqualified opinion.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240" w:top="460" w:right="5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15, 2018</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0900"/>
          </w:cols>
          <w:pgMar w:left="240" w:top="459" w:right="7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2018</w:t>
            </w:r>
          </w:p>
        </w:tc>
        <w:tc>
          <w:tcPr>
            <w:tcW w:w="2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Non-controlled, non-affiliated investments (cost—$896,720,950 and $824,106,322, respectively)</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905,271,258</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849,351,548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Non-controlled, affiliated investments (cost—$91,520,908 and $185,799,943, respectively)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78,078,331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189,674,977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 (cost—$255,574,317 and $200,120,407, respectively)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148,735,885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114,550,983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Total of investments (cost—$1,243,816,175 and $1,210,026,672, respectively)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1,132,085,474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1,153,577,508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(cost—$19,543,625 and $38,182,373, respectively)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38,202,068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7,606,964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5,906,976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4,509,289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1,160,118,827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1,202,195,841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12,429,712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12,790,950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Credit Facility payable (cost—$80,520,000 and $79,392,900, respectively) (See Notes 5 and 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77,645,830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76,037,341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2019 Notes payable (par—$250,000,000) (See Notes 5 and 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255,665,000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spacing w:after="0" w:line="201" w:lineRule="exact"/>
              <w:rPr>
                <w:sz w:val="20"/>
                <w:szCs w:val="20"/>
                <w:color w:val="auto"/>
              </w:rPr>
            </w:pPr>
            <w:r>
              <w:rPr>
                <w:rFonts w:ascii="Arial" w:cs="Arial" w:eastAsia="Arial" w:hAnsi="Arial"/>
                <w:sz w:val="18"/>
                <w:szCs w:val="18"/>
                <w:color w:val="auto"/>
                <w:w w:val="97"/>
              </w:rPr>
              <w:t>SBA debentures payable, net (par—$180,000,000 and $199,000,000, respectively) (See Notes 5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1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175,373,229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194,364,653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net (See Note 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4,086,831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4,845,237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Performance-based incentive fee payable, net (See Note 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2,964,265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2,270,008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6,576,393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6,876,756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818,172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1,523,425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531,216,932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555,387,370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spacing w:after="0" w:line="201" w:lineRule="exact"/>
              <w:rPr>
                <w:sz w:val="20"/>
                <w:szCs w:val="20"/>
                <w:color w:val="auto"/>
              </w:rPr>
            </w:pPr>
            <w:r>
              <w:rPr>
                <w:rFonts w:ascii="Arial" w:cs="Arial" w:eastAsia="Arial" w:hAnsi="Arial"/>
                <w:sz w:val="18"/>
                <w:szCs w:val="18"/>
                <w:color w:val="auto"/>
              </w:rPr>
              <w:t>Common stock, 69,053,958 and 71,060,836 shares issued and outstanding, respectively.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Par value $0.001 per share and 100,000,000 shares authorized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69,054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71,061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803,729,220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818,737,784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6,003,360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3,333,195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(70,687,629)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(116,598,355)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(111,763,780)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(56,425,773)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1,551,670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(2,309,441)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628,901,895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646,808,471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1,160,118,827</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1,202,195,841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4"/>
                <w:szCs w:val="14"/>
                <w:b w:val="1"/>
                <w:bCs w:val="1"/>
                <w:color w:val="auto"/>
              </w:rPr>
              <w:t>Years Ended September 30,</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83,255,593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84,685,961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103,659,182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5,645,535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3,819,996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848,834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6,981,507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7,079,034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10,945,240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10,339,444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12,374,621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2,031,589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5,475,491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680,746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4,499,350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2,850,498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10,790,300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12,750,302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108,278,048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124,534,324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142,070,827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17,468,376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24,218,029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24,852,898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11,492,928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11,077,956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16,018,790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Interest and expenses on debt (See Note 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22,818,492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26,642,113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27,601,242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3,566,667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2,504,853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2,662,640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3,605,923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4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7"/>
              </w:rPr>
              <w:t>Expenses before Management Fees waiver, provision for taxes and Credit Facility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amendment costs</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56,371,149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68,176,738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75,645,520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Management Fees waiver (See Note 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(1,427,253)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(5,647,358)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(6,539,475)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Credit Facility amendment costs (See Notes 5 and 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3,866,633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expenses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54,943,896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68,096,013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71,456,045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53,334,152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56,438,311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70,614,782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(loss) gain on investments and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realized gain (loss) on investments 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34,813,876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2,567,041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(76,780,707)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11,042,330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(33,594,078)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realized gain (loss)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45,856,206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(31,027,037)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(80,530,707)</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(16,751,386)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16,950,900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48,052,466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(38,586,621)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26,904,281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(23,126,408)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depreciation (appreciation) (See Notes 5 and 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(7,554,954)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Arial" w:cs="Arial" w:eastAsia="Arial" w:hAnsi="Arial"/>
                <w:sz w:val="18"/>
                <w:szCs w:val="18"/>
                <w:b w:val="1"/>
                <w:bCs w:val="1"/>
                <w:color w:val="auto"/>
              </w:rPr>
              <w:t>Net change in unrealized (depreciation) appreciation on investments and debt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(51,476,896)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36,300,227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28,652,631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(loss) gain from investments and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(5,620,690)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5,273,190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(51,878,076)</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47,713,462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61,711,501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18,736,706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Years Ended September 30,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53,334,152</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56,438,311</w:t>
            </w:r>
          </w:p>
        </w:tc>
        <w:tc>
          <w:tcPr>
            <w:tcW w:w="3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70,614,782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(loss) on investments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45,856,206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(31,027,037)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(80,530,707)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w w:val="95"/>
              </w:rPr>
              <w:t>(55,338,007)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43,855,181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24,926,058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depreciation (appreciation) on debt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(7,554,954)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47,713,462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61,711,501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18,736,706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Distribution of net investment income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w w:val="95"/>
              </w:rPr>
              <w:t>(50,609,467)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(58,269,886)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(58,068,894)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of realized gains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(21,711,007)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Total distributions to stockholders</w:t>
            </w:r>
          </w:p>
        </w:tc>
        <w:tc>
          <w:tcPr>
            <w:tcW w:w="8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(50,609,467)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(58,269,886)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(79,779,901)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w w:val="95"/>
              </w:rPr>
              <w:t>(15,010,571)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(12,180,491)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net assets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5"/>
              </w:rPr>
              <w:t>(17,906,576)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3,441,615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(73,223,686)</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646,808,471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643,366,856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716,590,542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End of year</w:t>
            </w: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628,901,895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646,808,471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643,366,856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Undistributed net investment income, at end of year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6,003,360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3,333,195</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3,119,380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of common stock repurchased</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(2,006,878)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September 30,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700"/>
              <w:spacing w:after="0"/>
              <w:rPr>
                <w:sz w:val="20"/>
                <w:szCs w:val="20"/>
                <w:color w:val="auto"/>
              </w:rPr>
            </w:pPr>
            <w:r>
              <w:rPr>
                <w:rFonts w:ascii="Arial" w:cs="Arial" w:eastAsia="Arial" w:hAnsi="Arial"/>
                <w:sz w:val="18"/>
                <w:szCs w:val="18"/>
                <w:color w:val="auto"/>
              </w:rPr>
              <w:t>Net increase in net assets resulting from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47,713,462</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61,711,501</w:t>
            </w:r>
          </w:p>
        </w:tc>
        <w:tc>
          <w:tcPr>
            <w:tcW w:w="3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18,736,706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Adjustments to reconcile net increase in net assets resulting from</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operations to net cash provided by operating activities:</w:t>
            </w: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60"/>
              <w:spacing w:after="0"/>
              <w:rPr>
                <w:sz w:val="20"/>
                <w:szCs w:val="20"/>
                <w:color w:val="auto"/>
              </w:rPr>
            </w:pPr>
            <w:r>
              <w:rPr>
                <w:rFonts w:ascii="Arial" w:cs="Arial" w:eastAsia="Arial" w:hAnsi="Arial"/>
                <w:sz w:val="18"/>
                <w:szCs w:val="18"/>
                <w:color w:val="auto"/>
                <w:w w:val="95"/>
              </w:rPr>
              <w:t>Net change in net unrealized depreciation (appreciation) on investments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55,338,007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(43,855,181)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(24,926,058)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change in unrealized (depreciation) appreciation on debt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(3,861,111)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7,554,954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60"/>
              <w:spacing w:after="0"/>
              <w:rPr>
                <w:sz w:val="20"/>
                <w:szCs w:val="20"/>
                <w:color w:val="auto"/>
              </w:rPr>
            </w:pPr>
            <w:r>
              <w:rPr>
                <w:rFonts w:ascii="Arial" w:cs="Arial" w:eastAsia="Arial" w:hAnsi="Arial"/>
                <w:sz w:val="18"/>
                <w:szCs w:val="18"/>
                <w:color w:val="auto"/>
              </w:rPr>
              <w:t>Net realized (gain) loss on investments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(45,856,206)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31,027,037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80,530,707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accretion of discount and amortization of premium</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(2,285,720)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(2,514,784)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60"/>
              <w:spacing w:after="0"/>
              <w:rPr>
                <w:sz w:val="20"/>
                <w:szCs w:val="20"/>
                <w:color w:val="auto"/>
              </w:rPr>
            </w:pPr>
            <w:r>
              <w:rPr>
                <w:rFonts w:ascii="Arial" w:cs="Arial" w:eastAsia="Arial" w:hAnsi="Arial"/>
                <w:sz w:val="18"/>
                <w:szCs w:val="18"/>
                <w:color w:val="auto"/>
              </w:rPr>
              <w:t>Purchases of investments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(604,740,676)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(508,261,736)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(330,552,035)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Payment-in-kind income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(11,404,966)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(21,200,913)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(15,123,817)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60"/>
              <w:spacing w:after="0"/>
              <w:rPr>
                <w:sz w:val="20"/>
                <w:szCs w:val="20"/>
                <w:color w:val="auto"/>
              </w:rPr>
            </w:pPr>
            <w:r>
              <w:rPr>
                <w:rFonts w:ascii="Arial" w:cs="Arial" w:eastAsia="Arial" w:hAnsi="Arial"/>
                <w:sz w:val="18"/>
                <w:szCs w:val="18"/>
                <w:color w:val="auto"/>
              </w:rPr>
              <w:t>Proceeds from dispositions of investments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630,502,386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543,975,791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439,738,846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1,133,994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60"/>
              <w:spacing w:after="0"/>
              <w:rPr>
                <w:sz w:val="20"/>
                <w:szCs w:val="20"/>
                <w:color w:val="auto"/>
              </w:rPr>
            </w:pPr>
            <w:r>
              <w:rPr>
                <w:rFonts w:ascii="Arial" w:cs="Arial" w:eastAsia="Arial" w:hAnsi="Arial"/>
                <w:sz w:val="18"/>
                <w:szCs w:val="18"/>
                <w:color w:val="auto"/>
              </w:rPr>
              <w:t>(Increase) decrease in interest receivable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(1,699,988)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1,125,882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(increase) in prepaid expenses and other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3,589,054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(1,894,057)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60"/>
              <w:spacing w:after="0"/>
              <w:rPr>
                <w:sz w:val="20"/>
                <w:szCs w:val="20"/>
                <w:color w:val="auto"/>
              </w:rPr>
            </w:pPr>
            <w:r>
              <w:rPr>
                <w:rFonts w:ascii="Arial" w:cs="Arial" w:eastAsia="Arial" w:hAnsi="Arial"/>
                <w:sz w:val="18"/>
                <w:szCs w:val="18"/>
                <w:color w:val="auto"/>
              </w:rPr>
              <w:t>(Decrease) increase in payable for investments purchased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(1,014,000)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1,014,000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(3,591,177)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 interest payable on debt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(300,363)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(643,357)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60"/>
              <w:spacing w:after="0"/>
              <w:rPr>
                <w:sz w:val="20"/>
                <w:szCs w:val="20"/>
                <w:color w:val="auto"/>
              </w:rPr>
            </w:pPr>
            <w:r>
              <w:rPr>
                <w:rFonts w:ascii="Arial" w:cs="Arial" w:eastAsia="Arial" w:hAnsi="Arial"/>
                <w:sz w:val="18"/>
                <w:szCs w:val="18"/>
                <w:color w:val="auto"/>
              </w:rPr>
              <w:t>Decrease in base management fee payable,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(758,406)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(229,593)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(1,527,199)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9"/>
              </w:rPr>
              <w:t>Increase (decrease) in performance-based incentive fee payable,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(595,436)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(2,142,348)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1060"/>
              <w:spacing w:after="0"/>
              <w:rPr>
                <w:sz w:val="20"/>
                <w:szCs w:val="20"/>
                <w:color w:val="auto"/>
              </w:rPr>
            </w:pPr>
            <w:r>
              <w:rPr>
                <w:rFonts w:ascii="Arial" w:cs="Arial" w:eastAsia="Arial" w:hAnsi="Arial"/>
                <w:sz w:val="18"/>
                <w:szCs w:val="18"/>
                <w:color w:val="auto"/>
              </w:rPr>
              <w:t>(Decrease) increase in accrued other expenses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(705,253)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900,545</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(1,699,487)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66,940,803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69,248,647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157,706,863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(15,010,571)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(12,180,491)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60"/>
              <w:spacing w:after="0"/>
              <w:rPr>
                <w:sz w:val="20"/>
                <w:szCs w:val="20"/>
                <w:color w:val="auto"/>
              </w:rPr>
            </w:pPr>
            <w:r>
              <w:rPr>
                <w:rFonts w:ascii="Arial" w:cs="Arial" w:eastAsia="Arial" w:hAnsi="Arial"/>
                <w:sz w:val="18"/>
                <w:szCs w:val="18"/>
                <w:color w:val="auto"/>
              </w:rPr>
              <w:t>Distributions paid to stockholders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(50,970,704)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(65,375,968)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(80,313,359)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Borrowings under SBA debentures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60"/>
              <w:spacing w:after="0"/>
              <w:rPr>
                <w:sz w:val="20"/>
                <w:szCs w:val="20"/>
                <w:color w:val="auto"/>
              </w:rPr>
            </w:pPr>
            <w:r>
              <w:rPr>
                <w:rFonts w:ascii="Arial" w:cs="Arial" w:eastAsia="Arial" w:hAnsi="Arial"/>
                <w:sz w:val="18"/>
                <w:szCs w:val="18"/>
                <w:color w:val="auto"/>
              </w:rPr>
              <w:t>Repayments under SBA debentures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(90,000,000)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(30,000,000)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Repayments under 2025 Notes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(71,250,000)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60"/>
              <w:spacing w:after="0"/>
              <w:rPr>
                <w:sz w:val="20"/>
                <w:szCs w:val="20"/>
                <w:color w:val="auto"/>
              </w:rPr>
            </w:pPr>
            <w:r>
              <w:rPr>
                <w:rFonts w:ascii="Arial" w:cs="Arial" w:eastAsia="Arial" w:hAnsi="Arial"/>
                <w:sz w:val="18"/>
                <w:szCs w:val="18"/>
                <w:color w:val="auto"/>
              </w:rPr>
              <w:t>Capitalized borrowing costs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(1,721,750)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(1,513,875)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(1,151,875)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Borrowings under Credit Facility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235,520,000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363,760,000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413,664,923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60"/>
              <w:spacing w:after="0"/>
              <w:rPr>
                <w:sz w:val="20"/>
                <w:szCs w:val="20"/>
                <w:color w:val="auto"/>
              </w:rPr>
            </w:pPr>
            <w:r>
              <w:rPr>
                <w:rFonts w:ascii="Arial" w:cs="Arial" w:eastAsia="Arial" w:hAnsi="Arial"/>
                <w:sz w:val="18"/>
                <w:szCs w:val="18"/>
                <w:color w:val="auto"/>
              </w:rPr>
              <w:t>Repayments under Credit Facility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(234,392,900)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(334,706,800)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(500,189,523)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(85,575,925)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(107,586,643)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(132,670,325)</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(18,635,122)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(38,337,996)</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25,036,538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(60,792)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931,951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75,608,113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49,619,256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38,202,068</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75,608,113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21,388,530</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26,151,475</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27,093,191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340"/>
              <w:spacing w:after="0"/>
              <w:rPr>
                <w:sz w:val="20"/>
                <w:szCs w:val="20"/>
                <w:color w:val="auto"/>
              </w:rPr>
            </w:pPr>
            <w:r>
              <w:rPr>
                <w:rFonts w:ascii="Arial" w:cs="Arial" w:eastAsia="Arial" w:hAnsi="Arial"/>
                <w:sz w:val="18"/>
                <w:szCs w:val="18"/>
                <w:color w:val="auto"/>
              </w:rPr>
              <w:t>Taxes paid</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1,267,064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exchanges and conversions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31,942,605</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93,152,647</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62,949,729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6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Maturity /</w:t>
            </w:r>
          </w:p>
        </w:tc>
        <w:tc>
          <w:tcPr>
            <w:tcW w:w="254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2"/>
              </w:rPr>
              <w:t>Industry</w:t>
            </w: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2"/>
                <w:szCs w:val="12"/>
                <w:b w:val="1"/>
                <w:bCs w:val="1"/>
                <w:color w:val="auto"/>
              </w:rPr>
              <w:t>Current</w:t>
            </w: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58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40" w:type="dxa"/>
            <w:vAlign w:val="bottom"/>
            <w:gridSpan w:val="2"/>
            <w:vMerge w:val="continue"/>
          </w:tcPr>
          <w:p>
            <w:pPr>
              <w:spacing w:after="0"/>
              <w:rPr>
                <w:sz w:val="12"/>
                <w:szCs w:val="12"/>
                <w:color w:val="auto"/>
              </w:rPr>
            </w:pPr>
          </w:p>
        </w:tc>
        <w:tc>
          <w:tcPr>
            <w:tcW w:w="860" w:type="dxa"/>
            <w:vAlign w:val="bottom"/>
          </w:tcPr>
          <w:p>
            <w:pPr>
              <w:jc w:val="right"/>
              <w:ind w:right="142"/>
              <w:spacing w:after="0"/>
              <w:rPr>
                <w:sz w:val="20"/>
                <w:szCs w:val="20"/>
                <w:color w:val="auto"/>
              </w:rPr>
            </w:pPr>
            <w:r>
              <w:rPr>
                <w:rFonts w:ascii="Arial" w:cs="Arial" w:eastAsia="Arial" w:hAnsi="Arial"/>
                <w:sz w:val="12"/>
                <w:szCs w:val="12"/>
                <w:b w:val="1"/>
                <w:bCs w:val="1"/>
                <w:color w:val="auto"/>
              </w:rPr>
              <w:t>Expiration</w:t>
            </w:r>
          </w:p>
        </w:tc>
        <w:tc>
          <w:tcPr>
            <w:tcW w:w="2540" w:type="dxa"/>
            <w:vAlign w:val="bottom"/>
            <w:gridSpan w:val="2"/>
            <w:vMerge w:val="continue"/>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Coupon</w:t>
            </w: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580" w:type="dxa"/>
            <w:vAlign w:val="bottom"/>
          </w:tcPr>
          <w:p>
            <w:pPr>
              <w:jc w:val="right"/>
              <w:ind w:right="8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6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6"/>
              </w:rPr>
              <w:t xml:space="preserve">Investments in Non-Controlled, Non-Affiliated Portfolio Companies—144.0% </w:t>
            </w:r>
            <w:r>
              <w:rPr>
                <w:rFonts w:ascii="Arial" w:cs="Arial" w:eastAsia="Arial" w:hAnsi="Arial"/>
                <w:sz w:val="9"/>
                <w:szCs w:val="9"/>
                <w:b w:val="1"/>
                <w:bCs w:val="1"/>
                <w:color w:val="auto"/>
                <w:w w:val="96"/>
              </w:rPr>
              <w:t>(1), (2)</w:t>
            </w:r>
          </w:p>
        </w:tc>
        <w:tc>
          <w:tcPr>
            <w:tcW w:w="25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Debt—66.9%</w:t>
            </w:r>
          </w:p>
        </w:tc>
        <w:tc>
          <w:tcPr>
            <w:tcW w:w="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Allied America,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08/08/2022</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9.39%</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21,435,548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21,116,138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21,478,419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08/08/2022</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2,000,000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Bazaarvoice,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02/01/2024</w:t>
            </w:r>
          </w:p>
        </w:tc>
        <w:tc>
          <w:tcPr>
            <w:tcW w:w="25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Printing and Publishing</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10.24%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14,925,000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14,783,825</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Bottom Line Systems,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02/13/2023</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9.74%</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L+750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19,583,330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19,345,650</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12/02/2022</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10.33%</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L+800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31,676,768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31,678,078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31,676,768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Cano Health,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12/23/2021</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10.61%</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32,813,941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32,240,776</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Cano Health, LLC (Revolver)</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11/05/2018</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10.68%</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DermaRite Industries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03/03/2022</w:t>
            </w:r>
          </w:p>
        </w:tc>
        <w:tc>
          <w:tcPr>
            <w:tcW w:w="25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9.24%</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L+700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9,850,000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9,738,431</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Deva Holdings,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10/31/2023</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7.74%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4,962,500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4,877,212</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4,962,500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10/31/2022</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385,000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08/29/2022</w:t>
            </w:r>
          </w:p>
        </w:tc>
        <w:tc>
          <w:tcPr>
            <w:tcW w:w="25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8"/>
              </w:rPr>
              <w:t>Financial Services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9.74%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L+750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19,800,000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19,475,599</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19,800,000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08/29/2022</w:t>
            </w:r>
          </w:p>
        </w:tc>
        <w:tc>
          <w:tcPr>
            <w:tcW w:w="25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8"/>
              </w:rPr>
              <w:t>Financial Services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4,000,000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(11)</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08/29/2022</w:t>
            </w:r>
          </w:p>
        </w:tc>
        <w:tc>
          <w:tcPr>
            <w:tcW w:w="25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8"/>
              </w:rPr>
              <w:t>Financial Services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4,000,000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06/09/2023</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10.39%</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19,713,838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19,386,443</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Group,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06/27/2023</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8.64%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22,457,923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22,225,155</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22,345,634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06/27/2023</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12,491,009</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(62,455)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Juniper Landscaping of Florida,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12/22/2021</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11.61%</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14,350,500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14,140,360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14,350,500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K2 Pure Solutions NoCal, L.P.</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02/19/2021</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Chemicals, Plastics and Rubber</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11.24%</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14,243,249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14,033,015</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Ox Two,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02/27/2023</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2"/>
              </w:rPr>
              <w:t>Building Materials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8.49%</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22,218,750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21,819,701</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22,218,750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Ox Two, LLC (Revolver)</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02/27/2023</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2"/>
              </w:rPr>
              <w:t>Building Materials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12.50%</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P+725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750,000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02/27/2023</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2"/>
              </w:rPr>
              <w:t>Building Materials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1,750,000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Questex,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09/09/2024</w:t>
            </w:r>
          </w:p>
        </w:tc>
        <w:tc>
          <w:tcPr>
            <w:tcW w:w="25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8.57%</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22,500,000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22,054,120</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Questex, LLC (Revolver)</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09/09/2024</w:t>
            </w:r>
          </w:p>
        </w:tc>
        <w:tc>
          <w:tcPr>
            <w:tcW w:w="25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8.57%</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586,436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09/09/2024</w:t>
            </w:r>
          </w:p>
        </w:tc>
        <w:tc>
          <w:tcPr>
            <w:tcW w:w="25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2,992,021</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06/28/2022</w:t>
            </w:r>
          </w:p>
        </w:tc>
        <w:tc>
          <w:tcPr>
            <w:tcW w:w="25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8.36%</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22,500,000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22,071,351</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06/28/2022</w:t>
            </w:r>
          </w:p>
        </w:tc>
        <w:tc>
          <w:tcPr>
            <w:tcW w:w="25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9,121,622</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(182,432)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 (Revolver)</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06/28/2022</w:t>
            </w:r>
          </w:p>
        </w:tc>
        <w:tc>
          <w:tcPr>
            <w:tcW w:w="25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8.36%</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1,783,784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1,783,784</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1,748,108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06/28/2022</w:t>
            </w:r>
          </w:p>
        </w:tc>
        <w:tc>
          <w:tcPr>
            <w:tcW w:w="25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2,270,270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(45,405)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09/01/2022</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Buildings and Real Estate</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8.59%</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20,925,313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20,642,473</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20,925,313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09/01/2022</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Buildings and Real Estate</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1,375,000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09/01/2022</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Buildings and Real Estate</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2,500,000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Triad Manufacturing,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12/28/2020</w:t>
            </w:r>
          </w:p>
        </w:tc>
        <w:tc>
          <w:tcPr>
            <w:tcW w:w="25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15.49%</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97"/>
              </w:rPr>
              <w:t>1M L+1,325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23,718,379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23,464,517</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Dominion,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07/15/2024</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8"/>
              </w:rPr>
              <w:t>Electronics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9.14%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29,925,000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29,415,076</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29,925,000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07/15/2024</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8"/>
              </w:rPr>
              <w:t>Electronics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7,500,000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Med Acquisition,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08/13/2021</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11.39%</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8,476,563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8,476,563</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8,052,732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Walker Edison Furniture Company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09/26/2024</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0"/>
              </w:rPr>
              <w:t>Home and Office Furnishings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8.88%</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22,500,000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22,050,866</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Whitney, Bradley &amp; Brown,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10/18/2022</w:t>
            </w:r>
          </w:p>
        </w:tc>
        <w:tc>
          <w:tcPr>
            <w:tcW w:w="25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11.25%</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19,305,000</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18,977,907</w:t>
            </w: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19,305,000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418,295,444</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420,847,539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Debt—62.2%</w:t>
            </w: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Condor Borrower,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04/25/2025</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11.09%</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12,500,000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12,271,734</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03/31/2025</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10.64%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L+825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23,024,259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22,607,675</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23,024,259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Halo Buyer,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07/06/2026</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10.49%</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45,000,000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44,338,109</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04/03/2024</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0"/>
              </w:rPr>
              <w:t>Other Media</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11.64%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L+925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20,400,000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20,056,087</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Integrity Marketing Partners,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01/02/2023</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6"/>
              </w:rPr>
              <w:t>Banking, Finance, Insurance and Real Estate</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11.17%</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5,913,341</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03/01/2019</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6"/>
              </w:rPr>
              <w:t>Cargo Transport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11.00%</w:t>
            </w:r>
          </w:p>
        </w:tc>
        <w:tc>
          <w:tcPr>
            <w:tcW w:w="8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481,052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447,988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481,052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5"/>
              </w:rPr>
              <w:t>(PIK 11.00%)</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MailSouth,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10/23/2024</w:t>
            </w:r>
          </w:p>
        </w:tc>
        <w:tc>
          <w:tcPr>
            <w:tcW w:w="25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Printing and Publishing</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12.00%</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L+925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48,425,000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47,496,549</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47,456,500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MBS Holdings,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01/02/2024</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Telecommunications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10.60%</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15,000,000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14,710,035</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12/17/2021</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9"/>
              </w:rPr>
              <w:t>Hotels, Motels, Inns and Gaming</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14.39%</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97"/>
              </w:rPr>
              <w:t>3M L+1,200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76,500,000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76,500,000</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80,904,325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Pathway Partners Vet Management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10/10/2025</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10.24%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19,300,700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19,246,644</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19,107,693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10/10/2025</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4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4,699,300</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(46,993)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PT Network,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04/12/2023</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12.34%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w w:val="97"/>
              </w:rPr>
              <w:t>3M L+1,000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41,666,667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40,959,198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41,250,000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Shift4 Payments,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11/28/2025</w:t>
            </w:r>
          </w:p>
        </w:tc>
        <w:tc>
          <w:tcPr>
            <w:tcW w:w="25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8"/>
              </w:rPr>
              <w:t>Financial Services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10.84%</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37,000,000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36,835,458</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36,768,750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VT Topco,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08/24/2026</w:t>
            </w:r>
          </w:p>
        </w:tc>
        <w:tc>
          <w:tcPr>
            <w:tcW w:w="25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9.34%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12,500,000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12,437,500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Winter Park Intermediate,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04/03/2026</w:t>
            </w:r>
          </w:p>
        </w:tc>
        <w:tc>
          <w:tcPr>
            <w:tcW w:w="25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9"/>
              </w:rPr>
              <w:t>Auto Sector</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10.62%</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32,000,000</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31,380,959</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31,680,000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385,201,277</w:t>
            </w: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391,038,029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2"/>
              </w:rPr>
              <w:t>Basis Point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3"/>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48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80" w:type="dxa"/>
            <w:vAlign w:val="bottom"/>
            <w:gridSpan w:val="2"/>
            <w:vMerge w:val="continue"/>
          </w:tcPr>
          <w:p>
            <w:pPr>
              <w:spacing w:after="0"/>
              <w:rPr>
                <w:sz w:val="12"/>
                <w:szCs w:val="12"/>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Expiration</w:t>
            </w:r>
          </w:p>
        </w:tc>
        <w:tc>
          <w:tcPr>
            <w:tcW w:w="2480" w:type="dxa"/>
            <w:vAlign w:val="bottom"/>
            <w:gridSpan w:val="2"/>
            <w:vMerge w:val="continue"/>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Notes—7.7%</w:t>
            </w: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Pr>
          <w:p>
            <w:pPr>
              <w:spacing w:after="0" w:line="129" w:lineRule="exact"/>
              <w:rPr>
                <w:sz w:val="20"/>
                <w:szCs w:val="20"/>
                <w:color w:val="auto"/>
              </w:rPr>
            </w:pPr>
            <w:r>
              <w:rPr>
                <w:rFonts w:ascii="Arial" w:cs="Arial" w:eastAsia="Arial" w:hAnsi="Arial"/>
                <w:sz w:val="12"/>
                <w:szCs w:val="12"/>
                <w:color w:val="auto"/>
              </w:rPr>
              <w:t>Blackhawk Industrial Distribution, Inc.</w:t>
            </w:r>
          </w:p>
        </w:tc>
        <w:tc>
          <w:tcPr>
            <w:tcW w:w="700" w:type="dxa"/>
            <w:vAlign w:val="bottom"/>
          </w:tcPr>
          <w:p>
            <w:pPr>
              <w:ind w:left="160"/>
              <w:spacing w:after="0" w:line="129" w:lineRule="exact"/>
              <w:rPr>
                <w:sz w:val="20"/>
                <w:szCs w:val="20"/>
                <w:color w:val="auto"/>
              </w:rPr>
            </w:pPr>
            <w:r>
              <w:rPr>
                <w:rFonts w:ascii="Arial" w:cs="Arial" w:eastAsia="Arial" w:hAnsi="Arial"/>
                <w:sz w:val="12"/>
                <w:szCs w:val="12"/>
                <w:color w:val="auto"/>
                <w:w w:val="86"/>
              </w:rPr>
              <w:t>03/17/2025</w:t>
            </w:r>
          </w:p>
        </w:tc>
        <w:tc>
          <w:tcPr>
            <w:tcW w:w="140" w:type="dxa"/>
            <w:vAlign w:val="bottom"/>
          </w:tcPr>
          <w:p>
            <w:pPr>
              <w:spacing w:after="0"/>
              <w:rPr>
                <w:sz w:val="11"/>
                <w:szCs w:val="11"/>
                <w:color w:val="auto"/>
              </w:rPr>
            </w:pPr>
          </w:p>
        </w:tc>
        <w:tc>
          <w:tcPr>
            <w:tcW w:w="2480" w:type="dxa"/>
            <w:vAlign w:val="bottom"/>
            <w:gridSpan w:val="2"/>
          </w:tcPr>
          <w:p>
            <w:pPr>
              <w:jc w:val="center"/>
              <w:ind w:right="40"/>
              <w:spacing w:after="0" w:line="129"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12.00%</w:t>
            </w:r>
          </w:p>
        </w:tc>
        <w:tc>
          <w:tcPr>
            <w:tcW w:w="780" w:type="dxa"/>
            <w:vAlign w:val="bottom"/>
            <w:gridSpan w:val="2"/>
          </w:tcPr>
          <w:p>
            <w:pPr>
              <w:ind w:left="44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13,500,000</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8"/>
              </w:rPr>
              <w:t>$  13,230,411</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13,230,000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(PIK 2.00%)</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Cascade Environmental LLC</w:t>
            </w:r>
          </w:p>
        </w:tc>
        <w:tc>
          <w:tcPr>
            <w:tcW w:w="70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w w:val="86"/>
              </w:rPr>
              <w:t>08/20/2021</w:t>
            </w:r>
          </w:p>
        </w:tc>
        <w:tc>
          <w:tcPr>
            <w:tcW w:w="14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15.00%</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35,792,396</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35,386,702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34,897,586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5"/>
              </w:rPr>
              <w:t>(PIK 13.00%)</w:t>
            </w:r>
          </w:p>
        </w:tc>
        <w:tc>
          <w:tcPr>
            <w:tcW w:w="6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48,617,113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48,127,586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AH Holdings, Inc.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6.00%</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211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396,898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36,450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546,750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565,339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556,000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556,000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90"/>
              </w:rPr>
              <w:t>Other Media</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8.00%</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3,591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25,771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Equity/Partnership Interests</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1,602,750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1,544,008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Equity/Partnership Interests/Warrants—7.0% </w:t>
            </w:r>
            <w:r>
              <w:rPr>
                <w:rFonts w:ascii="Arial" w:cs="Arial" w:eastAsia="Arial" w:hAnsi="Arial"/>
                <w:sz w:val="9"/>
                <w:szCs w:val="9"/>
                <w:b w:val="1"/>
                <w:bCs w:val="1"/>
                <w:color w:val="auto"/>
              </w:rPr>
              <w:t>(6)</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AH Holdings, Inc. (Warrants)</w:t>
            </w:r>
          </w:p>
        </w:tc>
        <w:tc>
          <w:tcPr>
            <w:tcW w:w="70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w w:val="86"/>
              </w:rPr>
              <w:t>03/23/2021</w:t>
            </w:r>
          </w:p>
        </w:tc>
        <w:tc>
          <w:tcPr>
            <w:tcW w:w="14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700" w:type="dxa"/>
            <w:vAlign w:val="bottom"/>
          </w:tcPr>
          <w:p>
            <w:pPr>
              <w:ind w:left="160"/>
              <w:spacing w:after="0" w:line="135" w:lineRule="exact"/>
              <w:rPr>
                <w:sz w:val="20"/>
                <w:szCs w:val="20"/>
                <w:color w:val="auto"/>
              </w:rPr>
            </w:pPr>
            <w:r>
              <w:rPr>
                <w:rFonts w:ascii="Arial" w:cs="Arial" w:eastAsia="Arial" w:hAnsi="Arial"/>
                <w:sz w:val="12"/>
                <w:szCs w:val="12"/>
                <w:color w:val="auto"/>
                <w:w w:val="86"/>
              </w:rPr>
              <w:t>05/05/2026</w:t>
            </w:r>
          </w:p>
        </w:tc>
        <w:tc>
          <w:tcPr>
            <w:tcW w:w="140" w:type="dxa"/>
            <w:vAlign w:val="bottom"/>
          </w:tcPr>
          <w:p>
            <w:pPr>
              <w:spacing w:after="0"/>
              <w:rPr>
                <w:sz w:val="11"/>
                <w:szCs w:val="11"/>
                <w:color w:val="auto"/>
              </w:rPr>
            </w:pP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9"/>
              </w:rPr>
              <w:t>Education</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933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586,975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1,651,653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Autumn Games, LLC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8"/>
              </w:rPr>
              <w:t>Broadcasting and Entertainment</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1,333,330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3,000,000</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w w:val="92"/>
              </w:rPr>
              <w:t xml:space="preserve">Cardinal Logistics Holdings LLC (Intermediate Transportation 100, LLC) </w:t>
            </w:r>
            <w:r>
              <w:rPr>
                <w:rFonts w:ascii="Arial" w:cs="Arial" w:eastAsia="Arial" w:hAnsi="Arial"/>
                <w:sz w:val="9"/>
                <w:szCs w:val="9"/>
                <w:color w:val="auto"/>
                <w:w w:val="92"/>
              </w:rPr>
              <w:t>(9)</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6"/>
              </w:rPr>
              <w:t>Cargo Transport</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(13)</w:t>
            </w: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5,411,024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2,776,777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33,901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2,852,080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1,186,539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 xml:space="preserve">CI (Allied) Investment Holdings, LLC (Allied America, Inc.) </w:t>
            </w:r>
            <w:r>
              <w:rPr>
                <w:rFonts w:ascii="Arial" w:cs="Arial" w:eastAsia="Arial" w:hAnsi="Arial"/>
                <w:sz w:val="9"/>
                <w:szCs w:val="9"/>
                <w:color w:val="auto"/>
              </w:rPr>
              <w:t>(9)</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84,000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840,004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957,866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333,333</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CI (Summit) Investment Holdings LLC (SFP Holdings, Inc.)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7"/>
              </w:rPr>
              <w:t>Buildings and Real Estate</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100,000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1,245,827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Cowboy Parent LLC (Blackhawk Industrial Distribution, Inc.)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DecoPac Holdings Inc.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3,449</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3,448,658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4,165,759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8"/>
              </w:rPr>
              <w:t>Financial Services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1,049,378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Faraday Holdings, LLC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4,277</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217,635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1,147,011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Green Veracity Holdings, LP—Class A (VT Topco, Inc.)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90"/>
              </w:rPr>
              <w:t>Other Media</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388,378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2,787,265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Parent Holdings, Inc.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90"/>
              </w:rPr>
              <w:t>Other Media</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181,495</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2,167,874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204,985</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2,049,849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3,654,472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JWC-WE Holdings, L.P. (Walker Edison Furniture Company LLC)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90"/>
              </w:rPr>
              <w:t>Home and Office Furnishings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1,906,433</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1,906,433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1,906,433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252,014</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2,265,639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841,727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493,280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522,889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1,148,703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1,158,703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672,195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SSC Dominion Holdings, LLC Class A (US Dominion, Inc.)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8"/>
              </w:rPr>
              <w:t>Electronics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SSC Dominion Holdings, LLC Class B (US Dominion, Inc.)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8"/>
              </w:rPr>
              <w:t>Electronics</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WBB Equity, LLC (Whitney, Bradley &amp; Brown, Inc.) </w:t>
            </w:r>
            <w:r>
              <w:rPr>
                <w:rFonts w:ascii="Arial" w:cs="Arial" w:eastAsia="Arial" w:hAnsi="Arial"/>
                <w:sz w:val="9"/>
                <w:szCs w:val="9"/>
                <w:color w:val="auto"/>
              </w:rPr>
              <w:t>(9)</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5"/>
              </w:rPr>
              <w:t>Aerospace and Defense</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628,571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628,571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1,181,714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Wheel Pros Holdings, L.P. (Winter Park Intermediate, Inc.)</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9"/>
              </w:rPr>
              <w:t>Auto Sector</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3,200,000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4,513,118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856</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855,515</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1,035,599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43,004,366</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43,714,096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88"/>
              </w:rPr>
              <w:t>Total Investments in Non-Controlled, Non-Affiliated Portfolio Companies</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896,720,950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905,271,258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20" w:type="dxa"/>
            <w:vAlign w:val="bottom"/>
            <w:gridSpan w:val="4"/>
          </w:tcPr>
          <w:p>
            <w:pPr>
              <w:spacing w:after="0"/>
              <w:rPr>
                <w:sz w:val="20"/>
                <w:szCs w:val="20"/>
                <w:color w:val="auto"/>
              </w:rPr>
            </w:pPr>
            <w:r>
              <w:rPr>
                <w:rFonts w:ascii="Arial" w:cs="Arial" w:eastAsia="Arial" w:hAnsi="Arial"/>
                <w:sz w:val="12"/>
                <w:szCs w:val="12"/>
                <w:b w:val="1"/>
                <w:bCs w:val="1"/>
                <w:color w:val="auto"/>
              </w:rPr>
              <w:t xml:space="preserve">Investments in Non-Controlled, Affiliated Portfolio Companies—12.4% </w:t>
            </w:r>
            <w:r>
              <w:rPr>
                <w:rFonts w:ascii="Arial" w:cs="Arial" w:eastAsia="Arial" w:hAnsi="Arial"/>
                <w:sz w:val="9"/>
                <w:szCs w:val="9"/>
                <w:b w:val="1"/>
                <w:bCs w:val="1"/>
                <w:color w:val="auto"/>
              </w:rPr>
              <w:t>(1), (2)</w:t>
            </w: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Debt—1.9%</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Pr>
          <w:p>
            <w:pPr>
              <w:spacing w:after="0" w:line="129" w:lineRule="exact"/>
              <w:rPr>
                <w:sz w:val="20"/>
                <w:szCs w:val="20"/>
                <w:color w:val="auto"/>
              </w:rPr>
            </w:pPr>
            <w:r>
              <w:rPr>
                <w:rFonts w:ascii="Arial" w:cs="Arial" w:eastAsia="Arial" w:hAnsi="Arial"/>
                <w:sz w:val="12"/>
                <w:szCs w:val="12"/>
                <w:color w:val="auto"/>
              </w:rPr>
              <w:t>U.S. Well Services, LLC</w:t>
            </w:r>
          </w:p>
        </w:tc>
        <w:tc>
          <w:tcPr>
            <w:tcW w:w="700" w:type="dxa"/>
            <w:vAlign w:val="bottom"/>
          </w:tcPr>
          <w:p>
            <w:pPr>
              <w:ind w:left="160"/>
              <w:spacing w:after="0" w:line="129" w:lineRule="exact"/>
              <w:rPr>
                <w:sz w:val="20"/>
                <w:szCs w:val="20"/>
                <w:color w:val="auto"/>
              </w:rPr>
            </w:pPr>
            <w:r>
              <w:rPr>
                <w:rFonts w:ascii="Arial" w:cs="Arial" w:eastAsia="Arial" w:hAnsi="Arial"/>
                <w:sz w:val="12"/>
                <w:szCs w:val="12"/>
                <w:color w:val="auto"/>
                <w:w w:val="86"/>
              </w:rPr>
              <w:t>02/02/2022</w:t>
            </w:r>
          </w:p>
        </w:tc>
        <w:tc>
          <w:tcPr>
            <w:tcW w:w="140" w:type="dxa"/>
            <w:vAlign w:val="bottom"/>
          </w:tcPr>
          <w:p>
            <w:pPr>
              <w:spacing w:after="0"/>
              <w:rPr>
                <w:sz w:val="11"/>
                <w:szCs w:val="11"/>
                <w:color w:val="auto"/>
              </w:rPr>
            </w:pPr>
          </w:p>
        </w:tc>
        <w:tc>
          <w:tcPr>
            <w:tcW w:w="2480" w:type="dxa"/>
            <w:vAlign w:val="bottom"/>
            <w:gridSpan w:val="2"/>
          </w:tcPr>
          <w:p>
            <w:pPr>
              <w:jc w:val="center"/>
              <w:ind w:right="40"/>
              <w:spacing w:after="0" w:line="129"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13.08%</w:t>
            </w:r>
          </w:p>
        </w:tc>
        <w:tc>
          <w:tcPr>
            <w:tcW w:w="78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w w:val="94"/>
              </w:rPr>
              <w:t>1M L+1,100</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10,160,537</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10,098,625</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10,160,537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w w:val="95"/>
              </w:rPr>
              <w:t>(PIK 13.08%)</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Well Services, LLC (Revolver)</w:t>
            </w:r>
          </w:p>
        </w:tc>
        <w:tc>
          <w:tcPr>
            <w:tcW w:w="70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w w:val="86"/>
              </w:rPr>
              <w:t>02/02/2022</w:t>
            </w:r>
          </w:p>
        </w:tc>
        <w:tc>
          <w:tcPr>
            <w:tcW w:w="14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8.08%</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700" w:type="dxa"/>
            <w:vAlign w:val="bottom"/>
          </w:tcPr>
          <w:p>
            <w:pPr>
              <w:ind w:left="160"/>
              <w:spacing w:after="0" w:line="135" w:lineRule="exact"/>
              <w:rPr>
                <w:sz w:val="20"/>
                <w:szCs w:val="20"/>
                <w:color w:val="auto"/>
              </w:rPr>
            </w:pPr>
            <w:r>
              <w:rPr>
                <w:rFonts w:ascii="Arial" w:cs="Arial" w:eastAsia="Arial" w:hAnsi="Arial"/>
                <w:sz w:val="12"/>
                <w:szCs w:val="12"/>
                <w:color w:val="auto"/>
                <w:w w:val="86"/>
              </w:rPr>
              <w:t>02/02/2022</w:t>
            </w:r>
          </w:p>
        </w:tc>
        <w:tc>
          <w:tcPr>
            <w:tcW w:w="140" w:type="dxa"/>
            <w:vAlign w:val="bottom"/>
          </w:tcPr>
          <w:p>
            <w:pPr>
              <w:spacing w:after="0"/>
              <w:rPr>
                <w:sz w:val="12"/>
                <w:szCs w:val="12"/>
                <w:color w:val="auto"/>
              </w:rPr>
            </w:pPr>
          </w:p>
        </w:tc>
        <w:tc>
          <w:tcPr>
            <w:tcW w:w="248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511,893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tcBorders>
              <w:bottom w:val="single" w:sz="8" w:color="auto"/>
            </w:tcBorders>
          </w:tcPr>
          <w:p>
            <w:pPr>
              <w:ind w:left="4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11,779,153</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11,841,065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Maturity /</w:t>
            </w:r>
          </w:p>
        </w:tc>
        <w:tc>
          <w:tcPr>
            <w:tcW w:w="25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rPr>
              <w:t>Current</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160" w:type="dxa"/>
            <w:vAlign w:val="bottom"/>
          </w:tcPr>
          <w:p>
            <w:pPr>
              <w:spacing w:after="0"/>
              <w:rPr>
                <w:sz w:val="11"/>
                <w:szCs w:val="11"/>
                <w:color w:val="auto"/>
              </w:rPr>
            </w:pPr>
          </w:p>
        </w:tc>
        <w:tc>
          <w:tcPr>
            <w:tcW w:w="62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80" w:type="dxa"/>
            <w:vAlign w:val="bottom"/>
            <w:gridSpan w:val="2"/>
            <w:vMerge w:val="continue"/>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2520" w:type="dxa"/>
            <w:vAlign w:val="bottom"/>
            <w:gridSpan w:val="2"/>
            <w:vMerge w:val="continue"/>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6"/>
              </w:rPr>
              <w:t>Coupon</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160" w:type="dxa"/>
            <w:vAlign w:val="bottom"/>
          </w:tcPr>
          <w:p>
            <w:pPr>
              <w:spacing w:after="0"/>
              <w:rPr>
                <w:sz w:val="12"/>
                <w:szCs w:val="12"/>
                <w:color w:val="auto"/>
              </w:rPr>
            </w:pPr>
          </w:p>
        </w:tc>
        <w:tc>
          <w:tcPr>
            <w:tcW w:w="620" w:type="dxa"/>
            <w:vAlign w:val="bottom"/>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Interests/Warrants—10.5% </w:t>
            </w:r>
            <w:r>
              <w:rPr>
                <w:rFonts w:ascii="Arial" w:cs="Arial" w:eastAsia="Arial" w:hAnsi="Arial"/>
                <w:sz w:val="9"/>
                <w:szCs w:val="9"/>
                <w:b w:val="1"/>
                <w:bCs w:val="1"/>
                <w:color w:val="auto"/>
              </w:rPr>
              <w:t>(6)</w:t>
            </w:r>
          </w:p>
        </w:tc>
        <w:tc>
          <w:tcPr>
            <w:tcW w:w="900" w:type="dxa"/>
            <w:vAlign w:val="bottom"/>
            <w:tcBorders>
              <w:top w:val="single" w:sz="8" w:color="auto"/>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90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859,496</w:t>
            </w:r>
          </w:p>
        </w:tc>
        <w:tc>
          <w:tcPr>
            <w:tcW w:w="2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30,503,493</w:t>
            </w:r>
          </w:p>
        </w:tc>
        <w:tc>
          <w:tcPr>
            <w:tcW w:w="2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18,137,081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90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37,181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10,265,973</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29,841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2"/>
                <w:szCs w:val="12"/>
                <w:color w:val="auto"/>
              </w:rPr>
              <w:t>Big Run, Inc.</w:t>
            </w:r>
          </w:p>
        </w:tc>
        <w:tc>
          <w:tcPr>
            <w:tcW w:w="90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8"/>
              </w:rPr>
              <w:t>Environmental Services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143,668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674,943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397,025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0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88"/>
              </w:rPr>
              <w:t>Oil and Gas</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1,658,389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29,711,576</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33,040,294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2"/>
                <w:szCs w:val="12"/>
                <w:color w:val="auto"/>
              </w:rPr>
              <w:t>ETX Energy Management Company, LLC</w:t>
            </w:r>
          </w:p>
        </w:tc>
        <w:tc>
          <w:tcPr>
            <w:tcW w:w="90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8"/>
              </w:rPr>
              <w:t>Oil and Gas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1,754,104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1,562,020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1,761,079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USWS Holdings, LLC—Class A and Class B </w:t>
            </w:r>
            <w:r>
              <w:rPr>
                <w:rFonts w:ascii="Arial" w:cs="Arial" w:eastAsia="Arial" w:hAnsi="Arial"/>
                <w:sz w:val="9"/>
                <w:szCs w:val="9"/>
                <w:color w:val="auto"/>
              </w:rPr>
              <w:t>(9)</w:t>
            </w:r>
          </w:p>
        </w:tc>
        <w:tc>
          <w:tcPr>
            <w:tcW w:w="90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88"/>
              </w:rPr>
              <w:t>Oil and Gas</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8,190,817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7,023,750</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12,871,946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79,741,755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66,237,266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89"/>
              </w:rPr>
              <w:t>Total Investments in Non-Controlled, Affiliated Portfolio Companies</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91,520,908</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78,078,331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Companies—23.6% </w:t>
            </w:r>
            <w:r>
              <w:rPr>
                <w:rFonts w:ascii="Arial" w:cs="Arial" w:eastAsia="Arial" w:hAnsi="Arial"/>
                <w:sz w:val="9"/>
                <w:szCs w:val="9"/>
                <w:b w:val="1"/>
                <w:bCs w:val="1"/>
                <w:color w:val="auto"/>
              </w:rPr>
              <w:t>(1), (2)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Debt—15.7%</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00" w:type="dxa"/>
            <w:vAlign w:val="bottom"/>
          </w:tcPr>
          <w:p>
            <w:pPr>
              <w:ind w:left="100"/>
              <w:spacing w:after="0" w:line="135" w:lineRule="exact"/>
              <w:rPr>
                <w:sz w:val="20"/>
                <w:szCs w:val="20"/>
                <w:color w:val="auto"/>
              </w:rPr>
            </w:pPr>
            <w:r>
              <w:rPr>
                <w:rFonts w:ascii="Arial" w:cs="Arial" w:eastAsia="Arial" w:hAnsi="Arial"/>
                <w:sz w:val="12"/>
                <w:szCs w:val="12"/>
                <w:color w:val="auto"/>
              </w:rPr>
              <w:t>03/13/2024</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6.55%</w:t>
            </w:r>
          </w:p>
        </w:tc>
        <w:tc>
          <w:tcPr>
            <w:tcW w:w="600" w:type="dxa"/>
            <w:vAlign w:val="bottom"/>
          </w:tcPr>
          <w:p>
            <w:pPr>
              <w:ind w:left="100"/>
              <w:spacing w:after="0" w:line="135" w:lineRule="exact"/>
              <w:rPr>
                <w:sz w:val="20"/>
                <w:szCs w:val="20"/>
                <w:color w:val="auto"/>
              </w:rPr>
            </w:pPr>
            <w:r>
              <w:rPr>
                <w:rFonts w:ascii="Arial" w:cs="Arial" w:eastAsia="Arial" w:hAnsi="Arial"/>
                <w:sz w:val="12"/>
                <w:szCs w:val="12"/>
                <w:color w:val="auto"/>
                <w:w w:val="89"/>
              </w:rPr>
              <w:t>3M L+575</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£ 28,000,000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39,051,600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36,513,484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LLC</w:t>
            </w:r>
          </w:p>
        </w:tc>
        <w:tc>
          <w:tcPr>
            <w:tcW w:w="90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07/01/2022</w:t>
            </w:r>
          </w:p>
        </w:tc>
        <w:tc>
          <w:tcPr>
            <w:tcW w:w="25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0"/>
              </w:rPr>
              <w:t>Energy and Utilities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8.00%</w:t>
            </w: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2"/>
                <w:szCs w:val="12"/>
                <w:color w:val="auto"/>
              </w:rPr>
              <w:t>RAM Energy LLC (Revolver)</w:t>
            </w:r>
          </w:p>
        </w:tc>
        <w:tc>
          <w:tcPr>
            <w:tcW w:w="900" w:type="dxa"/>
            <w:vAlign w:val="bottom"/>
          </w:tcPr>
          <w:p>
            <w:pPr>
              <w:ind w:left="100"/>
              <w:spacing w:after="0" w:line="135" w:lineRule="exact"/>
              <w:rPr>
                <w:sz w:val="20"/>
                <w:szCs w:val="20"/>
                <w:color w:val="auto"/>
              </w:rPr>
            </w:pPr>
            <w:r>
              <w:rPr>
                <w:rFonts w:ascii="Arial" w:cs="Arial" w:eastAsia="Arial" w:hAnsi="Arial"/>
                <w:sz w:val="12"/>
                <w:szCs w:val="12"/>
                <w:color w:val="auto"/>
              </w:rPr>
              <w:t>07/01/2022</w:t>
            </w:r>
          </w:p>
        </w:tc>
        <w:tc>
          <w:tcPr>
            <w:tcW w:w="252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0"/>
              </w:rPr>
              <w:t>Energy and Utilities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8.00%</w:t>
            </w:r>
          </w:p>
        </w:tc>
        <w:tc>
          <w:tcPr>
            <w:tcW w:w="60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10,000,000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10,000,000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90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07/01/2022</w:t>
            </w:r>
          </w:p>
        </w:tc>
        <w:tc>
          <w:tcPr>
            <w:tcW w:w="25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0"/>
              </w:rPr>
              <w:t>Energy and Utilities</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line="129" w:lineRule="exact"/>
              <w:rPr>
                <w:sz w:val="20"/>
                <w:szCs w:val="20"/>
                <w:color w:val="auto"/>
              </w:rPr>
            </w:pPr>
            <w:r>
              <w:rPr>
                <w:rFonts w:ascii="Arial" w:cs="Arial" w:eastAsia="Arial" w:hAnsi="Arial"/>
                <w:sz w:val="12"/>
                <w:szCs w:val="12"/>
                <w:color w:val="auto"/>
              </w:rPr>
              <w:t>Superior Digital Displays, LLC</w:t>
            </w:r>
          </w:p>
        </w:tc>
        <w:tc>
          <w:tcPr>
            <w:tcW w:w="900" w:type="dxa"/>
            <w:vAlign w:val="bottom"/>
          </w:tcPr>
          <w:p>
            <w:pPr>
              <w:ind w:left="100"/>
              <w:spacing w:after="0" w:line="129" w:lineRule="exact"/>
              <w:rPr>
                <w:sz w:val="20"/>
                <w:szCs w:val="20"/>
                <w:color w:val="auto"/>
              </w:rPr>
            </w:pPr>
            <w:r>
              <w:rPr>
                <w:rFonts w:ascii="Arial" w:cs="Arial" w:eastAsia="Arial" w:hAnsi="Arial"/>
                <w:sz w:val="12"/>
                <w:szCs w:val="12"/>
                <w:color w:val="auto"/>
              </w:rPr>
              <w:t>12/31/2018</w:t>
            </w:r>
          </w:p>
        </w:tc>
        <w:tc>
          <w:tcPr>
            <w:tcW w:w="2520" w:type="dxa"/>
            <w:vAlign w:val="bottom"/>
            <w:gridSpan w:val="2"/>
          </w:tcPr>
          <w:p>
            <w:pPr>
              <w:jc w:val="center"/>
              <w:ind w:right="220"/>
              <w:spacing w:after="0" w:line="129"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7.84%</w:t>
            </w:r>
          </w:p>
        </w:tc>
        <w:tc>
          <w:tcPr>
            <w:tcW w:w="600" w:type="dxa"/>
            <w:vAlign w:val="bottom"/>
          </w:tcPr>
          <w:p>
            <w:pPr>
              <w:ind w:left="100"/>
              <w:spacing w:after="0" w:line="129" w:lineRule="exact"/>
              <w:rPr>
                <w:sz w:val="20"/>
                <w:szCs w:val="20"/>
                <w:color w:val="auto"/>
              </w:rPr>
            </w:pPr>
            <w:r>
              <w:rPr>
                <w:rFonts w:ascii="Arial" w:cs="Arial" w:eastAsia="Arial" w:hAnsi="Arial"/>
                <w:sz w:val="12"/>
                <w:szCs w:val="12"/>
                <w:color w:val="auto"/>
                <w:w w:val="89"/>
              </w:rPr>
              <w:t>3M L+550</w:t>
            </w: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23,208,601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color w:val="auto"/>
              </w:rPr>
              <w:t>22,749,435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17,220,000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w w:val="98"/>
              </w:rPr>
              <w:t>(PIK 7.84%)</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106,801,035</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98,733,484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90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3"/>
              </w:rPr>
              <w:t>Distribution</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153,922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15,392,189</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12,099,647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0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15.00%</w:t>
            </w:r>
          </w:p>
        </w:tc>
        <w:tc>
          <w:tcPr>
            <w:tcW w:w="60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873,289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30,011,026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45,403,215</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12,099,647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Equity—6.0%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0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132,497</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3,987,794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2"/>
                <w:szCs w:val="12"/>
                <w:color w:val="auto"/>
              </w:rPr>
              <w:t>MidOcean JF Holdings Corp.</w:t>
            </w:r>
          </w:p>
        </w:tc>
        <w:tc>
          <w:tcPr>
            <w:tcW w:w="90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3"/>
              </w:rPr>
              <w:t>Distribution</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65,933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24,761,831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Holdings LLC</w:t>
            </w:r>
          </w:p>
        </w:tc>
        <w:tc>
          <w:tcPr>
            <w:tcW w:w="90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0"/>
              </w:rPr>
              <w:t>Energy and Utilities</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84,747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76,264,739</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33,914,960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0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11,100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2,211,000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103,370,067</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37,902,754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b w:val="1"/>
                <w:bCs w:val="1"/>
                <w:color w:val="auto"/>
                <w:w w:val="96"/>
              </w:rPr>
              <w:t>Total Investments in Controlled, Affiliated Portfolio Companies</w:t>
            </w: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255,574,317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148,735,885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Investments—180.0%</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88"/>
              </w:rPr>
              <w:t>1,243,816,175</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1"/>
              </w:rPr>
              <w:t>1,132,085,474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Equivalents—3.1%</w:t>
            </w: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531,379</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531,379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19,012,246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18,974,775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Cash and Cash Equivalents</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19,543,625</w:t>
            </w: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19,506,154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and Cash Equivalents—183.1%</w:t>
            </w: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w w:val="88"/>
              </w:rPr>
              <w:t>1,263,359,800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w w:val="91"/>
              </w:rPr>
              <w:t>1,151,591,628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Assets—(83.1%)</w:t>
            </w:r>
          </w:p>
        </w:tc>
        <w:tc>
          <w:tcPr>
            <w:tcW w:w="9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w w:val="98"/>
              </w:rPr>
              <w:t>(522,689,733)</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Assets—100.0%</w:t>
            </w:r>
          </w:p>
        </w:tc>
        <w:tc>
          <w:tcPr>
            <w:tcW w:w="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628,901,895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6" w:lineRule="exact"/>
        <w:rPr>
          <w:sz w:val="20"/>
          <w:szCs w:val="20"/>
          <w:color w:val="auto"/>
        </w:rPr>
      </w:pPr>
    </w:p>
    <w:p>
      <w:pPr>
        <w:ind w:left="420" w:right="180" w:hanging="216"/>
        <w:spacing w:after="0" w:line="243" w:lineRule="auto"/>
        <w:tabs>
          <w:tab w:leader="none" w:pos="4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20" w:right="120" w:hanging="216"/>
        <w:spacing w:after="0" w:line="234" w:lineRule="auto"/>
        <w:tabs>
          <w:tab w:leader="none" w:pos="4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420" w:hanging="216"/>
        <w:spacing w:after="0" w:line="234" w:lineRule="auto"/>
        <w:tabs>
          <w:tab w:leader="none" w:pos="4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420" w:right="60" w:hanging="216"/>
        <w:spacing w:after="0" w:line="256" w:lineRule="auto"/>
        <w:tabs>
          <w:tab w:leader="none" w:pos="420" w:val="left"/>
        </w:tabs>
        <w:numPr>
          <w:ilvl w:val="0"/>
          <w:numId w:val="95"/>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ind w:left="420" w:hanging="216"/>
        <w:spacing w:after="0"/>
        <w:tabs>
          <w:tab w:leader="none" w:pos="420" w:val="left"/>
        </w:tabs>
        <w:numPr>
          <w:ilvl w:val="0"/>
          <w:numId w:val="95"/>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420" w:hanging="216"/>
        <w:spacing w:after="0"/>
        <w:tabs>
          <w:tab w:leader="none" w:pos="4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40" w:right="24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5" w:lineRule="exact"/>
        <w:rPr>
          <w:sz w:val="20"/>
          <w:szCs w:val="20"/>
          <w:color w:val="auto"/>
        </w:rPr>
      </w:pPr>
    </w:p>
    <w:p>
      <w:pPr>
        <w:ind w:left="420" w:hanging="216"/>
        <w:spacing w:after="0"/>
        <w:tabs>
          <w:tab w:leader="none" w:pos="420" w:val="left"/>
        </w:tabs>
        <w:numPr>
          <w:ilvl w:val="0"/>
          <w:numId w:val="96"/>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 w:lineRule="exact"/>
        <w:rPr>
          <w:rFonts w:ascii="Arial" w:cs="Arial" w:eastAsia="Arial" w:hAnsi="Arial"/>
          <w:sz w:val="11"/>
          <w:szCs w:val="11"/>
          <w:color w:val="auto"/>
        </w:rPr>
      </w:pPr>
    </w:p>
    <w:p>
      <w:pPr>
        <w:ind w:left="420" w:hanging="216"/>
        <w:spacing w:after="0" w:line="234" w:lineRule="auto"/>
        <w:tabs>
          <w:tab w:leader="none" w:pos="4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420" w:hanging="216"/>
        <w:spacing w:after="0" w:line="234" w:lineRule="auto"/>
        <w:tabs>
          <w:tab w:leader="none" w:pos="4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420" w:hanging="216"/>
        <w:spacing w:after="0" w:line="234" w:lineRule="auto"/>
        <w:tabs>
          <w:tab w:leader="none" w:pos="4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or in Euros (€) as denoted.</w:t>
      </w:r>
    </w:p>
    <w:p>
      <w:pPr>
        <w:ind w:left="420" w:hanging="216"/>
        <w:spacing w:after="0" w:line="256" w:lineRule="auto"/>
        <w:tabs>
          <w:tab w:leader="none" w:pos="420"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420" w:hanging="216"/>
        <w:spacing w:after="0" w:line="234" w:lineRule="auto"/>
        <w:tabs>
          <w:tab w:leader="none" w:pos="4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420" w:hanging="216"/>
        <w:spacing w:after="0"/>
        <w:tabs>
          <w:tab w:leader="none" w:pos="4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20"/>
          </w:cols>
          <w:pgMar w:left="240" w:top="460" w:right="6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2017</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2"/>
              </w:rPr>
              <w:t>Basis Point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3"/>
              </w:rPr>
              <w:t>Spread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2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Maturity /</w:t>
            </w:r>
          </w:p>
        </w:tc>
        <w:tc>
          <w:tcPr>
            <w:tcW w:w="25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740" w:type="dxa"/>
            <w:vAlign w:val="bottom"/>
            <w:gridSpan w:val="2"/>
            <w:vMerge w:val="continue"/>
          </w:tcPr>
          <w:p>
            <w:pPr>
              <w:spacing w:after="0"/>
              <w:rPr>
                <w:sz w:val="12"/>
                <w:szCs w:val="12"/>
                <w:color w:val="auto"/>
              </w:rPr>
            </w:pPr>
          </w:p>
        </w:tc>
        <w:tc>
          <w:tcPr>
            <w:tcW w:w="820" w:type="dxa"/>
            <w:vAlign w:val="bottom"/>
          </w:tcPr>
          <w:p>
            <w:pPr>
              <w:jc w:val="right"/>
              <w:ind w:right="102"/>
              <w:spacing w:after="0"/>
              <w:rPr>
                <w:sz w:val="20"/>
                <w:szCs w:val="20"/>
                <w:color w:val="auto"/>
              </w:rPr>
            </w:pPr>
            <w:r>
              <w:rPr>
                <w:rFonts w:ascii="Arial" w:cs="Arial" w:eastAsia="Arial" w:hAnsi="Arial"/>
                <w:sz w:val="12"/>
                <w:szCs w:val="12"/>
                <w:b w:val="1"/>
                <w:bCs w:val="1"/>
                <w:color w:val="auto"/>
              </w:rPr>
              <w:t>Expiration</w:t>
            </w:r>
          </w:p>
        </w:tc>
        <w:tc>
          <w:tcPr>
            <w:tcW w:w="2500" w:type="dxa"/>
            <w:vAlign w:val="bottom"/>
            <w:gridSpan w:val="2"/>
            <w:vMerge w:val="continue"/>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62"/>
              <w:spacing w:after="0"/>
              <w:rPr>
                <w:sz w:val="20"/>
                <w:szCs w:val="20"/>
                <w:color w:val="auto"/>
              </w:rPr>
            </w:pPr>
            <w:r>
              <w:rPr>
                <w:rFonts w:ascii="Arial" w:cs="Arial" w:eastAsia="Arial" w:hAnsi="Arial"/>
                <w:sz w:val="12"/>
                <w:szCs w:val="12"/>
                <w:b w:val="1"/>
                <w:bCs w:val="1"/>
                <w:color w:val="auto"/>
                <w:w w:val="94"/>
              </w:rPr>
              <w:t>Shares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4"/>
          </w:tcPr>
          <w:p>
            <w:pPr>
              <w:ind w:left="14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7"/>
              </w:rPr>
              <w:t xml:space="preserve">Investments in Non-Controlled, Non-Affiliated Portfolio Companies—131.3% </w:t>
            </w:r>
            <w:r>
              <w:rPr>
                <w:rFonts w:ascii="Arial" w:cs="Arial" w:eastAsia="Arial" w:hAnsi="Arial"/>
                <w:sz w:val="9"/>
                <w:szCs w:val="9"/>
                <w:b w:val="1"/>
                <w:bCs w:val="1"/>
                <w:color w:val="auto"/>
                <w:w w:val="97"/>
              </w:rPr>
              <w:t>(1), (2)</w:t>
            </w:r>
          </w:p>
        </w:tc>
        <w:tc>
          <w:tcPr>
            <w:tcW w:w="2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Debt—52.8%</w:t>
            </w:r>
          </w:p>
        </w:tc>
        <w:tc>
          <w:tcPr>
            <w:tcW w:w="8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 of Tamarac, LLC</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06/20/2022</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10.82%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7,481,250</w:t>
            </w:r>
          </w:p>
        </w:tc>
        <w:tc>
          <w:tcPr>
            <w:tcW w:w="2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7,362,571</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7,331,625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Allied America, Inc.</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08/08/2022</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8.32%</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19,950,000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19,557,525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19,551,000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(8)</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08/08/2022</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Bottom Line Systems, LLC</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02/13/2023</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8.83%</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19,850,000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19,573,919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19,773,923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A</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06/03/2021</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7.08%</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L+575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8,398,102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8,279,029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8,398,102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Broder Bros., Co., Tranche B</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06/03/2021</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13.58%</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L+1,225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93"/>
              </w:rPr>
              <w:t>8,723,735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8,593,867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8,723,735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Cano Health, LLC</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12/23/2021</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9.74%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L+850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23,538,688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22,997,008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23,538,687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Cano Health, LLC (Revolver)</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09/21/2018</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9.74%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L+850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540,000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540,000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540,000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(8)</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09/21/2018</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DermaRite Industries LLC</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03/03/2022</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8.24%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93"/>
              </w:rPr>
              <w:t>9,950,000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9,814,043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9,938,114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(12)</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08/29/2022</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8.74%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L+750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20,000,000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19,605,736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19,600,000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(8), (12)</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08/29/2022</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93"/>
              </w:rPr>
              <w:t>4,000,000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(8), (12)</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08/29/2022</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4,000,000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06/09/2023</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Products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9.30%</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L+800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22,443,750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22,010,693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22,219,312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Home Town Cable TV, LLC</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06/20/2022</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10.82%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10,000,000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9,806,795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Interior Specialists, Inc.</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06/30/2020</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2"/>
              </w:rPr>
              <w:t>Building Materials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9.25%</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L+800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24,470,390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24,323,542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24,470,390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Juniper Landscaping of Florida, LLC</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12/22/2021</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10.74%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14,083,875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13,836,409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14,083,875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K2 Pure Solutions NoCal, L.P.</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02/19/2021</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10.24%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14,522,529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14,290,133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14,111,098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One Sixty Over Ninety, LLC</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03/03/2022</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10.52%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16,250,000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15,953,520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16,250,000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12/16/2019</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Mining, Steel, Iron and Non-Precious Metals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11.50%</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14,250,000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14,184,265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14,820,000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09/01/2022</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Buildings and Real Estate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7.57%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17,500,000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17,155,691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17,150,000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(8)</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09/01/2022</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Buildings and Real Estate</w:t>
            </w:r>
          </w:p>
        </w:tc>
        <w:tc>
          <w:tcPr>
            <w:tcW w:w="7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93"/>
              </w:rPr>
              <w:t>5,000,000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(8)</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09/01/2022</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Buildings and Real Estate</w:t>
            </w: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2,500,000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line="129" w:lineRule="exact"/>
              <w:rPr>
                <w:sz w:val="20"/>
                <w:szCs w:val="20"/>
                <w:color w:val="auto"/>
              </w:rPr>
            </w:pPr>
            <w:r>
              <w:rPr>
                <w:rFonts w:ascii="Arial" w:cs="Arial" w:eastAsia="Arial" w:hAnsi="Arial"/>
                <w:sz w:val="12"/>
                <w:szCs w:val="12"/>
                <w:color w:val="auto"/>
              </w:rPr>
              <w:t xml:space="preserve">Sunborn Oy, Sunborn Saga Oy </w:t>
            </w:r>
            <w:r>
              <w:rPr>
                <w:rFonts w:ascii="Arial" w:cs="Arial" w:eastAsia="Arial" w:hAnsi="Arial"/>
                <w:sz w:val="9"/>
                <w:szCs w:val="9"/>
                <w:color w:val="auto"/>
              </w:rPr>
              <w:t>(9), (11), (12)</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06/28/2019</w:t>
            </w:r>
          </w:p>
        </w:tc>
        <w:tc>
          <w:tcPr>
            <w:tcW w:w="250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9"/>
              </w:rPr>
              <w:t>Hotels, Motels, Inns and Gaming</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11.50%</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L+1,050</w:t>
            </w:r>
          </w:p>
        </w:tc>
        <w:tc>
          <w:tcPr>
            <w:tcW w:w="140" w:type="dxa"/>
            <w:vAlign w:val="bottom"/>
            <w:gridSpan w:val="2"/>
          </w:tcPr>
          <w:p>
            <w:pPr>
              <w:ind w:left="60"/>
              <w:spacing w:after="0" w:line="129"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w w:val="83"/>
              </w:rPr>
              <w:t>30,150,294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6"/>
              </w:rPr>
              <w:t>31,228,529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6"/>
              </w:rPr>
              <w:t>35,821,926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(PIK 3.50%)</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Triad Manufacturing, Inc.</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12/28/2020</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12.49%</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L+1,125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24,797,823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24,446,831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24,673,834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02/12/2020</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Buildings and Real Estate</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10.83%</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(7)</w:t>
            </w:r>
          </w:p>
        </w:tc>
        <w:tc>
          <w:tcPr>
            <w:tcW w:w="140" w:type="dxa"/>
            <w:vAlign w:val="bottom"/>
            <w:gridSpan w:val="2"/>
          </w:tcPr>
          <w:p>
            <w:pPr>
              <w:ind w:left="60"/>
              <w:spacing w:after="0" w:line="135"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16,890,936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27,246,877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22,817,525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Med Acquisition, Inc.</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08/13/2021</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10.33%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8,564,063</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8,564,063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8,135,859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8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339,371,046</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341,489,005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Debt—60.3%</w:t>
            </w:r>
          </w:p>
        </w:tc>
        <w:tc>
          <w:tcPr>
            <w:tcW w:w="82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Acre Operating Company, LLC</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12/12/2023</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Electronics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10.74%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38,800,000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38,164,636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39,576,000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03/04/2022</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13.75%</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28,500,000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28,288,480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28,500,000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DecoPac, Inc.</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03/31/2025</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9.58%</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L+825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35,500,000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34,790,399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34,790,000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Howard Berger Co. LLC</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09/30/2020</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3"/>
              </w:rPr>
              <w:t>Distribution</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11.34%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L+1,000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42,937,500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41,491,290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41,220,000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(PIK 5.18%)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Infogroup, Inc.</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04/03/2024</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Other Media</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10.58%</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20,400,000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20,011,940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19,992,000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03/01/2019</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Cargo Transport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432,203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334,401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432,203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5"/>
              </w:rPr>
              <w:t>(PIK 11.00%)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Lighthouse Network, LLC (f/k/a Harbortouch Payments, LLC)</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10/11/2024</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10.74%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33,900,000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33,633,877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33,900,000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MailSouth, Inc.</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10/22/2021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Printing and Publishing</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11.80%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L+1,050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26,425,000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26,004,601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26,689,250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12/17/2021</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Hotels, Motels, Inns and Gaming</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13.24%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L+1,200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76,500,000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76,500,000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83,295,634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Pre-Paid Legal Services, Inc.</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07/01/2020</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10.25%</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62,750,000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62,291,419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62,985,313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Veritext Corp.</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01/30/2023</w:t>
            </w:r>
          </w:p>
        </w:tc>
        <w:tc>
          <w:tcPr>
            <w:tcW w:w="25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10.33%</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18,834,375</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18,351,647</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18,646,031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82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379,862,690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390,026,431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40" w:type="dxa"/>
            <w:vAlign w:val="bottom"/>
            <w:gridSpan w:val="2"/>
          </w:tcPr>
          <w:p>
            <w:pPr>
              <w:spacing w:after="0"/>
              <w:rPr>
                <w:sz w:val="20"/>
                <w:szCs w:val="20"/>
                <w:color w:val="auto"/>
              </w:rPr>
            </w:pPr>
            <w:r>
              <w:rPr>
                <w:rFonts w:ascii="Arial" w:cs="Arial" w:eastAsia="Arial" w:hAnsi="Arial"/>
                <w:sz w:val="12"/>
                <w:szCs w:val="12"/>
                <w:b w:val="1"/>
                <w:bCs w:val="1"/>
                <w:color w:val="auto"/>
              </w:rPr>
              <w:t>Subordinated Debt/Corporate Notes—10.6%</w:t>
            </w:r>
          </w:p>
        </w:tc>
        <w:tc>
          <w:tcPr>
            <w:tcW w:w="8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Cascade Environmental LLC</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08/20/2021</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Environmental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32,675,553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32,158,389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31,940,353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line="129" w:lineRule="exact"/>
              <w:rPr>
                <w:sz w:val="20"/>
                <w:szCs w:val="20"/>
                <w:color w:val="auto"/>
              </w:rPr>
            </w:pPr>
            <w:r>
              <w:rPr>
                <w:rFonts w:ascii="Arial" w:cs="Arial" w:eastAsia="Arial" w:hAnsi="Arial"/>
                <w:sz w:val="12"/>
                <w:szCs w:val="12"/>
                <w:color w:val="auto"/>
              </w:rPr>
              <w:t>Credit Infonet, Inc.</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10/26/2020</w:t>
            </w:r>
          </w:p>
        </w:tc>
        <w:tc>
          <w:tcPr>
            <w:tcW w:w="250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7"/>
              </w:rPr>
              <w:t>Personal, Food and Miscellaneous Services</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13.00%</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w w:val="83"/>
              </w:rPr>
              <w:t>11,151,903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6"/>
              </w:rPr>
              <w:t>10,939,903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6"/>
              </w:rPr>
              <w:t>11,151,903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(PIK 0.75%)</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8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02/19/2018</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20.50%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L+1,600</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9,112,485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13,280,807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12,225,783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5"/>
              </w:rPr>
              <w:t>(PIK 12.00%)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line="135" w:lineRule="exact"/>
              <w:rPr>
                <w:sz w:val="20"/>
                <w:szCs w:val="20"/>
                <w:color w:val="auto"/>
              </w:rPr>
            </w:pPr>
            <w:r>
              <w:rPr>
                <w:rFonts w:ascii="Arial" w:cs="Arial" w:eastAsia="Arial" w:hAnsi="Arial"/>
                <w:sz w:val="12"/>
                <w:szCs w:val="12"/>
                <w:color w:val="auto"/>
              </w:rPr>
              <w:t>Sonny’s Enterprises, LLC</w:t>
            </w:r>
          </w:p>
        </w:tc>
        <w:tc>
          <w:tcPr>
            <w:tcW w:w="8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06/01/2023</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11.00%</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13,300,000</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13,055,456</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13,300,000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82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69,434,555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68,618,039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Equity/Partnership Interests—0.9% </w:t>
            </w:r>
            <w:r>
              <w:rPr>
                <w:rFonts w:ascii="Arial" w:cs="Arial" w:eastAsia="Arial" w:hAnsi="Arial"/>
                <w:sz w:val="9"/>
                <w:szCs w:val="9"/>
                <w:b w:val="1"/>
                <w:bCs w:val="1"/>
                <w:color w:val="auto"/>
              </w:rPr>
              <w:t>(6)</w:t>
            </w:r>
          </w:p>
        </w:tc>
        <w:tc>
          <w:tcPr>
            <w:tcW w:w="8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AH Holdings, Inc.</w:t>
            </w:r>
          </w:p>
        </w:tc>
        <w:tc>
          <w:tcPr>
            <w:tcW w:w="8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327,380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rPr>
                <w:sz w:val="20"/>
                <w:szCs w:val="20"/>
                <w:color w:val="auto"/>
              </w:rPr>
            </w:pPr>
            <w:r>
              <w:rPr>
                <w:rFonts w:ascii="Arial" w:cs="Arial" w:eastAsia="Arial" w:hAnsi="Arial"/>
                <w:sz w:val="12"/>
                <w:szCs w:val="12"/>
                <w:color w:val="auto"/>
              </w:rPr>
              <w:t>Alegeus Technologies Holdings Corp.</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949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949,050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1,144,391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2017</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Maturity /</w:t>
            </w:r>
          </w:p>
        </w:tc>
        <w:tc>
          <w:tcPr>
            <w:tcW w:w="23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Expiration</w:t>
            </w:r>
          </w:p>
        </w:tc>
        <w:tc>
          <w:tcPr>
            <w:tcW w:w="2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Coupon</w:t>
            </w:r>
          </w:p>
        </w:tc>
        <w:tc>
          <w:tcPr>
            <w:tcW w:w="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0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160" w:type="dxa"/>
            <w:vAlign w:val="bottom"/>
            <w:vMerge w:val="continue"/>
            <w:shd w:val="clear" w:color="auto" w:fill="CCEEFF"/>
          </w:tcPr>
          <w:p>
            <w:pPr>
              <w:spacing w:after="0"/>
              <w:rPr>
                <w:sz w:val="11"/>
                <w:szCs w:val="11"/>
                <w:color w:val="auto"/>
              </w:rPr>
            </w:pPr>
          </w:p>
        </w:tc>
        <w:tc>
          <w:tcPr>
            <w:tcW w:w="23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100" w:type="dxa"/>
            <w:vAlign w:val="bottom"/>
            <w:vMerge w:val="continue"/>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8.00%</w:t>
            </w:r>
          </w:p>
        </w:tc>
        <w:tc>
          <w:tcPr>
            <w:tcW w:w="8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w:t>
            </w:r>
          </w:p>
        </w:tc>
        <w:tc>
          <w:tcPr>
            <w:tcW w:w="140" w:type="dxa"/>
            <w:vAlign w:val="bottom"/>
            <w:vMerge w:val="continue"/>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2,375</w:t>
            </w:r>
          </w:p>
        </w:tc>
        <w:tc>
          <w:tcPr>
            <w:tcW w:w="24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1"/>
              </w:rPr>
              <w:t>$   2,088,121</w:t>
            </w:r>
          </w:p>
        </w:tc>
        <w:tc>
          <w:tcPr>
            <w:tcW w:w="140" w:type="dxa"/>
            <w:vAlign w:val="bottom"/>
            <w:vMerge w:val="continue"/>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w w:val="91"/>
              </w:rPr>
              <w:t>$   2,552,034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100" w:type="dxa"/>
            <w:vAlign w:val="bottom"/>
          </w:tcPr>
          <w:p>
            <w:pPr>
              <w:spacing w:after="0"/>
              <w:rPr>
                <w:sz w:val="11"/>
                <w:szCs w:val="11"/>
                <w:color w:val="auto"/>
              </w:rPr>
            </w:pP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9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8.00%</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3,591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24,971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Roto Holdings, Inc.</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1,197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1,197,000</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1,537,236</w:t>
            </w: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4,734,171</w:t>
            </w:r>
          </w:p>
        </w:tc>
        <w:tc>
          <w:tcPr>
            <w:tcW w:w="860" w:type="dxa"/>
            <w:vAlign w:val="bottom"/>
            <w:gridSpan w:val="2"/>
          </w:tcPr>
          <w:p>
            <w:pPr>
              <w:jc w:val="right"/>
              <w:ind w:right="2"/>
              <w:spacing w:after="0"/>
              <w:rPr>
                <w:sz w:val="20"/>
                <w:szCs w:val="20"/>
                <w:color w:val="auto"/>
              </w:rPr>
            </w:pPr>
            <w:r>
              <w:rPr>
                <w:rFonts w:ascii="Arial" w:cs="Arial" w:eastAsia="Arial" w:hAnsi="Arial"/>
                <w:sz w:val="12"/>
                <w:szCs w:val="12"/>
                <w:color w:val="auto"/>
              </w:rPr>
              <w:t>5,586,012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Equity/Partnership Interests/Warrants—6.7% </w:t>
            </w:r>
            <w:r>
              <w:rPr>
                <w:rFonts w:ascii="Arial" w:cs="Arial" w:eastAsia="Arial" w:hAnsi="Arial"/>
                <w:sz w:val="9"/>
                <w:szCs w:val="9"/>
                <w:b w:val="1"/>
                <w:bCs w:val="1"/>
                <w:color w:val="auto"/>
              </w:rPr>
              <w:t>(6)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top w:val="single" w:sz="8" w:color="auto"/>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AH Holdings, Inc. (Warrants)</w:t>
            </w:r>
          </w:p>
        </w:tc>
        <w:tc>
          <w:tcPr>
            <w:tcW w:w="6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03/23/2021</w:t>
            </w:r>
          </w:p>
        </w:tc>
        <w:tc>
          <w:tcPr>
            <w:tcW w:w="160" w:type="dxa"/>
            <w:vAlign w:val="bottom"/>
          </w:tcPr>
          <w:p>
            <w:pPr>
              <w:spacing w:after="0"/>
              <w:rPr>
                <w:sz w:val="11"/>
                <w:szCs w:val="11"/>
                <w:color w:val="auto"/>
              </w:rPr>
            </w:pP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Alegeus Technologies Holdings Corp.</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Financial Services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950</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1,146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6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05/05/2026</w:t>
            </w:r>
          </w:p>
        </w:tc>
        <w:tc>
          <w:tcPr>
            <w:tcW w:w="160" w:type="dxa"/>
            <w:vAlign w:val="bottom"/>
          </w:tcPr>
          <w:p>
            <w:pPr>
              <w:spacing w:after="0"/>
              <w:rPr>
                <w:sz w:val="11"/>
                <w:szCs w:val="11"/>
                <w:color w:val="auto"/>
              </w:rPr>
            </w:pP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89"/>
              </w:rPr>
              <w:t>Education</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933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586,975</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1,752,663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Autumn Games, LLC</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Broadcasting and Entertainment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1,333,330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3,000,000</w:t>
            </w: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w w:val="91"/>
              </w:rPr>
              <w:t xml:space="preserve">Cardinal Logistics Holdings LLC </w:t>
            </w:r>
            <w:r>
              <w:rPr>
                <w:rFonts w:ascii="Arial" w:cs="Arial" w:eastAsia="Arial" w:hAnsi="Arial"/>
                <w:sz w:val="9"/>
                <w:szCs w:val="9"/>
                <w:color w:val="auto"/>
                <w:w w:val="91"/>
              </w:rPr>
              <w:t>(10)</w:t>
            </w:r>
            <w:r>
              <w:rPr>
                <w:rFonts w:ascii="Arial" w:cs="Arial" w:eastAsia="Arial" w:hAnsi="Arial"/>
                <w:sz w:val="12"/>
                <w:szCs w:val="12"/>
                <w:color w:val="auto"/>
                <w:w w:val="91"/>
              </w:rPr>
              <w:t xml:space="preserve"> (Intermediate Transportation 100, LLC)</w:t>
            </w:r>
          </w:p>
        </w:tc>
        <w:tc>
          <w:tcPr>
            <w:tcW w:w="100" w:type="dxa"/>
            <w:vAlign w:val="bottom"/>
          </w:tcPr>
          <w:p>
            <w:pPr>
              <w:spacing w:after="0"/>
              <w:rPr>
                <w:sz w:val="11"/>
                <w:szCs w:val="11"/>
                <w:color w:val="auto"/>
              </w:rPr>
            </w:pP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86"/>
              </w:rPr>
              <w:t>Cargo Transport</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(14)</w:t>
            </w: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5,411,024</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3,688,211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24,382</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2,518,909</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2,438,193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100" w:type="dxa"/>
            <w:vAlign w:val="bottom"/>
          </w:tcPr>
          <w:p>
            <w:pPr>
              <w:spacing w:after="0"/>
              <w:rPr>
                <w:sz w:val="11"/>
                <w:szCs w:val="11"/>
                <w:color w:val="auto"/>
              </w:rPr>
            </w:pP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93"/>
              </w:rPr>
              <w:t>Distribution</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1,745,639</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3,928,695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CI (Summit) Investment Holdings LLC</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Buildings and Real Estate</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Convergint Technologies Holdings, LLC</w:t>
            </w:r>
          </w:p>
        </w:tc>
        <w:tc>
          <w:tcPr>
            <w:tcW w:w="100" w:type="dxa"/>
            <w:vAlign w:val="bottom"/>
          </w:tcPr>
          <w:p>
            <w:pPr>
              <w:spacing w:after="0"/>
              <w:rPr>
                <w:sz w:val="11"/>
                <w:szCs w:val="11"/>
                <w:color w:val="auto"/>
              </w:rPr>
            </w:pP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88"/>
              </w:rPr>
              <w:t>Electronics</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2,375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4,612,054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Holdings Inc.</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3,448,658</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3,448,658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(12)</w:t>
            </w:r>
          </w:p>
        </w:tc>
        <w:tc>
          <w:tcPr>
            <w:tcW w:w="100" w:type="dxa"/>
            <w:vAlign w:val="bottom"/>
          </w:tcPr>
          <w:p>
            <w:pPr>
              <w:spacing w:after="0"/>
              <w:rPr>
                <w:sz w:val="11"/>
                <w:szCs w:val="11"/>
                <w:color w:val="auto"/>
              </w:rPr>
            </w:pP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88"/>
              </w:rPr>
              <w:t>Financial Services</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80,000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800,000</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800,000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Building Materials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4,277</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217,635</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767,569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100" w:type="dxa"/>
            <w:vAlign w:val="bottom"/>
          </w:tcPr>
          <w:p>
            <w:pPr>
              <w:spacing w:after="0"/>
              <w:rPr>
                <w:sz w:val="11"/>
                <w:szCs w:val="11"/>
                <w:color w:val="auto"/>
              </w:rPr>
            </w:pP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388,378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2,700,680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Parent Holdings, Inc.</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181,495</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1,934,243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(10)</w:t>
            </w:r>
          </w:p>
        </w:tc>
        <w:tc>
          <w:tcPr>
            <w:tcW w:w="100" w:type="dxa"/>
            <w:vAlign w:val="bottom"/>
          </w:tcPr>
          <w:p>
            <w:pPr>
              <w:spacing w:after="0"/>
              <w:rPr>
                <w:sz w:val="11"/>
                <w:szCs w:val="11"/>
                <w:color w:val="auto"/>
              </w:rPr>
            </w:pP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204,985</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2,049,849</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2,197,752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(13)</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252,014</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2,265,639</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844,247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100" w:type="dxa"/>
            <w:vAlign w:val="bottom"/>
          </w:tcPr>
          <w:p>
            <w:pPr>
              <w:spacing w:after="0"/>
              <w:rPr>
                <w:sz w:val="11"/>
                <w:szCs w:val="11"/>
                <w:color w:val="auto"/>
              </w:rPr>
            </w:pP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93"/>
              </w:rPr>
              <w:t>Distribution</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19</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493,280</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803,665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tcPr>
          <w:p>
            <w:pPr>
              <w:spacing w:after="0" w:line="129" w:lineRule="exact"/>
              <w:rPr>
                <w:sz w:val="20"/>
                <w:szCs w:val="20"/>
                <w:color w:val="auto"/>
              </w:rPr>
            </w:pPr>
            <w:r>
              <w:rPr>
                <w:rFonts w:ascii="Arial" w:cs="Arial" w:eastAsia="Arial" w:hAnsi="Arial"/>
                <w:sz w:val="12"/>
                <w:szCs w:val="12"/>
                <w:color w:val="auto"/>
              </w:rPr>
              <w:t>MidOcean PPL Holdings, Corp.</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00" w:type="dxa"/>
            <w:vAlign w:val="bottom"/>
            <w:gridSpan w:val="2"/>
          </w:tcPr>
          <w:p>
            <w:pPr>
              <w:spacing w:after="0"/>
              <w:rPr>
                <w:sz w:val="20"/>
                <w:szCs w:val="20"/>
                <w:color w:val="auto"/>
              </w:rPr>
            </w:pPr>
            <w:r>
              <w:rPr>
                <w:rFonts w:ascii="Arial" w:cs="Arial" w:eastAsia="Arial" w:hAnsi="Arial"/>
                <w:sz w:val="12"/>
                <w:szCs w:val="12"/>
                <w:color w:val="auto"/>
              </w:rPr>
              <w:t>(Pre-Paid Legal Services, Inc.)</w:t>
            </w:r>
          </w:p>
        </w:tc>
        <w:tc>
          <w:tcPr>
            <w:tcW w:w="100" w:type="dxa"/>
            <w:vAlign w:val="bottom"/>
          </w:tcPr>
          <w:p>
            <w:pPr>
              <w:spacing w:after="0"/>
              <w:rPr>
                <w:sz w:val="13"/>
                <w:szCs w:val="13"/>
                <w:color w:val="auto"/>
              </w:rPr>
            </w:pP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340" w:type="dxa"/>
            <w:vAlign w:val="bottom"/>
          </w:tcPr>
          <w:p>
            <w:pPr>
              <w:jc w:val="center"/>
              <w:spacing w:after="0"/>
              <w:rPr>
                <w:sz w:val="20"/>
                <w:szCs w:val="20"/>
                <w:color w:val="auto"/>
              </w:rPr>
            </w:pPr>
            <w:r>
              <w:rPr>
                <w:rFonts w:ascii="Arial" w:cs="Arial" w:eastAsia="Arial" w:hAnsi="Arial"/>
                <w:sz w:val="12"/>
                <w:szCs w:val="12"/>
                <w:color w:val="auto"/>
                <w:w w:val="87"/>
              </w:rPr>
              <w:t>Personal, Food and Miscellaneous Services</w:t>
            </w:r>
          </w:p>
        </w:tc>
        <w:tc>
          <w:tcPr>
            <w:tcW w:w="1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3,000,000</w:t>
            </w:r>
          </w:p>
        </w:tc>
        <w:tc>
          <w:tcPr>
            <w:tcW w:w="860" w:type="dxa"/>
            <w:vAlign w:val="bottom"/>
            <w:gridSpan w:val="2"/>
          </w:tcPr>
          <w:p>
            <w:pPr>
              <w:jc w:val="right"/>
              <w:ind w:right="2"/>
              <w:spacing w:after="0"/>
              <w:rPr>
                <w:sz w:val="20"/>
                <w:szCs w:val="20"/>
                <w:color w:val="auto"/>
              </w:rPr>
            </w:pPr>
            <w:r>
              <w:rPr>
                <w:rFonts w:ascii="Arial" w:cs="Arial" w:eastAsia="Arial" w:hAnsi="Arial"/>
                <w:sz w:val="12"/>
                <w:szCs w:val="12"/>
                <w:color w:val="auto"/>
              </w:rPr>
              <w:t>9,786,996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Insurance</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100,885</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238,038</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136,195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Roto Holdings, Inc.</w:t>
            </w:r>
          </w:p>
        </w:tc>
        <w:tc>
          <w:tcPr>
            <w:tcW w:w="100" w:type="dxa"/>
            <w:vAlign w:val="bottom"/>
          </w:tcPr>
          <w:p>
            <w:pPr>
              <w:spacing w:after="0"/>
              <w:rPr>
                <w:sz w:val="11"/>
                <w:szCs w:val="11"/>
                <w:color w:val="auto"/>
              </w:rPr>
            </w:pP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90"/>
              </w:rPr>
              <w:t>Manufacturing / Basic Industries</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1,330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133,000</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2,036,830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(10)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754</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754,264</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754,264</w:t>
            </w: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30,703,860</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43,632,061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88"/>
              </w:rPr>
              <w:t>Total Investments in Non-Controlled, Non-Affiliated Portfolio Companies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824,106,322</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849,351,548</w:t>
            </w:r>
          </w:p>
        </w:tc>
        <w:tc>
          <w:tcPr>
            <w:tcW w:w="0" w:type="dxa"/>
            <w:vAlign w:val="bottom"/>
          </w:tcPr>
          <w:p>
            <w:pPr>
              <w:spacing w:after="0"/>
              <w:rPr>
                <w:sz w:val="1"/>
                <w:szCs w:val="1"/>
                <w:color w:val="auto"/>
              </w:rPr>
            </w:pPr>
          </w:p>
        </w:tc>
      </w:tr>
      <w:tr>
        <w:trPr>
          <w:trHeight w:val="142"/>
        </w:trPr>
        <w:tc>
          <w:tcPr>
            <w:tcW w:w="4540" w:type="dxa"/>
            <w:vAlign w:val="bottom"/>
            <w:gridSpan w:val="5"/>
          </w:tcPr>
          <w:p>
            <w:pPr>
              <w:spacing w:after="0"/>
              <w:rPr>
                <w:sz w:val="20"/>
                <w:szCs w:val="20"/>
                <w:color w:val="auto"/>
              </w:rPr>
            </w:pPr>
            <w:r>
              <w:rPr>
                <w:rFonts w:ascii="Arial" w:cs="Arial" w:eastAsia="Arial" w:hAnsi="Arial"/>
                <w:sz w:val="12"/>
                <w:szCs w:val="12"/>
                <w:b w:val="1"/>
                <w:bCs w:val="1"/>
                <w:color w:val="auto"/>
              </w:rPr>
              <w:t xml:space="preserve">Investments in Non-Controlled, Affiliated Portfolio Companies—29.3% </w:t>
            </w:r>
            <w:r>
              <w:rPr>
                <w:rFonts w:ascii="Arial" w:cs="Arial" w:eastAsia="Arial" w:hAnsi="Arial"/>
                <w:sz w:val="9"/>
                <w:szCs w:val="9"/>
                <w:b w:val="1"/>
                <w:bCs w:val="1"/>
                <w:color w:val="auto"/>
              </w:rPr>
              <w:t>(1), (2)</w:t>
            </w: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Debt—9.8%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Gilsonite Company</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12/31/2021</w:t>
            </w: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3,257,511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3,168,502</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3,583,262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Precious Metals and Minerals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(PIK 5.00%)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Corfin Industries LLC</w:t>
            </w:r>
          </w:p>
        </w:tc>
        <w:tc>
          <w:tcPr>
            <w:tcW w:w="6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11/25/2020</w:t>
            </w:r>
          </w:p>
        </w:tc>
        <w:tc>
          <w:tcPr>
            <w:tcW w:w="160" w:type="dxa"/>
            <w:vAlign w:val="bottom"/>
          </w:tcPr>
          <w:p>
            <w:pPr>
              <w:spacing w:after="0"/>
              <w:rPr>
                <w:sz w:val="11"/>
                <w:szCs w:val="11"/>
                <w:color w:val="auto"/>
              </w:rPr>
            </w:pP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9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10.99%</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L+975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22,593,352</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22,280,645</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22,480,385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11/25/2020</w:t>
            </w: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1,942,623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TRAK Acquisition Corp.</w:t>
            </w:r>
          </w:p>
        </w:tc>
        <w:tc>
          <w:tcPr>
            <w:tcW w:w="6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04/30/2018</w:t>
            </w:r>
          </w:p>
        </w:tc>
        <w:tc>
          <w:tcPr>
            <w:tcW w:w="160" w:type="dxa"/>
            <w:vAlign w:val="bottom"/>
          </w:tcPr>
          <w:p>
            <w:pPr>
              <w:spacing w:after="0"/>
              <w:rPr>
                <w:sz w:val="11"/>
                <w:szCs w:val="11"/>
                <w:color w:val="auto"/>
              </w:rPr>
            </w:pP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9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12.00%</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L+1,050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21,202,411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21,136,798</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21,202,411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TRAK Acquisition Corp. (Revolver)</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04/30/2018</w:t>
            </w: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12.00%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L+1,050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5,000,000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tcPr>
          <w:p>
            <w:pPr>
              <w:spacing w:after="0" w:line="129" w:lineRule="exact"/>
              <w:rPr>
                <w:sz w:val="20"/>
                <w:szCs w:val="20"/>
                <w:color w:val="auto"/>
              </w:rPr>
            </w:pPr>
            <w:r>
              <w:rPr>
                <w:rFonts w:ascii="Arial" w:cs="Arial" w:eastAsia="Arial" w:hAnsi="Arial"/>
                <w:sz w:val="12"/>
                <w:szCs w:val="12"/>
                <w:color w:val="auto"/>
              </w:rPr>
              <w:t>U.S. Well Services, LLC</w:t>
            </w:r>
          </w:p>
        </w:tc>
        <w:tc>
          <w:tcPr>
            <w:tcW w:w="6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02/02/2022</w:t>
            </w:r>
          </w:p>
        </w:tc>
        <w:tc>
          <w:tcPr>
            <w:tcW w:w="160" w:type="dxa"/>
            <w:vAlign w:val="bottom"/>
          </w:tcPr>
          <w:p>
            <w:pPr>
              <w:spacing w:after="0"/>
              <w:rPr>
                <w:sz w:val="11"/>
                <w:szCs w:val="11"/>
                <w:color w:val="auto"/>
              </w:rPr>
            </w:pPr>
          </w:p>
        </w:tc>
        <w:tc>
          <w:tcPr>
            <w:tcW w:w="234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9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12.24%</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L+1,100</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9,644,284</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9,566,510</w:t>
            </w:r>
          </w:p>
        </w:tc>
        <w:tc>
          <w:tcPr>
            <w:tcW w:w="860" w:type="dxa"/>
            <w:vAlign w:val="bottom"/>
            <w:gridSpan w:val="2"/>
          </w:tcPr>
          <w:p>
            <w:pPr>
              <w:jc w:val="right"/>
              <w:ind w:right="2"/>
              <w:spacing w:after="0" w:line="129" w:lineRule="exact"/>
              <w:rPr>
                <w:sz w:val="20"/>
                <w:szCs w:val="20"/>
                <w:color w:val="auto"/>
              </w:rPr>
            </w:pPr>
            <w:r>
              <w:rPr>
                <w:rFonts w:ascii="Arial" w:cs="Arial" w:eastAsia="Arial" w:hAnsi="Arial"/>
                <w:sz w:val="12"/>
                <w:szCs w:val="12"/>
                <w:color w:val="auto"/>
              </w:rPr>
              <w:t>9,644,284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2"/>
                <w:szCs w:val="12"/>
                <w:color w:val="auto"/>
              </w:rPr>
              <w:t>(PIK 12.24%)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Well Services, LLC (Revolver)</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02/02/2022</w:t>
            </w: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7.24%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L+600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1,478,151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1,478,151</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1,478,151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line="135"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(8)</w:t>
            </w:r>
          </w:p>
        </w:tc>
        <w:tc>
          <w:tcPr>
            <w:tcW w:w="6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02/02/2022</w:t>
            </w:r>
          </w:p>
        </w:tc>
        <w:tc>
          <w:tcPr>
            <w:tcW w:w="160" w:type="dxa"/>
            <w:vAlign w:val="bottom"/>
          </w:tcPr>
          <w:p>
            <w:pPr>
              <w:spacing w:after="0"/>
              <w:rPr>
                <w:sz w:val="12"/>
                <w:szCs w:val="12"/>
                <w:color w:val="auto"/>
              </w:rPr>
            </w:pPr>
          </w:p>
        </w:tc>
        <w:tc>
          <w:tcPr>
            <w:tcW w:w="2340" w:type="dxa"/>
            <w:vAlign w:val="bottom"/>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714,270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62,630,606</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63,388,493</w:t>
            </w:r>
          </w:p>
        </w:tc>
        <w:tc>
          <w:tcPr>
            <w:tcW w:w="0" w:type="dxa"/>
            <w:vAlign w:val="bottom"/>
          </w:tcPr>
          <w:p>
            <w:pPr>
              <w:spacing w:after="0"/>
              <w:rPr>
                <w:sz w:val="1"/>
                <w:szCs w:val="1"/>
                <w:color w:val="auto"/>
              </w:rPr>
            </w:pPr>
          </w:p>
        </w:tc>
      </w:tr>
      <w:tr>
        <w:trPr>
          <w:trHeight w:val="142"/>
        </w:trPr>
        <w:tc>
          <w:tcPr>
            <w:tcW w:w="370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Debt—1.5%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EnviroSolutions Real Property Holdings, Inc. - Tranche A</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12/23/2019</w:t>
            </w: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9.34%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L+800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4,856,640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4,834,021</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4,856,640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tcPr>
          <w:p>
            <w:pPr>
              <w:spacing w:after="0" w:line="129" w:lineRule="exact"/>
              <w:rPr>
                <w:sz w:val="20"/>
                <w:szCs w:val="20"/>
                <w:color w:val="auto"/>
              </w:rPr>
            </w:pPr>
            <w:r>
              <w:rPr>
                <w:rFonts w:ascii="Arial" w:cs="Arial" w:eastAsia="Arial" w:hAnsi="Arial"/>
                <w:sz w:val="12"/>
                <w:szCs w:val="12"/>
                <w:color w:val="auto"/>
              </w:rPr>
              <w:t>EnviroSolutions Real Property Holdings, Inc. - Tranche B</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9.34%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08/03/2020</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Arial" w:cs="Arial" w:eastAsia="Arial" w:hAnsi="Arial"/>
                <w:sz w:val="12"/>
                <w:szCs w:val="12"/>
                <w:color w:val="auto"/>
                <w:w w:val="88"/>
              </w:rPr>
              <w:t>Environmental Services</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(PIK 9.34%)</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L+800</w:t>
            </w:r>
          </w:p>
        </w:tc>
        <w:tc>
          <w:tcPr>
            <w:tcW w:w="560" w:type="dxa"/>
            <w:vAlign w:val="bottom"/>
          </w:tcPr>
          <w:p>
            <w:pPr>
              <w:jc w:val="right"/>
              <w:spacing w:after="0"/>
              <w:rPr>
                <w:sz w:val="20"/>
                <w:szCs w:val="20"/>
                <w:color w:val="auto"/>
              </w:rPr>
            </w:pPr>
            <w:r>
              <w:rPr>
                <w:rFonts w:ascii="Arial" w:cs="Arial" w:eastAsia="Arial" w:hAnsi="Arial"/>
                <w:sz w:val="12"/>
                <w:szCs w:val="12"/>
                <w:color w:val="auto"/>
              </w:rPr>
              <w:t>4,661,312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4,639,603</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4,661,312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9,473,624</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9,517,952</w:t>
            </w:r>
          </w:p>
        </w:tc>
        <w:tc>
          <w:tcPr>
            <w:tcW w:w="0" w:type="dxa"/>
            <w:vAlign w:val="bottom"/>
          </w:tcPr>
          <w:p>
            <w:pPr>
              <w:spacing w:after="0"/>
              <w:rPr>
                <w:sz w:val="1"/>
                <w:szCs w:val="1"/>
                <w:color w:val="auto"/>
              </w:rPr>
            </w:pPr>
          </w:p>
        </w:tc>
      </w:tr>
      <w:tr>
        <w:trPr>
          <w:trHeight w:val="142"/>
        </w:trPr>
        <w:tc>
          <w:tcPr>
            <w:tcW w:w="3700" w:type="dxa"/>
            <w:vAlign w:val="bottom"/>
            <w:gridSpan w:val="2"/>
          </w:tcPr>
          <w:p>
            <w:pPr>
              <w:spacing w:after="0"/>
              <w:rPr>
                <w:sz w:val="20"/>
                <w:szCs w:val="20"/>
                <w:color w:val="auto"/>
              </w:rPr>
            </w:pPr>
            <w:r>
              <w:rPr>
                <w:rFonts w:ascii="Arial" w:cs="Arial" w:eastAsia="Arial" w:hAnsi="Arial"/>
                <w:sz w:val="12"/>
                <w:szCs w:val="12"/>
                <w:b w:val="1"/>
                <w:bCs w:val="1"/>
                <w:color w:val="auto"/>
              </w:rPr>
              <w:t>Subordinated Debt/Corporate Notes—8.0%</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12/31/2021</w:t>
            </w: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17.00%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9,727,948</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9,727,948</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10,603,464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Precious Metals and Minerals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2"/>
                <w:szCs w:val="12"/>
                <w:color w:val="auto"/>
                <w:w w:val="98"/>
              </w:rPr>
              <w:t>(PIK 17.00%)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tcPr>
          <w:p>
            <w:pPr>
              <w:spacing w:after="0" w:line="129" w:lineRule="exact"/>
              <w:rPr>
                <w:sz w:val="20"/>
                <w:szCs w:val="20"/>
                <w:color w:val="auto"/>
              </w:rPr>
            </w:pPr>
            <w:r>
              <w:rPr>
                <w:rFonts w:ascii="Arial" w:cs="Arial" w:eastAsia="Arial" w:hAnsi="Arial"/>
                <w:sz w:val="12"/>
                <w:szCs w:val="12"/>
                <w:color w:val="auto"/>
              </w:rPr>
              <w:t xml:space="preserve">ETX Energy, LLC, Convertible Note </w:t>
            </w:r>
            <w:r>
              <w:rPr>
                <w:rFonts w:ascii="Arial" w:cs="Arial" w:eastAsia="Arial" w:hAnsi="Arial"/>
                <w:sz w:val="9"/>
                <w:szCs w:val="9"/>
                <w:color w:val="auto"/>
              </w:rPr>
              <w:t>(5)</w:t>
            </w:r>
          </w:p>
        </w:tc>
        <w:tc>
          <w:tcPr>
            <w:tcW w:w="6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05/03/2021</w:t>
            </w:r>
          </w:p>
        </w:tc>
        <w:tc>
          <w:tcPr>
            <w:tcW w:w="160" w:type="dxa"/>
            <w:vAlign w:val="bottom"/>
          </w:tcPr>
          <w:p>
            <w:pPr>
              <w:spacing w:after="0"/>
              <w:rPr>
                <w:sz w:val="11"/>
                <w:szCs w:val="11"/>
                <w:color w:val="auto"/>
              </w:rPr>
            </w:pPr>
          </w:p>
        </w:tc>
        <w:tc>
          <w:tcPr>
            <w:tcW w:w="234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9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12.50%</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28,611,214</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37,434,384</w:t>
            </w:r>
          </w:p>
        </w:tc>
        <w:tc>
          <w:tcPr>
            <w:tcW w:w="860" w:type="dxa"/>
            <w:vAlign w:val="bottom"/>
            <w:gridSpan w:val="2"/>
          </w:tcPr>
          <w:p>
            <w:pPr>
              <w:jc w:val="right"/>
              <w:ind w:right="2"/>
              <w:spacing w:after="0" w:line="129" w:lineRule="exact"/>
              <w:rPr>
                <w:sz w:val="20"/>
                <w:szCs w:val="20"/>
                <w:color w:val="auto"/>
              </w:rPr>
            </w:pPr>
            <w:r>
              <w:rPr>
                <w:rFonts w:ascii="Arial" w:cs="Arial" w:eastAsia="Arial" w:hAnsi="Arial"/>
                <w:sz w:val="12"/>
                <w:szCs w:val="12"/>
                <w:color w:val="auto"/>
              </w:rPr>
              <w:t>41,486,260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color w:val="auto"/>
                <w:w w:val="98"/>
              </w:rPr>
              <w:t>(PIK 12.50%)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47,162,332</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52,089,724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2017</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jc w:val="center"/>
              <w:ind w:right="262"/>
              <w:spacing w:after="0" w:line="135" w:lineRule="exact"/>
              <w:rPr>
                <w:sz w:val="20"/>
                <w:szCs w:val="20"/>
                <w:color w:val="auto"/>
              </w:rPr>
            </w:pPr>
            <w:r>
              <w:rPr>
                <w:rFonts w:ascii="Arial" w:cs="Arial" w:eastAsia="Arial" w:hAnsi="Arial"/>
                <w:sz w:val="12"/>
                <w:szCs w:val="12"/>
                <w:b w:val="1"/>
                <w:bCs w:val="1"/>
                <w:color w:val="auto"/>
                <w:w w:val="97"/>
              </w:rPr>
              <w:t>Maturity /</w:t>
            </w:r>
          </w:p>
        </w:tc>
        <w:tc>
          <w:tcPr>
            <w:tcW w:w="24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88"/>
              </w:rPr>
              <w:t>Industry</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56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auto"/>
              </w:rPr>
              <w:t>Par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80" w:type="dxa"/>
            <w:vAlign w:val="bottom"/>
            <w:gridSpan w:val="2"/>
            <w:vMerge w:val="continue"/>
          </w:tcPr>
          <w:p>
            <w:pPr>
              <w:spacing w:after="0"/>
              <w:rPr>
                <w:sz w:val="12"/>
                <w:szCs w:val="12"/>
                <w:color w:val="auto"/>
              </w:rPr>
            </w:pPr>
          </w:p>
        </w:tc>
        <w:tc>
          <w:tcPr>
            <w:tcW w:w="920" w:type="dxa"/>
            <w:vAlign w:val="bottom"/>
          </w:tcPr>
          <w:p>
            <w:pPr>
              <w:jc w:val="center"/>
              <w:ind w:right="242"/>
              <w:spacing w:after="0"/>
              <w:rPr>
                <w:sz w:val="20"/>
                <w:szCs w:val="20"/>
                <w:color w:val="auto"/>
              </w:rPr>
            </w:pPr>
            <w:r>
              <w:rPr>
                <w:rFonts w:ascii="Arial" w:cs="Arial" w:eastAsia="Arial" w:hAnsi="Arial"/>
                <w:sz w:val="12"/>
                <w:szCs w:val="12"/>
                <w:b w:val="1"/>
                <w:bCs w:val="1"/>
                <w:color w:val="auto"/>
                <w:w w:val="91"/>
              </w:rPr>
              <w:t>Expiration</w:t>
            </w:r>
          </w:p>
        </w:tc>
        <w:tc>
          <w:tcPr>
            <w:tcW w:w="2440" w:type="dxa"/>
            <w:vAlign w:val="bottom"/>
            <w:gridSpan w:val="2"/>
            <w:vMerge w:val="continue"/>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Coupon</w:t>
            </w:r>
          </w:p>
        </w:tc>
        <w:tc>
          <w:tcPr>
            <w:tcW w:w="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560" w:type="dxa"/>
            <w:vAlign w:val="bottom"/>
          </w:tcPr>
          <w:p>
            <w:pPr>
              <w:jc w:val="right"/>
              <w:ind w:right="62"/>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Interests/Warrants—10.0% </w:t>
            </w:r>
            <w:r>
              <w:rPr>
                <w:rFonts w:ascii="Arial" w:cs="Arial" w:eastAsia="Arial" w:hAnsi="Arial"/>
                <w:sz w:val="9"/>
                <w:szCs w:val="9"/>
                <w:b w:val="1"/>
                <w:bCs w:val="1"/>
                <w:color w:val="auto"/>
              </w:rPr>
              <w:t>(6)</w:t>
            </w:r>
          </w:p>
        </w:tc>
        <w:tc>
          <w:tcPr>
            <w:tcW w:w="920" w:type="dxa"/>
            <w:vAlign w:val="bottom"/>
            <w:tcBorders>
              <w:top w:val="single" w:sz="8" w:color="auto"/>
            </w:tcBorders>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92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00"/>
              <w:spacing w:after="0" w:line="135" w:lineRule="exact"/>
              <w:rPr>
                <w:sz w:val="20"/>
                <w:szCs w:val="20"/>
                <w:color w:val="auto"/>
              </w:rPr>
            </w:pPr>
            <w:r>
              <w:rPr>
                <w:rFonts w:ascii="Arial" w:cs="Arial" w:eastAsia="Arial" w:hAnsi="Arial"/>
                <w:sz w:val="12"/>
                <w:szCs w:val="12"/>
                <w:color w:val="auto"/>
                <w:w w:val="84"/>
              </w:rPr>
              <w:t>Consumer Products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859,496</w:t>
            </w:r>
          </w:p>
        </w:tc>
        <w:tc>
          <w:tcPr>
            <w:tcW w:w="2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30,503,493</w:t>
            </w:r>
          </w:p>
        </w:tc>
        <w:tc>
          <w:tcPr>
            <w:tcW w:w="2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19,648,795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92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84"/>
              </w:rPr>
              <w:t>Consumer Products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37,181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10,265,972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55,344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Pr>
          <w:p>
            <w:pPr>
              <w:spacing w:after="0" w:line="129" w:lineRule="exact"/>
              <w:rPr>
                <w:sz w:val="20"/>
                <w:szCs w:val="20"/>
                <w:color w:val="auto"/>
              </w:rPr>
            </w:pPr>
            <w:r>
              <w:rPr>
                <w:rFonts w:ascii="Arial" w:cs="Arial" w:eastAsia="Arial" w:hAnsi="Arial"/>
                <w:sz w:val="12"/>
                <w:szCs w:val="12"/>
                <w:color w:val="auto"/>
              </w:rPr>
              <w:t>American Gilsonite Company</w:t>
            </w:r>
          </w:p>
        </w:tc>
        <w:tc>
          <w:tcPr>
            <w:tcW w:w="920" w:type="dxa"/>
            <w:vAlign w:val="bottom"/>
          </w:tcPr>
          <w:p>
            <w:pPr>
              <w:spacing w:after="0"/>
              <w:rPr>
                <w:sz w:val="11"/>
                <w:szCs w:val="11"/>
                <w:color w:val="auto"/>
              </w:rPr>
            </w:pPr>
          </w:p>
        </w:tc>
        <w:tc>
          <w:tcPr>
            <w:tcW w:w="2440" w:type="dxa"/>
            <w:vAlign w:val="bottom"/>
            <w:gridSpan w:val="2"/>
          </w:tcPr>
          <w:p>
            <w:pPr>
              <w:jc w:val="center"/>
              <w:ind w:right="300"/>
              <w:spacing w:after="0" w:line="129" w:lineRule="exact"/>
              <w:rPr>
                <w:sz w:val="20"/>
                <w:szCs w:val="20"/>
                <w:color w:val="auto"/>
              </w:rPr>
            </w:pPr>
            <w:r>
              <w:rPr>
                <w:rFonts w:ascii="Arial" w:cs="Arial" w:eastAsia="Arial" w:hAnsi="Arial"/>
                <w:sz w:val="12"/>
                <w:szCs w:val="12"/>
                <w:color w:val="auto"/>
                <w:w w:val="90"/>
              </w:rPr>
              <w:t>Diversified Natural Resources,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920" w:type="dxa"/>
            <w:vAlign w:val="bottom"/>
          </w:tcPr>
          <w:p>
            <w:pPr>
              <w:ind w:left="420"/>
              <w:spacing w:after="0"/>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Precious Metals and Minerals</w:t>
            </w: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25,400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5,465,627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8,620,806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Corfin InvestCo, L.P.</w:t>
            </w:r>
          </w:p>
        </w:tc>
        <w:tc>
          <w:tcPr>
            <w:tcW w:w="92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85"/>
              </w:rPr>
              <w:t>Aerospace and Defense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11,250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1,125,000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1,609,091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92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00"/>
              <w:spacing w:after="0" w:line="135" w:lineRule="exact"/>
              <w:rPr>
                <w:sz w:val="20"/>
                <w:szCs w:val="20"/>
                <w:color w:val="auto"/>
              </w:rPr>
            </w:pPr>
            <w:r>
              <w:rPr>
                <w:rFonts w:ascii="Arial" w:cs="Arial" w:eastAsia="Arial" w:hAnsi="Arial"/>
                <w:sz w:val="12"/>
                <w:szCs w:val="12"/>
                <w:color w:val="auto"/>
                <w:w w:val="85"/>
              </w:rPr>
              <w:t>Aerospace and Defense</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11,250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EnviroSolutions Holdings, Inc.</w:t>
            </w:r>
          </w:p>
        </w:tc>
        <w:tc>
          <w:tcPr>
            <w:tcW w:w="92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8"/>
              </w:rPr>
              <w:t>Environmental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143,668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11,960,702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15,718,184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(10)</w:t>
            </w:r>
          </w:p>
        </w:tc>
        <w:tc>
          <w:tcPr>
            <w:tcW w:w="92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00"/>
              <w:spacing w:after="0" w:line="135" w:lineRule="exact"/>
              <w:rPr>
                <w:sz w:val="20"/>
                <w:szCs w:val="20"/>
                <w:color w:val="auto"/>
              </w:rPr>
            </w:pPr>
            <w:r>
              <w:rPr>
                <w:rFonts w:ascii="Arial" w:cs="Arial" w:eastAsia="Arial" w:hAnsi="Arial"/>
                <w:sz w:val="12"/>
                <w:szCs w:val="12"/>
                <w:color w:val="auto"/>
                <w:w w:val="85"/>
              </w:rPr>
              <w:t>Oil and Gas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113,610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2,797,423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ETX Energy Management Company, LLC </w:t>
            </w:r>
            <w:r>
              <w:rPr>
                <w:rFonts w:ascii="Arial" w:cs="Arial" w:eastAsia="Arial" w:hAnsi="Arial"/>
                <w:sz w:val="9"/>
                <w:szCs w:val="9"/>
                <w:color w:val="auto"/>
              </w:rPr>
              <w:t>(10)</w:t>
            </w:r>
          </w:p>
        </w:tc>
        <w:tc>
          <w:tcPr>
            <w:tcW w:w="92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85"/>
              </w:rPr>
              <w:t>Oil and Gas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119,603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147,249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TRAK Acquisition Corp.</w:t>
            </w:r>
          </w:p>
        </w:tc>
        <w:tc>
          <w:tcPr>
            <w:tcW w:w="92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491,755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188,837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5,972,967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USWS Holdings, LLC—Class A and Class B</w:t>
            </w:r>
          </w:p>
        </w:tc>
        <w:tc>
          <w:tcPr>
            <w:tcW w:w="92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85"/>
              </w:rPr>
              <w:t>Oil and Gas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8,190,817</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7,023,750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10,108,949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66,533,381</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64,678,808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4"/>
              </w:rPr>
              <w:t>Total Investments in Non-Controlled, Affiliated Portfolio Companies</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185,799,943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189,674,977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w w:val="90"/>
              </w:rPr>
              <w:t xml:space="preserve">Investments in Controlled, Affiliated Portfolio Companies—17.8% </w:t>
            </w:r>
            <w:r>
              <w:rPr>
                <w:rFonts w:ascii="Arial" w:cs="Arial" w:eastAsia="Arial" w:hAnsi="Arial"/>
                <w:sz w:val="9"/>
                <w:szCs w:val="9"/>
                <w:b w:val="1"/>
                <w:bCs w:val="1"/>
                <w:color w:val="auto"/>
                <w:w w:val="90"/>
              </w:rPr>
              <w:t>(1), (2)</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Debt—9.5%</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Holdings LLC</w:t>
            </w:r>
          </w:p>
        </w:tc>
        <w:tc>
          <w:tcPr>
            <w:tcW w:w="920" w:type="dxa"/>
            <w:vAlign w:val="bottom"/>
            <w:shd w:val="clear" w:color="auto" w:fill="CCEEFF"/>
          </w:tcPr>
          <w:p>
            <w:pPr>
              <w:ind w:left="60"/>
              <w:spacing w:after="0" w:line="135" w:lineRule="exact"/>
              <w:rPr>
                <w:sz w:val="20"/>
                <w:szCs w:val="20"/>
                <w:color w:val="auto"/>
              </w:rPr>
            </w:pPr>
            <w:r>
              <w:rPr>
                <w:rFonts w:ascii="Arial" w:cs="Arial" w:eastAsia="Arial" w:hAnsi="Arial"/>
                <w:sz w:val="12"/>
                <w:szCs w:val="12"/>
                <w:color w:val="auto"/>
              </w:rPr>
              <w:t>07/01/2022</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90"/>
              </w:rPr>
              <w:t>Energy and Utilities</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35,000,000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(PIK 4.00%)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Pr>
          <w:p>
            <w:pPr>
              <w:spacing w:after="0" w:line="129" w:lineRule="exact"/>
              <w:rPr>
                <w:sz w:val="20"/>
                <w:szCs w:val="20"/>
                <w:color w:val="auto"/>
              </w:rPr>
            </w:pPr>
            <w:r>
              <w:rPr>
                <w:rFonts w:ascii="Arial" w:cs="Arial" w:eastAsia="Arial" w:hAnsi="Arial"/>
                <w:sz w:val="12"/>
                <w:szCs w:val="12"/>
                <w:color w:val="auto"/>
              </w:rPr>
              <w:t>Superior Digital Displays, LLC</w:t>
            </w:r>
          </w:p>
        </w:tc>
        <w:tc>
          <w:tcPr>
            <w:tcW w:w="920" w:type="dxa"/>
            <w:vAlign w:val="bottom"/>
          </w:tcPr>
          <w:p>
            <w:pPr>
              <w:ind w:left="60"/>
              <w:spacing w:after="0" w:line="129" w:lineRule="exact"/>
              <w:rPr>
                <w:sz w:val="20"/>
                <w:szCs w:val="20"/>
                <w:color w:val="auto"/>
              </w:rPr>
            </w:pPr>
            <w:r>
              <w:rPr>
                <w:rFonts w:ascii="Arial" w:cs="Arial" w:eastAsia="Arial" w:hAnsi="Arial"/>
                <w:sz w:val="12"/>
                <w:szCs w:val="12"/>
                <w:color w:val="auto"/>
              </w:rPr>
              <w:t>12/31/2018</w:t>
            </w:r>
          </w:p>
        </w:tc>
        <w:tc>
          <w:tcPr>
            <w:tcW w:w="2440" w:type="dxa"/>
            <w:vAlign w:val="bottom"/>
            <w:gridSpan w:val="2"/>
          </w:tcPr>
          <w:p>
            <w:pPr>
              <w:jc w:val="center"/>
              <w:ind w:right="300"/>
              <w:spacing w:after="0" w:line="129" w:lineRule="exact"/>
              <w:rPr>
                <w:sz w:val="20"/>
                <w:szCs w:val="20"/>
                <w:color w:val="auto"/>
              </w:rPr>
            </w:pPr>
            <w:r>
              <w:rPr>
                <w:rFonts w:ascii="Arial" w:cs="Arial" w:eastAsia="Arial" w:hAnsi="Arial"/>
                <w:sz w:val="12"/>
                <w:szCs w:val="12"/>
                <w:color w:val="auto"/>
                <w:w w:val="91"/>
              </w:rPr>
              <w:t>Media</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10.30%</w:t>
            </w:r>
          </w:p>
        </w:tc>
        <w:tc>
          <w:tcPr>
            <w:tcW w:w="8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L+900</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29,386,130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28,233,485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26,198,854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w w:val="95"/>
              </w:rPr>
              <w:t>(PIK 10.30%)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63,233,485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61,198,854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Equity—2.5% </w:t>
            </w:r>
            <w:r>
              <w:rPr>
                <w:rFonts w:ascii="Arial" w:cs="Arial" w:eastAsia="Arial" w:hAnsi="Arial"/>
                <w:sz w:val="9"/>
                <w:szCs w:val="9"/>
                <w:b w:val="1"/>
                <w:bCs w:val="1"/>
                <w:color w:val="auto"/>
              </w:rPr>
              <w:t>(6)</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920" w:type="dxa"/>
            <w:vAlign w:val="bottom"/>
            <w:shd w:val="clear" w:color="auto" w:fill="CCEEFF"/>
          </w:tcPr>
          <w:p>
            <w:pPr>
              <w:jc w:val="center"/>
              <w:ind w:right="26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96"/>
              </w:rPr>
              <w:t>Distribution</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143,183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14,318,325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16,117,208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20" w:type="dxa"/>
            <w:vAlign w:val="bottom"/>
          </w:tcPr>
          <w:p>
            <w:pPr>
              <w:jc w:val="center"/>
              <w:ind w:right="26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tcPr>
          <w:p>
            <w:pPr>
              <w:jc w:val="center"/>
              <w:ind w:right="300"/>
              <w:spacing w:after="0" w:line="135" w:lineRule="exact"/>
              <w:rPr>
                <w:sz w:val="20"/>
                <w:szCs w:val="20"/>
                <w:color w:val="auto"/>
              </w:rPr>
            </w:pPr>
            <w:r>
              <w:rPr>
                <w:rFonts w:ascii="Arial" w:cs="Arial" w:eastAsia="Arial" w:hAnsi="Arial"/>
                <w:sz w:val="12"/>
                <w:szCs w:val="12"/>
                <w:color w:val="auto"/>
                <w:w w:val="91"/>
              </w:rPr>
              <w:t>Media</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15.00%</w:t>
            </w:r>
          </w:p>
        </w:tc>
        <w:tc>
          <w:tcPr>
            <w:tcW w:w="80" w:type="dxa"/>
            <w:vAlign w:val="bottom"/>
          </w:tcPr>
          <w:p>
            <w:pPr>
              <w:spacing w:after="0"/>
              <w:rPr>
                <w:sz w:val="12"/>
                <w:szCs w:val="12"/>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516,204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19,331,027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33,649,352</w:t>
            </w: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16,117,208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Equity—5.8% </w:t>
            </w:r>
            <w:r>
              <w:rPr>
                <w:rFonts w:ascii="Arial" w:cs="Arial" w:eastAsia="Arial" w:hAnsi="Arial"/>
                <w:sz w:val="9"/>
                <w:szCs w:val="9"/>
                <w:b w:val="1"/>
                <w:bCs w:val="1"/>
                <w:color w:val="auto"/>
              </w:rPr>
              <w:t>(6)</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920" w:type="dxa"/>
            <w:vAlign w:val="bottom"/>
            <w:shd w:val="clear" w:color="auto" w:fill="CCEEFF"/>
          </w:tcPr>
          <w:p>
            <w:pPr>
              <w:jc w:val="center"/>
              <w:ind w:right="26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96"/>
              </w:rPr>
              <w:t>Distribution</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65,933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24,761,831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828,349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RAM Energy Holdings LLC</w:t>
            </w:r>
          </w:p>
        </w:tc>
        <w:tc>
          <w:tcPr>
            <w:tcW w:w="920" w:type="dxa"/>
            <w:vAlign w:val="bottom"/>
          </w:tcPr>
          <w:p>
            <w:pPr>
              <w:jc w:val="center"/>
              <w:ind w:right="26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tcPr>
          <w:p>
            <w:pPr>
              <w:jc w:val="center"/>
              <w:ind w:right="300"/>
              <w:spacing w:after="0" w:line="135" w:lineRule="exact"/>
              <w:rPr>
                <w:sz w:val="20"/>
                <w:szCs w:val="20"/>
                <w:color w:val="auto"/>
              </w:rPr>
            </w:pPr>
            <w:r>
              <w:rPr>
                <w:rFonts w:ascii="Arial" w:cs="Arial" w:eastAsia="Arial" w:hAnsi="Arial"/>
                <w:sz w:val="12"/>
                <w:szCs w:val="12"/>
                <w:color w:val="auto"/>
                <w:w w:val="90"/>
              </w:rPr>
              <w:t>Energy and Utilities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84,747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76,264,739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36,406,572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20" w:type="dxa"/>
            <w:vAlign w:val="bottom"/>
            <w:shd w:val="clear" w:color="auto" w:fill="CCEEFF"/>
          </w:tcPr>
          <w:p>
            <w:pPr>
              <w:jc w:val="center"/>
              <w:ind w:right="26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91"/>
              </w:rPr>
              <w:t>Media</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2,211,000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8"/>
              </w:rPr>
              <w:t>103,237,570</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37,234,921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Controlled, Affiliated Portfolio Companies</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200,120,407</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114,550,983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Investments—178.4%</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5"/>
              </w:rPr>
              <w:t>1,210,026,672</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5"/>
              </w:rPr>
              <w:t>1,153,577,508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Equivalents—5.9%</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9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20,490,740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20,490,740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17,691,633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17,711,328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38,182,373</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38,202,068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Equivalents—184.3%</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u w:val="single" w:color="auto"/>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5"/>
              </w:rPr>
              <w:t>1,248,209,045</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u w:val="single" w:color="auto"/>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5"/>
              </w:rPr>
              <w:t>1,191,779,576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Assets—(84.3%)</w:t>
            </w: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68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(544,971,105)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9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646,808,471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6" w:lineRule="exact"/>
        <w:rPr>
          <w:sz w:val="20"/>
          <w:szCs w:val="20"/>
          <w:color w:val="auto"/>
        </w:rPr>
      </w:pPr>
    </w:p>
    <w:p>
      <w:pPr>
        <w:ind w:left="520" w:right="80" w:hanging="316"/>
        <w:spacing w:after="0" w:line="243" w:lineRule="auto"/>
        <w:tabs>
          <w:tab w:leader="none" w:pos="5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520" w:right="300" w:hanging="316"/>
        <w:spacing w:after="0" w:line="234" w:lineRule="auto"/>
        <w:tabs>
          <w:tab w:leader="none" w:pos="5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520" w:hanging="316"/>
        <w:spacing w:after="0" w:line="234" w:lineRule="auto"/>
        <w:tabs>
          <w:tab w:leader="none" w:pos="5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520" w:right="60" w:hanging="316"/>
        <w:spacing w:after="0" w:line="234" w:lineRule="auto"/>
        <w:tabs>
          <w:tab w:leader="none" w:pos="5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2"/>
          <w:szCs w:val="12"/>
          <w:color w:val="auto"/>
        </w:rPr>
      </w:pPr>
    </w:p>
    <w:p>
      <w:pPr>
        <w:ind w:left="520" w:hanging="316"/>
        <w:spacing w:after="0"/>
        <w:tabs>
          <w:tab w:leader="none" w:pos="520" w:val="left"/>
        </w:tabs>
        <w:numPr>
          <w:ilvl w:val="0"/>
          <w:numId w:val="97"/>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520" w:hanging="316"/>
        <w:spacing w:after="0" w:line="234" w:lineRule="auto"/>
        <w:tabs>
          <w:tab w:leader="none" w:pos="5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520" w:hanging="316"/>
        <w:spacing w:after="0" w:line="234" w:lineRule="auto"/>
        <w:tabs>
          <w:tab w:leader="none" w:pos="5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520" w:hanging="316"/>
        <w:spacing w:after="0"/>
        <w:tabs>
          <w:tab w:leader="none" w:pos="520" w:val="left"/>
        </w:tabs>
        <w:numPr>
          <w:ilvl w:val="0"/>
          <w:numId w:val="97"/>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520" w:hanging="316"/>
        <w:spacing w:after="0" w:line="234" w:lineRule="auto"/>
        <w:tabs>
          <w:tab w:leader="none" w:pos="5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520" w:hanging="316"/>
        <w:spacing w:after="0"/>
        <w:tabs>
          <w:tab w:leader="none" w:pos="5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5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2017</w:t>
      </w:r>
    </w:p>
    <w:p>
      <w:pPr>
        <w:spacing w:after="0" w:line="215" w:lineRule="exact"/>
        <w:rPr>
          <w:sz w:val="20"/>
          <w:szCs w:val="20"/>
          <w:color w:val="auto"/>
        </w:rPr>
      </w:pPr>
    </w:p>
    <w:p>
      <w:pPr>
        <w:ind w:left="520" w:hanging="316"/>
        <w:spacing w:after="0"/>
        <w:tabs>
          <w:tab w:leader="none" w:pos="5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Par denominated in British Pounds (£) or in Euros (€) as denoted.</w:t>
      </w:r>
    </w:p>
    <w:p>
      <w:pPr>
        <w:spacing w:after="0" w:line="7" w:lineRule="exact"/>
        <w:rPr>
          <w:rFonts w:ascii="Arial" w:cs="Arial" w:eastAsia="Arial" w:hAnsi="Arial"/>
          <w:sz w:val="12"/>
          <w:szCs w:val="12"/>
          <w:color w:val="auto"/>
        </w:rPr>
      </w:pPr>
    </w:p>
    <w:p>
      <w:pPr>
        <w:ind w:left="520" w:hanging="316"/>
        <w:spacing w:after="0" w:line="256" w:lineRule="auto"/>
        <w:tabs>
          <w:tab w:leader="none" w:pos="520" w:val="left"/>
        </w:tabs>
        <w:numPr>
          <w:ilvl w:val="0"/>
          <w:numId w:val="98"/>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83% of the Company’s total assets and non-qualifying assets represent 17% of the Company’s total assets.</w:t>
      </w:r>
    </w:p>
    <w:p>
      <w:pPr>
        <w:ind w:left="520" w:hanging="316"/>
        <w:spacing w:after="0" w:line="234" w:lineRule="auto"/>
        <w:tabs>
          <w:tab w:leader="none" w:pos="5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520" w:hanging="316"/>
        <w:spacing w:after="0"/>
        <w:tabs>
          <w:tab w:leader="none" w:pos="5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240" w:top="460" w:right="5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2018</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5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have entered into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7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060" w:right="100" w:hanging="424"/>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the Investment Adviser;</w:t>
      </w:r>
    </w:p>
    <w:p>
      <w:pPr>
        <w:spacing w:after="0" w:line="130" w:lineRule="exact"/>
        <w:rPr>
          <w:rFonts w:ascii="Arial" w:cs="Arial" w:eastAsia="Arial" w:hAnsi="Arial"/>
          <w:sz w:val="18"/>
          <w:szCs w:val="18"/>
          <w:color w:val="auto"/>
        </w:rPr>
      </w:pPr>
    </w:p>
    <w:p>
      <w:pPr>
        <w:ind w:left="1060" w:right="240" w:hanging="424"/>
        <w:spacing w:after="0" w:line="279"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180" w:hanging="424"/>
        <w:spacing w:after="0" w:line="312" w:lineRule="auto"/>
        <w:tabs>
          <w:tab w:leader="none" w:pos="10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060" w:right="240" w:hanging="424"/>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our Credit Facility, the 2019 Notes and, prior to their redemption, the 2025 Notes during the reporting period, including any reversal of previously recorded unrealized appreciation or depreciation, when gains or losses are realized.</w:t>
      </w:r>
    </w:p>
    <w:p>
      <w:pPr>
        <w:spacing w:after="0" w:line="15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2"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years ended September 30, 2018, 2017 and 2016, we recorded a provision for taxes of zero, $1.7 million ($0.5 million of excise tax and $1.2 million of U.S. federal and state income taxes related to Taxable Subsidiaries) and $2.4 million ($0.9 million of excise tax and $1.5 million of U.S. federal and state income taxes related to Taxable Subsidiaries), respectively.</w:t>
      </w:r>
    </w:p>
    <w:p>
      <w:pPr>
        <w:spacing w:after="0" w:line="182"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relating to income taxes would be classified as other operating expenses in the financial statements. As of September 30,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8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return of capital.</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640" w:hanging="436"/>
        <w:spacing w:after="0"/>
        <w:tabs>
          <w:tab w:leader="none" w:pos="6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 transactions.</w:t>
      </w:r>
    </w:p>
    <w:p>
      <w:pPr>
        <w:spacing w:after="0" w:line="248"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 Recent Accounting Pronouncements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Under the Investment Management Agreement, as amended and restated on February 6, 2018,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Management Fees.</w:t>
      </w:r>
    </w:p>
    <w:p>
      <w:pPr>
        <w:spacing w:after="0" w:line="16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Effective January 1, 2018, the base management fee is calculated at an annual rate of 1.50%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years ended September 30, 2018, 2017 and 2016, the Investment Adviser earned base management fees of $16.5 million (after a waiver of $0.9 million), $20.3 million (after a waiver of $3.9 million) and $20.9 million (after a waiver of $4.0 million), respectively, from us.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left="200" w:right="60" w:firstLine="441"/>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w:t>
      </w:r>
    </w:p>
    <w:p>
      <w:pPr>
        <w:spacing w:after="0" w:line="6" w:lineRule="exact"/>
        <w:rPr>
          <w:sz w:val="20"/>
          <w:szCs w:val="20"/>
          <w:color w:val="auto"/>
        </w:rPr>
      </w:pPr>
    </w:p>
    <w:p>
      <w:pPr>
        <w:ind w:left="200" w:right="80"/>
        <w:spacing w:after="0" w:line="281" w:lineRule="auto"/>
        <w:rPr>
          <w:sz w:val="20"/>
          <w:szCs w:val="20"/>
          <w:color w:val="auto"/>
        </w:rPr>
      </w:pPr>
      <w:r>
        <w:rPr>
          <w:rFonts w:ascii="Arial" w:cs="Arial" w:eastAsia="Arial" w:hAnsi="Arial"/>
          <w:sz w:val="16"/>
          <w:szCs w:val="16"/>
          <w:color w:val="auto"/>
        </w:rPr>
        <w:t>(7.00% annualized). Effective January 1, 2018,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w:t>
      </w:r>
    </w:p>
    <w:p>
      <w:pPr>
        <w:spacing w:after="0" w:line="7"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years ended September 30, 2018, 2017 and 2016, the Investment Adviser earned $11.0 million (after a waiver of $0.5 million), $9.3 million (after a waiver of $1.8 million) and $13.5 million (after a waiver of $2.5 million), respectively, in incentive fees on net investment income from us.</w:t>
      </w:r>
    </w:p>
    <w:p>
      <w:pPr>
        <w:spacing w:after="0" w:line="19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2018, 2017 and 2016, the Investment Adviser did not accrue an incentive fee on capital gains as calculated under the Investment Management Agreement (as described above).</w:t>
      </w:r>
    </w:p>
    <w:p>
      <w:pPr>
        <w:spacing w:after="0" w:line="193"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2018, 2017 and 2016, the Investment Adviser did not accrue an incentive fee on capital gains as calculated under GAAP.</w:t>
      </w:r>
    </w:p>
    <w:p>
      <w:pPr>
        <w:spacing w:after="0" w:line="17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our directors who are not interested persons of us, in February 2018.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2018, 2017 and 2016, we reimbursed the Investment Adviser approximately $2.0 million, $2.5 million and $3.7 million, respectively, including expenses the Investment Adviser incurred on behalf of the Administrator, for services described above.</w:t>
      </w:r>
    </w:p>
    <w:p>
      <w:pPr>
        <w:spacing w:after="0" w:line="16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There were no transactions in accordance with Rule 17a-7 of the 1940 Act during the years ended September 30, 2018 and 2016. For the year ended September 30, 2017, the Company purchased $5.0 million from and sold $45.6 million in total investments to affiliated funds managed by our Investment Adviser in accordance with, and pursuant to procedures adopted under, Rule 17a-7 of the 1940 Act. Realized gains on those sales amounted to $1.1 million.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Purchases of investments, including PIK interest, for the years ended September 30, 2018, 2017 and 2016 totaled $616.1 million, $529.5 million and $345.7 million, respectively. Sales and repayments of investments for the same periods totaled $630.5 million, $544.0 million and $439.7 million, respectively.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00"/>
          </w:cols>
          <w:pgMar w:left="240" w:top="460"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880" w:right="216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September 30, 2018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49"/>
        </w:trPr>
        <w:tc>
          <w:tcPr>
            <w:tcW w:w="38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14"/>
              <w:spacing w:after="0" w:line="129"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14"/>
              <w:spacing w:after="0" w:line="129" w:lineRule="exact"/>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First lien</w:t>
            </w:r>
          </w:p>
        </w:tc>
        <w:tc>
          <w:tcPr>
            <w:tcW w:w="2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536,875,632</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531,422,088</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465,235,137</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466,076,352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385,201,277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391,038,029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389,336,314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399,544,383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48,617,113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48,127,586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116,596,887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120,707,763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273,122,153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161,497,771</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238,858,334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167,249,010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1,243,816,175</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1,132,085,474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1,210,026,672</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1,153,577,508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19,543,625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38,182,373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Total investments and cash and cash equivalents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1,263,359,800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1,151,591,628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1,248,209,045</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1,191,779,576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9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8"/>
        </w:trPr>
        <w:tc>
          <w:tcPr>
            <w:tcW w:w="3840" w:type="dxa"/>
            <w:vAlign w:val="bottom"/>
            <w:gridSpan w:val="3"/>
            <w:vMerge w:val="continue"/>
          </w:tcPr>
          <w:p>
            <w:pPr>
              <w:spacing w:after="0"/>
              <w:rPr>
                <w:sz w:val="13"/>
                <w:szCs w:val="13"/>
                <w:color w:val="auto"/>
              </w:rPr>
            </w:pPr>
          </w:p>
        </w:tc>
        <w:tc>
          <w:tcPr>
            <w:tcW w:w="228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3"/>
                <w:szCs w:val="13"/>
                <w:color w:val="auto"/>
              </w:rPr>
            </w:pPr>
          </w:p>
        </w:tc>
        <w:tc>
          <w:tcPr>
            <w:tcW w:w="140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4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Industries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Diversified Natural Resources, Precious Metal and</w:t>
            </w:r>
          </w:p>
        </w:tc>
        <w:tc>
          <w:tcPr>
            <w:tcW w:w="1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Minerals</w:t>
            </w:r>
          </w:p>
        </w:tc>
        <w:tc>
          <w:tcPr>
            <w:tcW w:w="14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40" w:type="dxa"/>
            <w:vAlign w:val="bottom"/>
            <w:gridSpan w:val="3"/>
          </w:tcPr>
          <w:p>
            <w:pPr>
              <w:jc w:val="right"/>
              <w:ind w:right="2420"/>
              <w:spacing w:after="0"/>
              <w:rPr>
                <w:sz w:val="20"/>
                <w:szCs w:val="20"/>
                <w:color w:val="auto"/>
              </w:rPr>
            </w:pPr>
            <w:r>
              <w:rPr>
                <w:rFonts w:ascii="Arial" w:cs="Arial" w:eastAsia="Arial" w:hAnsi="Arial"/>
                <w:sz w:val="18"/>
                <w:szCs w:val="18"/>
                <w:color w:val="auto"/>
              </w:rPr>
              <w:t>F-57</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660" w:right="1300" w:hanging="904"/>
        <w:spacing w:after="0" w:line="277" w:lineRule="auto"/>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60" w:right="560" w:hanging="904"/>
        <w:spacing w:after="0" w:line="264"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60" w:right="1000" w:hanging="904"/>
        <w:spacing w:after="0" w:line="277" w:lineRule="auto"/>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investments are generally structured as debt and equity investments in the form of first lien secured debt, second lien secured debt, subordinated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00"/>
          </w:cols>
          <w:pgMar w:left="24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years ended September 30, 2018 and 2017. During the year ended September 30, 2016, there was one reclassification from Level 2 to 1, one reclassification from Level 3 to 1 and one reclassification from Level 3 to 2.</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 value at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42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4"/>
              </w:rPr>
              <w:t>Unobservable Input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September 30, 2018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164,734,450</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2"/>
              </w:rPr>
              <w:t>Market Comparable</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Broker/Dealer bids or quotes</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531,422,088</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420" w:type="dxa"/>
            <w:vAlign w:val="bottom"/>
            <w:gridSpan w:val="4"/>
          </w:tcPr>
          <w:p>
            <w:pPr>
              <w:jc w:val="center"/>
              <w:ind w:right="200"/>
              <w:spacing w:after="0"/>
              <w:rPr>
                <w:sz w:val="20"/>
                <w:szCs w:val="20"/>
                <w:color w:val="auto"/>
              </w:rPr>
            </w:pPr>
            <w:r>
              <w:rPr>
                <w:rFonts w:ascii="Arial" w:cs="Arial" w:eastAsia="Arial" w:hAnsi="Arial"/>
                <w:sz w:val="16"/>
                <w:szCs w:val="16"/>
                <w:color w:val="auto"/>
                <w:w w:val="96"/>
              </w:rPr>
              <w:t>Market Yield</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7.4% – 17.5%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(10.1%)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226,303,579</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420" w:type="dxa"/>
            <w:vAlign w:val="bottom"/>
            <w:gridSpan w:val="4"/>
            <w:shd w:val="clear" w:color="auto" w:fill="CCEEFF"/>
          </w:tcPr>
          <w:p>
            <w:pPr>
              <w:jc w:val="center"/>
              <w:ind w:right="200"/>
              <w:spacing w:after="0"/>
              <w:rPr>
                <w:sz w:val="20"/>
                <w:szCs w:val="20"/>
                <w:color w:val="auto"/>
              </w:rPr>
            </w:pPr>
            <w:r>
              <w:rPr>
                <w:rFonts w:ascii="Arial" w:cs="Arial" w:eastAsia="Arial" w:hAnsi="Arial"/>
                <w:sz w:val="16"/>
                <w:szCs w:val="16"/>
                <w:color w:val="auto"/>
                <w:w w:val="96"/>
              </w:rPr>
              <w:t>Market Yield</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10.7% – 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48,127,586</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420" w:type="dxa"/>
            <w:vAlign w:val="bottom"/>
            <w:gridSpan w:val="4"/>
          </w:tcPr>
          <w:p>
            <w:pPr>
              <w:jc w:val="center"/>
              <w:ind w:right="200"/>
              <w:spacing w:after="0"/>
              <w:rPr>
                <w:sz w:val="20"/>
                <w:szCs w:val="20"/>
                <w:color w:val="auto"/>
              </w:rPr>
            </w:pPr>
            <w:r>
              <w:rPr>
                <w:rFonts w:ascii="Arial" w:cs="Arial" w:eastAsia="Arial" w:hAnsi="Arial"/>
                <w:sz w:val="16"/>
                <w:szCs w:val="16"/>
                <w:color w:val="auto"/>
                <w:w w:val="96"/>
              </w:rPr>
              <w:t>Market Yield</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12.5% – 15.3%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(14.5%)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160,656,044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2420" w:type="dxa"/>
            <w:vAlign w:val="bottom"/>
            <w:gridSpan w:val="4"/>
            <w:shd w:val="clear" w:color="auto" w:fill="CCEEFF"/>
          </w:tcPr>
          <w:p>
            <w:pPr>
              <w:jc w:val="center"/>
              <w:ind w:right="220"/>
              <w:spacing w:after="0"/>
              <w:rPr>
                <w:sz w:val="20"/>
                <w:szCs w:val="20"/>
                <w:color w:val="auto"/>
              </w:rPr>
            </w:pPr>
            <w:r>
              <w:rPr>
                <w:rFonts w:ascii="Arial" w:cs="Arial" w:eastAsia="Arial" w:hAnsi="Arial"/>
                <w:sz w:val="16"/>
                <w:szCs w:val="16"/>
                <w:color w:val="auto"/>
                <w:w w:val="98"/>
              </w:rPr>
              <w:t>EBITDA multiple</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3.9x – 13.8x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(8.2x)</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60" w:type="dxa"/>
            <w:vAlign w:val="bottom"/>
            <w:gridSpan w:val="2"/>
          </w:tcPr>
          <w:p>
            <w:pPr>
              <w:ind w:left="140"/>
              <w:spacing w:after="0"/>
              <w:rPr>
                <w:sz w:val="20"/>
                <w:szCs w:val="20"/>
                <w:color w:val="auto"/>
              </w:rPr>
            </w:pPr>
            <w:r>
              <w:rPr>
                <w:rFonts w:ascii="Arial" w:cs="Arial" w:eastAsia="Arial" w:hAnsi="Arial"/>
                <w:sz w:val="16"/>
                <w:szCs w:val="16"/>
                <w:color w:val="auto"/>
              </w:rPr>
              <w:t>Total Level 3 investments</w:t>
            </w:r>
          </w:p>
        </w:tc>
        <w:tc>
          <w:tcPr>
            <w:tcW w:w="5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1,131,243,747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77,645,830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420" w:type="dxa"/>
            <w:vAlign w:val="bottom"/>
            <w:gridSpan w:val="4"/>
            <w:shd w:val="clear" w:color="auto" w:fill="CCEEFF"/>
          </w:tcPr>
          <w:p>
            <w:pPr>
              <w:jc w:val="center"/>
              <w:ind w:right="200"/>
              <w:spacing w:after="0"/>
              <w:rPr>
                <w:sz w:val="20"/>
                <w:szCs w:val="20"/>
                <w:color w:val="auto"/>
              </w:rPr>
            </w:pPr>
            <w:r>
              <w:rPr>
                <w:rFonts w:ascii="Arial" w:cs="Arial" w:eastAsia="Arial" w:hAnsi="Arial"/>
                <w:sz w:val="16"/>
                <w:szCs w:val="16"/>
                <w:color w:val="auto"/>
                <w:w w:val="96"/>
              </w:rPr>
              <w:t>Market Yield</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Fair value at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4"/>
            <w:vMerge w:val="restart"/>
          </w:tcPr>
          <w:p>
            <w:pPr>
              <w:jc w:val="center"/>
              <w:ind w:right="580"/>
              <w:spacing w:after="0"/>
              <w:rPr>
                <w:sz w:val="20"/>
                <w:szCs w:val="20"/>
                <w:color w:val="auto"/>
              </w:rPr>
            </w:pPr>
            <w:r>
              <w:rPr>
                <w:rFonts w:ascii="Arial" w:cs="Arial" w:eastAsia="Arial" w:hAnsi="Arial"/>
                <w:sz w:val="14"/>
                <w:szCs w:val="14"/>
                <w:b w:val="1"/>
                <w:bCs w:val="1"/>
                <w:color w:val="auto"/>
                <w:w w:val="91"/>
              </w:rPr>
              <w:t>Valuation Technique</w:t>
            </w:r>
          </w:p>
        </w:tc>
        <w:tc>
          <w:tcPr>
            <w:tcW w:w="242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4"/>
              </w:rPr>
              <w:t>Unobservable Input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 2017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14,820,000</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ind w:right="140"/>
              <w:spacing w:after="0"/>
              <w:rPr>
                <w:sz w:val="20"/>
                <w:szCs w:val="20"/>
                <w:color w:val="auto"/>
              </w:rPr>
            </w:pPr>
            <w:r>
              <w:rPr>
                <w:rFonts w:ascii="Arial" w:cs="Arial" w:eastAsia="Arial" w:hAnsi="Arial"/>
                <w:sz w:val="16"/>
                <w:szCs w:val="16"/>
                <w:color w:val="auto"/>
                <w:w w:val="92"/>
              </w:rPr>
              <w:t>Market Comparable</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ind w:right="80"/>
              <w:spacing w:after="0"/>
              <w:rPr>
                <w:sz w:val="20"/>
                <w:szCs w:val="20"/>
                <w:color w:val="auto"/>
              </w:rPr>
            </w:pPr>
            <w:r>
              <w:rPr>
                <w:rFonts w:ascii="Arial" w:cs="Arial" w:eastAsia="Arial" w:hAnsi="Arial"/>
                <w:sz w:val="16"/>
                <w:szCs w:val="16"/>
                <w:color w:val="auto"/>
                <w:w w:val="92"/>
              </w:rPr>
              <w:t>Broker/Dealer bids or quotes</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96,885,313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jc w:val="center"/>
              <w:ind w:right="580"/>
              <w:spacing w:after="0"/>
              <w:rPr>
                <w:sz w:val="20"/>
                <w:szCs w:val="20"/>
                <w:color w:val="auto"/>
              </w:rPr>
            </w:pPr>
            <w:r>
              <w:rPr>
                <w:rFonts w:ascii="Arial" w:cs="Arial" w:eastAsia="Arial" w:hAnsi="Arial"/>
                <w:sz w:val="16"/>
                <w:szCs w:val="16"/>
                <w:color w:val="auto"/>
                <w:w w:val="92"/>
              </w:rPr>
              <w:t>Market Comparable</w:t>
            </w:r>
          </w:p>
        </w:tc>
        <w:tc>
          <w:tcPr>
            <w:tcW w:w="2420" w:type="dxa"/>
            <w:vAlign w:val="bottom"/>
            <w:gridSpan w:val="4"/>
          </w:tcPr>
          <w:p>
            <w:pPr>
              <w:jc w:val="center"/>
              <w:ind w:right="420"/>
              <w:spacing w:after="0"/>
              <w:rPr>
                <w:sz w:val="20"/>
                <w:szCs w:val="20"/>
                <w:color w:val="auto"/>
              </w:rPr>
            </w:pPr>
            <w:r>
              <w:rPr>
                <w:rFonts w:ascii="Arial" w:cs="Arial" w:eastAsia="Arial" w:hAnsi="Arial"/>
                <w:sz w:val="16"/>
                <w:szCs w:val="16"/>
                <w:color w:val="auto"/>
                <w:w w:val="92"/>
              </w:rPr>
              <w:t>Broker/Dealer bids or quotes</w:t>
            </w:r>
          </w:p>
        </w:tc>
        <w:tc>
          <w:tcPr>
            <w:tcW w:w="146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451,256,352</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80" w:type="dxa"/>
            <w:vAlign w:val="bottom"/>
            <w:gridSpan w:val="4"/>
            <w:shd w:val="clear" w:color="auto" w:fill="CCEEFF"/>
          </w:tcPr>
          <w:p>
            <w:pPr>
              <w:jc w:val="center"/>
              <w:ind w:right="580"/>
              <w:spacing w:after="0"/>
              <w:rPr>
                <w:sz w:val="20"/>
                <w:szCs w:val="20"/>
                <w:color w:val="auto"/>
              </w:rPr>
            </w:pPr>
            <w:r>
              <w:rPr>
                <w:rFonts w:ascii="Arial" w:cs="Arial" w:eastAsia="Arial" w:hAnsi="Arial"/>
                <w:sz w:val="16"/>
                <w:szCs w:val="16"/>
                <w:color w:val="auto"/>
                <w:w w:val="92"/>
              </w:rPr>
              <w:t>Market Comparable</w:t>
            </w:r>
          </w:p>
        </w:tc>
        <w:tc>
          <w:tcPr>
            <w:tcW w:w="2420" w:type="dxa"/>
            <w:vAlign w:val="bottom"/>
            <w:gridSpan w:val="4"/>
            <w:shd w:val="clear" w:color="auto" w:fill="CCEEFF"/>
          </w:tcPr>
          <w:p>
            <w:pPr>
              <w:jc w:val="center"/>
              <w:ind w:right="400"/>
              <w:spacing w:after="0"/>
              <w:rPr>
                <w:sz w:val="20"/>
                <w:szCs w:val="20"/>
                <w:color w:val="auto"/>
              </w:rPr>
            </w:pPr>
            <w:r>
              <w:rPr>
                <w:rFonts w:ascii="Arial" w:cs="Arial" w:eastAsia="Arial" w:hAnsi="Arial"/>
                <w:sz w:val="16"/>
                <w:szCs w:val="16"/>
                <w:color w:val="auto"/>
                <w:w w:val="96"/>
              </w:rPr>
              <w:t>Market Yield</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8.1% – 14.0%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302,659,070</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center"/>
              <w:ind w:right="580"/>
              <w:spacing w:after="0"/>
              <w:rPr>
                <w:sz w:val="20"/>
                <w:szCs w:val="20"/>
                <w:color w:val="auto"/>
              </w:rPr>
            </w:pPr>
            <w:r>
              <w:rPr>
                <w:rFonts w:ascii="Arial" w:cs="Arial" w:eastAsia="Arial" w:hAnsi="Arial"/>
                <w:sz w:val="16"/>
                <w:szCs w:val="16"/>
                <w:color w:val="auto"/>
                <w:w w:val="92"/>
              </w:rPr>
              <w:t>Market Comparable</w:t>
            </w:r>
          </w:p>
        </w:tc>
        <w:tc>
          <w:tcPr>
            <w:tcW w:w="2420" w:type="dxa"/>
            <w:vAlign w:val="bottom"/>
            <w:gridSpan w:val="4"/>
          </w:tcPr>
          <w:p>
            <w:pPr>
              <w:jc w:val="center"/>
              <w:ind w:right="400"/>
              <w:spacing w:after="0"/>
              <w:rPr>
                <w:sz w:val="20"/>
                <w:szCs w:val="20"/>
                <w:color w:val="auto"/>
              </w:rPr>
            </w:pPr>
            <w:r>
              <w:rPr>
                <w:rFonts w:ascii="Arial" w:cs="Arial" w:eastAsia="Arial" w:hAnsi="Arial"/>
                <w:sz w:val="16"/>
                <w:szCs w:val="16"/>
                <w:color w:val="auto"/>
                <w:w w:val="96"/>
              </w:rPr>
              <w:t>Market Yield</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9.6% – 14.6%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(12.2%)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120,707,763</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jc w:val="center"/>
              <w:ind w:right="580"/>
              <w:spacing w:after="0"/>
              <w:rPr>
                <w:sz w:val="20"/>
                <w:szCs w:val="20"/>
                <w:color w:val="auto"/>
              </w:rPr>
            </w:pPr>
            <w:r>
              <w:rPr>
                <w:rFonts w:ascii="Arial" w:cs="Arial" w:eastAsia="Arial" w:hAnsi="Arial"/>
                <w:sz w:val="16"/>
                <w:szCs w:val="16"/>
                <w:color w:val="auto"/>
                <w:w w:val="92"/>
              </w:rPr>
              <w:t>Market Comparable</w:t>
            </w:r>
          </w:p>
        </w:tc>
        <w:tc>
          <w:tcPr>
            <w:tcW w:w="2420" w:type="dxa"/>
            <w:vAlign w:val="bottom"/>
            <w:gridSpan w:val="4"/>
            <w:shd w:val="clear" w:color="auto" w:fill="CCEEFF"/>
          </w:tcPr>
          <w:p>
            <w:pPr>
              <w:jc w:val="center"/>
              <w:ind w:right="400"/>
              <w:spacing w:after="0"/>
              <w:rPr>
                <w:sz w:val="20"/>
                <w:szCs w:val="20"/>
                <w:color w:val="auto"/>
              </w:rPr>
            </w:pPr>
            <w:r>
              <w:rPr>
                <w:rFonts w:ascii="Arial" w:cs="Arial" w:eastAsia="Arial" w:hAnsi="Arial"/>
                <w:sz w:val="16"/>
                <w:szCs w:val="16"/>
                <w:color w:val="auto"/>
                <w:w w:val="96"/>
              </w:rPr>
              <w:t>Market Yield</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11.6% – 20.5%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166,268,568</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6"/>
                <w:szCs w:val="16"/>
                <w:color w:val="auto"/>
                <w:w w:val="92"/>
              </w:rPr>
              <w:t>Enterprise Market Value</w:t>
            </w:r>
          </w:p>
        </w:tc>
        <w:tc>
          <w:tcPr>
            <w:tcW w:w="2420" w:type="dxa"/>
            <w:vAlign w:val="bottom"/>
            <w:gridSpan w:val="4"/>
          </w:tcPr>
          <w:p>
            <w:pPr>
              <w:jc w:val="center"/>
              <w:ind w:right="420"/>
              <w:spacing w:after="0"/>
              <w:rPr>
                <w:sz w:val="20"/>
                <w:szCs w:val="20"/>
                <w:color w:val="auto"/>
              </w:rPr>
            </w:pPr>
            <w:r>
              <w:rPr>
                <w:rFonts w:ascii="Arial" w:cs="Arial" w:eastAsia="Arial" w:hAnsi="Arial"/>
                <w:sz w:val="16"/>
                <w:szCs w:val="16"/>
                <w:color w:val="auto"/>
                <w:w w:val="98"/>
              </w:rPr>
              <w:t>EBITDA multiple</w:t>
            </w: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4.8x – 15.8x</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7"/>
              </w:rPr>
              <w:t>(8.2x)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Level 3 investments</w:t>
            </w:r>
          </w:p>
        </w:tc>
        <w:tc>
          <w:tcPr>
            <w:tcW w:w="220" w:type="dxa"/>
            <w:vAlign w:val="bottom"/>
            <w:gridSpan w:val="2"/>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1,152,597,066</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6"/>
                <w:szCs w:val="16"/>
                <w:color w:val="auto"/>
              </w:rPr>
              <w:t>Long-Term Credit Facility</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4"/>
            <w:vMerge w:val="restart"/>
          </w:tcPr>
          <w:p>
            <w:pPr>
              <w:jc w:val="center"/>
              <w:ind w:right="580"/>
              <w:spacing w:after="0"/>
              <w:rPr>
                <w:sz w:val="20"/>
                <w:szCs w:val="20"/>
                <w:color w:val="auto"/>
              </w:rPr>
            </w:pPr>
            <w:r>
              <w:rPr>
                <w:rFonts w:ascii="Arial" w:cs="Arial" w:eastAsia="Arial" w:hAnsi="Arial"/>
                <w:sz w:val="16"/>
                <w:szCs w:val="16"/>
                <w:color w:val="auto"/>
                <w:w w:val="92"/>
              </w:rPr>
              <w:t>Market Comparable</w:t>
            </w:r>
          </w:p>
        </w:tc>
        <w:tc>
          <w:tcPr>
            <w:tcW w:w="2420" w:type="dxa"/>
            <w:vAlign w:val="bottom"/>
            <w:gridSpan w:val="4"/>
            <w:vMerge w:val="restart"/>
          </w:tcPr>
          <w:p>
            <w:pPr>
              <w:jc w:val="center"/>
              <w:ind w:right="400"/>
              <w:spacing w:after="0"/>
              <w:rPr>
                <w:sz w:val="20"/>
                <w:szCs w:val="20"/>
                <w:color w:val="auto"/>
              </w:rPr>
            </w:pPr>
            <w:r>
              <w:rPr>
                <w:rFonts w:ascii="Arial" w:cs="Arial" w:eastAsia="Arial" w:hAnsi="Arial"/>
                <w:sz w:val="16"/>
                <w:szCs w:val="16"/>
                <w:color w:val="auto"/>
                <w:w w:val="96"/>
              </w:rPr>
              <w:t>Market Yield</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w w:val="93"/>
              </w:rPr>
              <w:t>4.3%</w:t>
            </w:r>
          </w:p>
        </w:tc>
        <w:tc>
          <w:tcPr>
            <w:tcW w:w="0" w:type="dxa"/>
            <w:vAlign w:val="bottom"/>
          </w:tcPr>
          <w:p>
            <w:pPr>
              <w:spacing w:after="0" w:line="20" w:lineRule="exact"/>
              <w:rPr>
                <w:sz w:val="1"/>
                <w:szCs w:val="1"/>
                <w:color w:val="auto"/>
              </w:rPr>
            </w:pPr>
          </w:p>
        </w:tc>
      </w:tr>
      <w:tr>
        <w:trPr>
          <w:trHeight w:val="194"/>
        </w:trPr>
        <w:tc>
          <w:tcPr>
            <w:tcW w:w="2980" w:type="dxa"/>
            <w:vAlign w:val="bottom"/>
            <w:gridSpan w:val="3"/>
            <w:vMerge w:val="continue"/>
          </w:tcPr>
          <w:p>
            <w:pPr>
              <w:spacing w:after="0"/>
              <w:rPr>
                <w:sz w:val="16"/>
                <w:szCs w:val="16"/>
                <w:color w:val="auto"/>
              </w:rPr>
            </w:pPr>
          </w:p>
        </w:tc>
        <w:tc>
          <w:tcPr>
            <w:tcW w:w="2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76,037,341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vMerge w:val="continue"/>
          </w:tcPr>
          <w:p>
            <w:pPr>
              <w:spacing w:after="0"/>
              <w:rPr>
                <w:sz w:val="16"/>
                <w:szCs w:val="16"/>
                <w:color w:val="auto"/>
              </w:rPr>
            </w:pPr>
          </w:p>
        </w:tc>
        <w:tc>
          <w:tcPr>
            <w:tcW w:w="2420" w:type="dxa"/>
            <w:vAlign w:val="bottom"/>
            <w:gridSpan w:val="4"/>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investments, cash and cash equivalents, Credit Facility and the 2019 Notes were categorized as follows in the fair value hierarchy for ASC 820 purposes: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at September 30, 2018</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ind w:right="452"/>
              <w:spacing w:after="0" w:line="129"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414"/>
              <w:spacing w:after="0" w:line="129"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tcPr>
          <w:p>
            <w:pPr>
              <w:jc w:val="right"/>
              <w:ind w:right="572"/>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investments</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ind w:left="98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161,497,771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841,727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160,656,044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1,132,085,474</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841,727</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1,131,243,747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Total investments and cash and cash</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6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1,151,591,628</w:t>
            </w: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20,347,881</w:t>
            </w:r>
          </w:p>
        </w:tc>
        <w:tc>
          <w:tcPr>
            <w:tcW w:w="6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1,131,243,747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77,645,830</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7"/>
              </w:rPr>
              <w:t>251,322,500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328,968,330</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7"/>
              </w:rPr>
              <w:t>251,322,500</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at September 30, 2017</w:t>
            </w: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ind w:right="452"/>
              <w:spacing w:after="0" w:line="129"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414"/>
              <w:spacing w:after="0" w:line="129"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tcPr>
          <w:p>
            <w:pPr>
              <w:jc w:val="right"/>
              <w:ind w:right="572"/>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investments</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986,328,498</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ind w:left="98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986,328,498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167,249,010</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980,442</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166,268,568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1,153,577,508</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980,442</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1,152,597,066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Total investments and cash and cash</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6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1,191,779,576</w:t>
            </w: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39,182,510</w:t>
            </w:r>
          </w:p>
        </w:tc>
        <w:tc>
          <w:tcPr>
            <w:tcW w:w="6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1,152,597,066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76,037,341</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76,037,341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255,665,000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7"/>
              </w:rPr>
              <w:t>255,665,000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331,702,341</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7"/>
              </w:rPr>
              <w:t>255,665,000</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76,037,341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3"/>
          </w:tcPr>
          <w:p>
            <w:pPr>
              <w:jc w:val="right"/>
              <w:ind w:right="150"/>
              <w:spacing w:after="0"/>
              <w:rPr>
                <w:sz w:val="20"/>
                <w:szCs w:val="20"/>
                <w:color w:val="auto"/>
              </w:rPr>
            </w:pPr>
            <w:r>
              <w:rPr>
                <w:rFonts w:ascii="Arial" w:cs="Arial" w:eastAsia="Arial" w:hAnsi="Arial"/>
                <w:sz w:val="18"/>
                <w:szCs w:val="18"/>
                <w:color w:val="auto"/>
              </w:rPr>
              <w:t>F-61</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5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w w:val="92"/>
              </w:rPr>
              <w:t>Year Ended September 30, 2018</w:t>
            </w: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tcPr>
          <w:p>
            <w:pPr>
              <w:jc w:val="right"/>
              <w:ind w:right="500"/>
              <w:spacing w:after="0" w:line="119" w:lineRule="exact"/>
              <w:rPr>
                <w:sz w:val="20"/>
                <w:szCs w:val="20"/>
                <w:color w:val="auto"/>
              </w:rPr>
            </w:pPr>
            <w:r>
              <w:rPr>
                <w:rFonts w:ascii="Arial" w:cs="Arial" w:eastAsia="Arial" w:hAnsi="Arial"/>
                <w:sz w:val="13"/>
                <w:szCs w:val="13"/>
                <w:b w:val="1"/>
                <w:bCs w:val="1"/>
                <w:color w:val="auto"/>
              </w:rPr>
              <w:t>Debt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3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tcPr>
          <w:p>
            <w:pPr>
              <w:jc w:val="right"/>
              <w:ind w:right="280"/>
              <w:spacing w:after="0" w:line="158" w:lineRule="exact"/>
              <w:rPr>
                <w:sz w:val="20"/>
                <w:szCs w:val="20"/>
                <w:color w:val="auto"/>
              </w:rPr>
            </w:pPr>
            <w:r>
              <w:rPr>
                <w:rFonts w:ascii="Arial" w:cs="Arial" w:eastAsia="Arial" w:hAnsi="Arial"/>
                <w:sz w:val="14"/>
                <w:szCs w:val="14"/>
                <w:b w:val="1"/>
                <w:bCs w:val="1"/>
                <w:color w:val="auto"/>
              </w:rPr>
              <w:t>investments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investments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986,328,498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w w:val="87"/>
              </w:rPr>
              <w:t>166,268,568</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1,152,597,066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Net realized gains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2,847,904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43,250,660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46,098,564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depreciation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(15,266,479)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9"/>
              </w:rPr>
              <w:t>(40,114,380)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(55,380,859)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Purchases, PIK interest, net discount accretion and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520"/>
              <w:spacing w:after="0"/>
              <w:rPr>
                <w:sz w:val="20"/>
                <w:szCs w:val="20"/>
                <w:color w:val="auto"/>
              </w:rPr>
            </w:pPr>
            <w:r>
              <w:rPr>
                <w:rFonts w:ascii="Arial" w:cs="Arial" w:eastAsia="Arial" w:hAnsi="Arial"/>
                <w:sz w:val="18"/>
                <w:szCs w:val="18"/>
                <w:color w:val="auto"/>
              </w:rPr>
              <w:t>non-cash exchanges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556,756,457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61,674,905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618,431,362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6"/>
              </w:rPr>
              <w:t>(560,078,677)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9"/>
              </w:rPr>
              <w:t>(70,423,709)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(630,502,386)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970,587,703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5"/>
              </w:rPr>
              <w:t>160,656,044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1,131,243,747</w:t>
            </w: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spacing w:after="0"/>
              <w:rPr>
                <w:sz w:val="20"/>
                <w:szCs w:val="20"/>
                <w:color w:val="auto"/>
              </w:rPr>
            </w:pPr>
            <w:r>
              <w:rPr>
                <w:rFonts w:ascii="Arial" w:cs="Arial" w:eastAsia="Arial" w:hAnsi="Arial"/>
                <w:sz w:val="18"/>
                <w:szCs w:val="18"/>
                <w:color w:val="auto"/>
                <w:w w:val="94"/>
              </w:rPr>
              <w:t>Net change in unrealized depreciation reported within the</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w w:val="94"/>
              </w:rPr>
              <w:t>net change in unrealized (depreciation) appreciation 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investments in our Consolidated Statements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w w:val="93"/>
              </w:rPr>
              <w:t>Operations attributable to our Level 3 assets still held at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the reporting date.</w:t>
            </w:r>
          </w:p>
        </w:tc>
        <w:tc>
          <w:tcPr>
            <w:tcW w:w="38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(5,468,175)</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(10,447,877)</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(15,916,052)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w w:val="94"/>
              </w:rPr>
              <w:t>Year Ended September 30, 2017</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tcPr>
          <w:p>
            <w:pPr>
              <w:jc w:val="right"/>
              <w:ind w:right="640"/>
              <w:spacing w:after="0" w:line="119" w:lineRule="exact"/>
              <w:rPr>
                <w:sz w:val="20"/>
                <w:szCs w:val="20"/>
                <w:color w:val="auto"/>
              </w:rPr>
            </w:pPr>
            <w:r>
              <w:rPr>
                <w:rFonts w:ascii="Arial" w:cs="Arial" w:eastAsia="Arial" w:hAnsi="Arial"/>
                <w:sz w:val="13"/>
                <w:szCs w:val="13"/>
                <w:b w:val="1"/>
                <w:bCs w:val="1"/>
                <w:color w:val="auto"/>
              </w:rPr>
              <w:t>Debt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tcPr>
          <w:p>
            <w:pPr>
              <w:jc w:val="right"/>
              <w:ind w:right="820"/>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3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5"/>
          </w:tcPr>
          <w:p>
            <w:pPr>
              <w:jc w:val="right"/>
              <w:ind w:right="420"/>
              <w:spacing w:after="0" w:line="158" w:lineRule="exact"/>
              <w:rPr>
                <w:sz w:val="20"/>
                <w:szCs w:val="20"/>
                <w:color w:val="auto"/>
              </w:rPr>
            </w:pPr>
            <w:r>
              <w:rPr>
                <w:rFonts w:ascii="Arial" w:cs="Arial" w:eastAsia="Arial" w:hAnsi="Arial"/>
                <w:sz w:val="14"/>
                <w:szCs w:val="14"/>
                <w:b w:val="1"/>
                <w:bCs w:val="1"/>
                <w:color w:val="auto"/>
                <w:w w:val="95"/>
              </w:rPr>
              <w:t>investments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right"/>
              <w:ind w:right="66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1,000,146,681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125,633,017</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1,125,779,698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Net realized losses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(43,066,781)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w w:val="95"/>
              </w:rPr>
              <w:t>(10,910,451)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(53,977,232)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75,097,153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(6,862,504)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68,234,649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Purchases, PIK interest, net discount accretion and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520"/>
              <w:spacing w:after="0"/>
              <w:rPr>
                <w:sz w:val="20"/>
                <w:szCs w:val="20"/>
                <w:color w:val="auto"/>
              </w:rPr>
            </w:pPr>
            <w:r>
              <w:rPr>
                <w:rFonts w:ascii="Arial" w:cs="Arial" w:eastAsia="Arial" w:hAnsi="Arial"/>
                <w:sz w:val="18"/>
                <w:szCs w:val="18"/>
                <w:color w:val="auto"/>
              </w:rPr>
              <w:t>non-cash exchanges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w w:val="93"/>
              </w:rPr>
              <w:t>509,394,726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93,811,871</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603,206,597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(555,243,281)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5"/>
              </w:rPr>
              <w:t>(35,403,365)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(590,646,646)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gridSpan w:val="3"/>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3"/>
              </w:rPr>
              <w:t>986,328,498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166,268,568</w:t>
            </w:r>
          </w:p>
        </w:tc>
        <w:tc>
          <w:tcPr>
            <w:tcW w:w="4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1,152,597,066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reported within the net change in unrealized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(depreciation) appreciation on investments in our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w w:val="96"/>
              </w:rPr>
              <w:t>Consolidated Statements of Operations attributable to</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our Level 3 assets still held at the reporting date.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40,461,680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w w:val="95"/>
              </w:rPr>
              <w:t>(29,825,294)</w:t>
            </w:r>
          </w:p>
        </w:tc>
        <w:tc>
          <w:tcPr>
            <w:tcW w:w="2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10,636,386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F-62</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7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29"/>
        </w:trPr>
        <w:tc>
          <w:tcPr>
            <w:tcW w:w="72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 (cost – $79,392,900 and $50,339,700, respectively)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76,037,341</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39,551,187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Net change in unrealized appreciation included in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481,389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7,432,954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161,520,000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237,760,000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(162,392,900)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(208,706,800)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gridSpan w:val="3"/>
          </w:tcPr>
          <w:p>
            <w:pPr>
              <w:spacing w:after="0"/>
              <w:rPr>
                <w:sz w:val="20"/>
                <w:szCs w:val="20"/>
                <w:color w:val="auto"/>
              </w:rPr>
            </w:pPr>
            <w:r>
              <w:rPr>
                <w:rFonts w:ascii="Arial" w:cs="Arial" w:eastAsia="Arial" w:hAnsi="Arial"/>
                <w:sz w:val="18"/>
                <w:szCs w:val="18"/>
                <w:color w:val="auto"/>
              </w:rPr>
              <w:t>Ending Balance (cost – $80,520,000 and $79,392,900, respectively)</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75,645,830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76,037,341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Temporary draws outstanding,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gridSpan w:val="3"/>
          </w:tcPr>
          <w:p>
            <w:pPr>
              <w:spacing w:after="0"/>
              <w:rPr>
                <w:sz w:val="20"/>
                <w:szCs w:val="20"/>
                <w:color w:val="auto"/>
              </w:rPr>
            </w:pPr>
            <w:r>
              <w:rPr>
                <w:rFonts w:ascii="Arial" w:cs="Arial" w:eastAsia="Arial" w:hAnsi="Arial"/>
                <w:sz w:val="18"/>
                <w:szCs w:val="18"/>
                <w:color w:val="auto"/>
              </w:rPr>
              <w:t>Ending Balance (cost – $80,520,000 and $79,392,900, respectively)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77,645,830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76,037,341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hanging="316"/>
        <w:spacing w:after="0"/>
        <w:tabs>
          <w:tab w:leader="none" w:pos="520" w:val="left"/>
        </w:tabs>
        <w:numPr>
          <w:ilvl w:val="0"/>
          <w:numId w:val="101"/>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20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As of September 30, 2018, we had outstanding non-U.S. dollar borrowings on our Credit Facility. Net change in fair value on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840" w:type="dxa"/>
            <w:vAlign w:val="bottom"/>
          </w:tcPr>
          <w:p>
            <w:pPr>
              <w:spacing w:after="0"/>
              <w:rPr>
                <w:sz w:val="14"/>
                <w:szCs w:val="14"/>
                <w:color w:val="auto"/>
              </w:rPr>
            </w:pPr>
          </w:p>
        </w:tc>
        <w:tc>
          <w:tcPr>
            <w:tcW w:w="15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6"/>
              </w:rPr>
              <w:t>Amount Borrowed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1"/>
              </w:rPr>
              <w:t>Borrowing Cost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Current Value</w:t>
            </w:r>
          </w:p>
        </w:tc>
        <w:tc>
          <w:tcPr>
            <w:tcW w:w="320" w:type="dxa"/>
            <w:vAlign w:val="bottom"/>
          </w:tcPr>
          <w:p>
            <w:pPr>
              <w:spacing w:after="0"/>
              <w:rPr>
                <w:sz w:val="14"/>
                <w:szCs w:val="14"/>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Reset Date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184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5"/>
            <w:vMerge w:val="continue"/>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18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6"/>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30,000,000</w:t>
            </w: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41,520,000</w:t>
            </w: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39,121,590</w:t>
            </w: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w w:val="88"/>
              </w:rPr>
              <w:t>December 14, 2018</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(2,398,410)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1040" w:type="dxa"/>
            <w:vAlign w:val="bottom"/>
            <w:gridSpan w:val="28"/>
          </w:tcPr>
          <w:p>
            <w:pPr>
              <w:spacing w:after="0"/>
              <w:rPr>
                <w:sz w:val="20"/>
                <w:szCs w:val="20"/>
                <w:color w:val="auto"/>
              </w:rPr>
            </w:pPr>
            <w:r>
              <w:rPr>
                <w:rFonts w:ascii="Arial" w:cs="Arial" w:eastAsia="Arial" w:hAnsi="Arial"/>
                <w:sz w:val="18"/>
                <w:szCs w:val="18"/>
                <w:color w:val="auto"/>
                <w:w w:val="98"/>
              </w:rPr>
              <w:t>As of September 30, 2017, we had outstanding non-U.S. dollar borrowings on our Credit Facility. Net change in fair value on foreign currency</w:t>
            </w:r>
          </w:p>
        </w:tc>
        <w:tc>
          <w:tcPr>
            <w:tcW w:w="0" w:type="dxa"/>
            <w:vAlign w:val="bottom"/>
          </w:tcPr>
          <w:p>
            <w:pPr>
              <w:spacing w:after="0"/>
              <w:rPr>
                <w:sz w:val="1"/>
                <w:szCs w:val="1"/>
                <w:color w:val="auto"/>
              </w:rPr>
            </w:pPr>
          </w:p>
        </w:tc>
      </w:tr>
      <w:tr>
        <w:trPr>
          <w:trHeight w:val="230"/>
        </w:trPr>
        <w:tc>
          <w:tcPr>
            <w:tcW w:w="4540" w:type="dxa"/>
            <w:vAlign w:val="bottom"/>
            <w:gridSpan w:val="7"/>
          </w:tcPr>
          <w:p>
            <w:pPr>
              <w:spacing w:after="0"/>
              <w:rPr>
                <w:sz w:val="20"/>
                <w:szCs w:val="20"/>
                <w:color w:val="auto"/>
              </w:rPr>
            </w:pPr>
            <w:r>
              <w:rPr>
                <w:rFonts w:ascii="Arial" w:cs="Arial" w:eastAsia="Arial" w:hAnsi="Arial"/>
                <w:sz w:val="18"/>
                <w:szCs w:val="18"/>
                <w:color w:val="auto"/>
              </w:rPr>
              <w:t>translation on outstanding borrowings is listed below:</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6"/>
              </w:rPr>
              <w:t>Amount Borrowed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Borrowing Cost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Current Value</w:t>
            </w:r>
          </w:p>
        </w:tc>
        <w:tc>
          <w:tcPr>
            <w:tcW w:w="320" w:type="dxa"/>
            <w:vAlign w:val="bottom"/>
          </w:tcPr>
          <w:p>
            <w:pPr>
              <w:spacing w:after="0"/>
              <w:rPr>
                <w:sz w:val="24"/>
                <w:szCs w:val="24"/>
                <w:color w:val="auto"/>
              </w:rPr>
            </w:pPr>
          </w:p>
        </w:tc>
        <w:tc>
          <w:tcPr>
            <w:tcW w:w="13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Reset Date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1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21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27,000,000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44,032,900</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36,224,604</w:t>
            </w: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w w:val="89"/>
              </w:rPr>
              <w:t>October 4, 2017</w:t>
            </w:r>
          </w:p>
        </w:tc>
        <w:tc>
          <w:tcPr>
            <w:tcW w:w="38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(7,808,296)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Euro</w:t>
            </w:r>
          </w:p>
        </w:tc>
        <w:tc>
          <w:tcPr>
            <w:tcW w:w="184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34,000,000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35,360,000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40,194,834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w w:val="89"/>
              </w:rPr>
              <w:t>October 4, 2017</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4,834,834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79,392,900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76,419,438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(2,973,462)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83" w:lineRule="auto"/>
        <w:rPr>
          <w:sz w:val="20"/>
          <w:szCs w:val="20"/>
          <w:color w:val="auto"/>
        </w:rPr>
      </w:pPr>
      <w:r>
        <w:rPr>
          <w:rFonts w:ascii="Arial" w:cs="Arial" w:eastAsia="Arial" w:hAnsi="Arial"/>
          <w:sz w:val="16"/>
          <w:szCs w:val="16"/>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prior to their redemption, the 2025 Notes to align the measurement attributes of both our assets and liabilities while mitigating volatility in earnings from using different measurement attributes. Due to that election and in accordance with GAAP, we incurred expenses of zero, $3.9 million and zero relating to amendment costs on the Credit Facility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prior to their redemption, the</w:t>
      </w:r>
    </w:p>
    <w:p>
      <w:pPr>
        <w:spacing w:after="0" w:line="6" w:lineRule="exact"/>
        <w:rPr>
          <w:sz w:val="20"/>
          <w:szCs w:val="20"/>
          <w:color w:val="auto"/>
        </w:rPr>
      </w:pPr>
    </w:p>
    <w:p>
      <w:pPr>
        <w:jc w:val="center"/>
        <w:ind w:right="40"/>
        <w:spacing w:after="0" w:line="433" w:lineRule="auto"/>
        <w:rPr>
          <w:sz w:val="20"/>
          <w:szCs w:val="20"/>
          <w:color w:val="auto"/>
        </w:rPr>
      </w:pPr>
      <w:r>
        <w:rPr>
          <w:rFonts w:ascii="Arial" w:cs="Arial" w:eastAsia="Arial" w:hAnsi="Arial"/>
          <w:sz w:val="18"/>
          <w:szCs w:val="18"/>
          <w:color w:val="auto"/>
        </w:rPr>
        <w:t>2025 Notes are reported in our Consolidated Statements of Operations. We elected not to apply ASC 825-10 to any other financial assets or liabilities, F-63</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including the SBA debentures. For the year ended September 30, 2018, the Credit Facility and the 2019 Notes had a net change in unrealized depreciation of $3.9 million. For the years ended September 30, 2017 and 2016, our Credit Facility, the 2019 Notes and the 2025 Notes had a net change in unrealized (appreciation) depreciation of $(7.6) million and $3.7 million, respectively. As of September 30, 2018 and 2017, net unrealized depreciation (appreciation) on our Credit Facility and the 2019 Notes totaled $1.6 million and $(2.3)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2018 were as follows: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Fair Value at</w:t>
            </w:r>
          </w:p>
        </w:tc>
        <w:tc>
          <w:tcPr>
            <w:tcW w:w="16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Purchases of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Sale of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Change</w:t>
            </w:r>
          </w:p>
        </w:tc>
        <w:tc>
          <w:tcPr>
            <w:tcW w:w="160" w:type="dxa"/>
            <w:vAlign w:val="bottom"/>
          </w:tcPr>
          <w:p>
            <w:pPr>
              <w:spacing w:after="0"/>
              <w:rPr>
                <w:sz w:val="14"/>
                <w:szCs w:val="14"/>
                <w:color w:val="auto"/>
              </w:rPr>
            </w:pPr>
          </w:p>
        </w:tc>
        <w:tc>
          <w:tcPr>
            <w:tcW w:w="9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14"/>
                <w:szCs w:val="14"/>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in</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Appreciation /</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58"/>
        </w:trPr>
        <w:tc>
          <w:tcPr>
            <w:tcW w:w="29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2"/>
              </w:rPr>
              <w:t xml:space="preserve">2017 </w:t>
            </w:r>
            <w:r>
              <w:rPr>
                <w:rFonts w:ascii="Arial" w:cs="Arial" w:eastAsia="Arial" w:hAnsi="Arial"/>
                <w:sz w:val="12"/>
                <w:szCs w:val="12"/>
                <w:b w:val="1"/>
                <w:bCs w:val="1"/>
                <w:color w:val="auto"/>
                <w:w w:val="92"/>
              </w:rPr>
              <w:t>(1)</w:t>
            </w:r>
          </w:p>
        </w:tc>
        <w:tc>
          <w:tcPr>
            <w:tcW w:w="16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4"/>
              </w:rPr>
              <w:t xml:space="preserve">Affiliates </w:t>
            </w:r>
            <w:r>
              <w:rPr>
                <w:rFonts w:ascii="Arial" w:cs="Arial" w:eastAsia="Arial" w:hAnsi="Arial"/>
                <w:sz w:val="12"/>
                <w:szCs w:val="12"/>
                <w:b w:val="1"/>
                <w:bCs w:val="1"/>
                <w:color w:val="auto"/>
                <w:w w:val="94"/>
              </w:rPr>
              <w:t>(1), (2)</w:t>
            </w:r>
          </w:p>
        </w:tc>
        <w:tc>
          <w:tcPr>
            <w:tcW w:w="160" w:type="dxa"/>
            <w:vAlign w:val="bottom"/>
          </w:tcPr>
          <w:p>
            <w:pPr>
              <w:spacing w:after="0"/>
              <w:rPr>
                <w:sz w:val="13"/>
                <w:szCs w:val="13"/>
                <w:color w:val="auto"/>
              </w:rPr>
            </w:pPr>
          </w:p>
        </w:tc>
        <w:tc>
          <w:tcPr>
            <w:tcW w:w="122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 xml:space="preserve">from Affiliates </w:t>
            </w:r>
            <w:r>
              <w:rPr>
                <w:rFonts w:ascii="Arial" w:cs="Arial" w:eastAsia="Arial" w:hAnsi="Arial"/>
                <w:sz w:val="12"/>
                <w:szCs w:val="12"/>
                <w:b w:val="1"/>
                <w:bCs w:val="1"/>
                <w:color w:val="auto"/>
                <w:w w:val="94"/>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28"/>
              <w:spacing w:after="0" w:line="158" w:lineRule="exact"/>
              <w:rPr>
                <w:sz w:val="20"/>
                <w:szCs w:val="20"/>
                <w:color w:val="auto"/>
              </w:rPr>
            </w:pPr>
            <w:r>
              <w:rPr>
                <w:rFonts w:ascii="Arial" w:cs="Arial" w:eastAsia="Arial" w:hAnsi="Arial"/>
                <w:sz w:val="14"/>
                <w:szCs w:val="14"/>
                <w:b w:val="1"/>
                <w:bCs w:val="1"/>
                <w:color w:val="auto"/>
                <w:w w:val="99"/>
              </w:rPr>
              <w:t>Accrued</w:t>
            </w:r>
          </w:p>
        </w:tc>
        <w:tc>
          <w:tcPr>
            <w:tcW w:w="160" w:type="dxa"/>
            <w:vAlign w:val="bottom"/>
          </w:tcPr>
          <w:p>
            <w:pPr>
              <w:spacing w:after="0"/>
              <w:rPr>
                <w:sz w:val="13"/>
                <w:szCs w:val="13"/>
                <w:color w:val="auto"/>
              </w:rPr>
            </w:pPr>
          </w:p>
        </w:tc>
        <w:tc>
          <w:tcPr>
            <w:tcW w:w="10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 xml:space="preserve">2018 </w:t>
            </w:r>
            <w:r>
              <w:rPr>
                <w:rFonts w:ascii="Arial" w:cs="Arial" w:eastAsia="Arial" w:hAnsi="Arial"/>
                <w:sz w:val="12"/>
                <w:szCs w:val="12"/>
                <w:b w:val="1"/>
                <w:bCs w:val="1"/>
                <w:color w:val="auto"/>
                <w:w w:val="92"/>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9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AKW Holdings Limited </w:t>
            </w:r>
            <w:r>
              <w:rPr>
                <w:rFonts w:ascii="Arial" w:cs="Arial" w:eastAsia="Arial" w:hAnsi="Arial"/>
                <w:sz w:val="12"/>
                <w:szCs w:val="12"/>
                <w:color w:val="auto"/>
              </w:rPr>
              <w:t>(3)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39,184,097</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1,299,807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1,317,181</w:t>
            </w:r>
          </w:p>
        </w:tc>
        <w:tc>
          <w:tcPr>
            <w:tcW w:w="1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40,501,278</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 (JF Acquisition,</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LLC)</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16,945,557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1,073,864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(5,919,774)</w:t>
            </w:r>
          </w:p>
        </w:tc>
        <w:tc>
          <w:tcPr>
            <w:tcW w:w="160" w:type="dxa"/>
            <w:vAlign w:val="bottom"/>
            <w:tcBorders>
              <w:right w:val="single" w:sz="8" w:color="CCEEFF"/>
            </w:tcBorders>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12,099,647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RAM Energy LLC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71,406,572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10,350,000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3,043,300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(2,491,612)</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78,914,960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26,198,854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13,502,471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3,006,741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(14,174,803)</w:t>
            </w:r>
          </w:p>
        </w:tc>
        <w:tc>
          <w:tcPr>
            <w:tcW w:w="16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17,220,000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187,236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19,704,139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(1,537,218)</w:t>
            </w:r>
          </w:p>
        </w:tc>
        <w:tc>
          <w:tcPr>
            <w:tcW w:w="16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18,166,922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American Gilsonite Company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22,807,532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504,246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(26,983,525)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1,070,685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(4,445,455)</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8,106,827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Big Run, Inc. </w:t>
            </w: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674,943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(277,918)</w:t>
            </w:r>
          </w:p>
        </w:tc>
        <w:tc>
          <w:tcPr>
            <w:tcW w:w="16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397,025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Corfin Industries LLC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24,089,476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(26,739,059)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993,423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(683,831)</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3,296,101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25,236,136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103,947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(19,310,228)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454,098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(3,801,810)</w:t>
            </w:r>
          </w:p>
        </w:tc>
        <w:tc>
          <w:tcPr>
            <w:tcW w:w="16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(2,238,725)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ETX Energy, LLC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44,430,932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894,101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291,534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(3,468,771)</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34,801,373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(6,452,914)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32,175,378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(48,318,847)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895,459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(5,849,743)</w:t>
            </w:r>
          </w:p>
        </w:tc>
        <w:tc>
          <w:tcPr>
            <w:tcW w:w="16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6,955,332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U.S. Well Services, LLC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21,231,384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923,753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(205,123)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1,340,366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2,747,135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24,713,011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Total Controlled and Non-Controlled Affiliates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304,225,960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82,211,422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(130,906,782)</w:t>
            </w: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12,395,413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(38,586,619)</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226,814,216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9,853,857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520" w:hanging="316"/>
        <w:spacing w:after="0"/>
        <w:tabs>
          <w:tab w:leader="none" w:pos="520" w:val="left"/>
        </w:tabs>
        <w:numPr>
          <w:ilvl w:val="0"/>
          <w:numId w:val="102"/>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520" w:hanging="316"/>
        <w:spacing w:after="0" w:line="221" w:lineRule="auto"/>
        <w:tabs>
          <w:tab w:leader="none" w:pos="520" w:val="left"/>
        </w:tabs>
        <w:numPr>
          <w:ilvl w:val="0"/>
          <w:numId w:val="102"/>
        </w:numPr>
        <w:rPr>
          <w:rFonts w:ascii="Arial" w:cs="Arial" w:eastAsia="Arial" w:hAnsi="Arial"/>
          <w:sz w:val="12"/>
          <w:szCs w:val="12"/>
          <w:color w:val="auto"/>
        </w:rPr>
      </w:pPr>
      <w:r>
        <w:rPr>
          <w:rFonts w:ascii="Arial" w:cs="Arial" w:eastAsia="Arial" w:hAnsi="Arial"/>
          <w:sz w:val="14"/>
          <w:szCs w:val="14"/>
          <w:color w:val="auto"/>
        </w:rPr>
        <w:t>Includes PIK.</w:t>
      </w:r>
    </w:p>
    <w:p>
      <w:pPr>
        <w:ind w:left="520" w:hanging="316"/>
        <w:spacing w:after="0" w:line="221" w:lineRule="auto"/>
        <w:tabs>
          <w:tab w:leader="none" w:pos="520" w:val="left"/>
        </w:tabs>
        <w:numPr>
          <w:ilvl w:val="0"/>
          <w:numId w:val="102"/>
        </w:numPr>
        <w:rPr>
          <w:rFonts w:ascii="Arial" w:cs="Arial" w:eastAsia="Arial" w:hAnsi="Arial"/>
          <w:sz w:val="12"/>
          <w:szCs w:val="12"/>
          <w:color w:val="auto"/>
        </w:rPr>
      </w:pPr>
      <w:r>
        <w:rPr>
          <w:rFonts w:ascii="Arial" w:cs="Arial" w:eastAsia="Arial" w:hAnsi="Arial"/>
          <w:sz w:val="14"/>
          <w:szCs w:val="14"/>
          <w:color w:val="auto"/>
        </w:rPr>
        <w:t>Became a controlled affiliate during the three months ended March 31, 2018.</w:t>
      </w:r>
    </w:p>
    <w:p>
      <w:pPr>
        <w:ind w:left="520" w:hanging="316"/>
        <w:spacing w:after="0"/>
        <w:tabs>
          <w:tab w:leader="none" w:pos="520" w:val="left"/>
        </w:tabs>
        <w:numPr>
          <w:ilvl w:val="0"/>
          <w:numId w:val="102"/>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2018.</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information sets forth the computation of basic and diluted per share net increase in net assets resulting from operations: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5"/>
              </w:rPr>
              <w:t>Years Ended September 30,</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47,713,462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61,711,501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18,736,706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70,686,354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71,060,836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71,621,530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1"/>
              </w:rPr>
              <w:t>Basic and diluted net increase in net assets per share resulting from operations</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6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TAXES AND DISTRIBUTIONS</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73" w:lineRule="exact"/>
        <w:rPr>
          <w:sz w:val="20"/>
          <w:szCs w:val="20"/>
          <w:color w:val="auto"/>
        </w:rPr>
      </w:pPr>
    </w:p>
    <w:p>
      <w:pPr>
        <w:ind w:left="200" w:right="620" w:firstLine="441"/>
        <w:spacing w:after="0" w:line="264" w:lineRule="auto"/>
        <w:rPr>
          <w:sz w:val="20"/>
          <w:szCs w:val="20"/>
          <w:color w:val="auto"/>
        </w:rPr>
      </w:pPr>
      <w:r>
        <w:rPr>
          <w:rFonts w:ascii="Arial" w:cs="Arial" w:eastAsia="Arial" w:hAnsi="Arial"/>
          <w:sz w:val="18"/>
          <w:szCs w:val="18"/>
          <w:color w:val="auto"/>
        </w:rPr>
        <w:t>As of September 30, 2018 and 2017, the cost of investments for federal income tax purposes was $1,240.6 million and $1,206.4 million, respectively, resulting in a gross unrealized appreciation of $37.7 million and $67.0 million, respectively, and depreciation of $146.1 million and $119.9 million,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4"/>
              </w:rPr>
              <w:t>Years Ended September 30,</w:t>
            </w: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6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$(1,245,892)</w:t>
            </w: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$(2,548,967)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Increase (decrease) in accumulated net realized gain</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54,520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(799,498)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(1,449,411)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undistributed net investment income</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89"/>
              </w:rPr>
              <w:t>(54,520)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2,045,390</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3,998,378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40" w:type="dxa"/>
            <w:vAlign w:val="bottom"/>
            <w:gridSpan w:val="7"/>
          </w:tcPr>
          <w:p>
            <w:pPr>
              <w:ind w:left="420"/>
              <w:spacing w:after="0"/>
              <w:rPr>
                <w:sz w:val="20"/>
                <w:szCs w:val="20"/>
                <w:color w:val="auto"/>
              </w:rPr>
            </w:pPr>
            <w:r>
              <w:rPr>
                <w:rFonts w:ascii="Arial" w:cs="Arial" w:eastAsia="Arial" w:hAnsi="Arial"/>
                <w:sz w:val="18"/>
                <w:szCs w:val="18"/>
                <w:color w:val="auto"/>
                <w:w w:val="92"/>
              </w:rPr>
              <w:t>The following reconciles net increase (decrease) in net assets resulting from operations to taxable income: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1"/>
              </w:rPr>
              <w:t>Years Ended September 30,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3"/>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$ 47,713,462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61,711,501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18,736,706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760" w:type="dxa"/>
            <w:vAlign w:val="bottom"/>
            <w:gridSpan w:val="5"/>
          </w:tcPr>
          <w:p>
            <w:pPr>
              <w:jc w:val="right"/>
              <w:ind w:right="40"/>
              <w:spacing w:after="0"/>
              <w:rPr>
                <w:sz w:val="20"/>
                <w:szCs w:val="20"/>
                <w:color w:val="auto"/>
              </w:rPr>
            </w:pPr>
            <w:r>
              <w:rPr>
                <w:rFonts w:ascii="Arial" w:cs="Arial" w:eastAsia="Arial" w:hAnsi="Arial"/>
                <w:sz w:val="18"/>
                <w:szCs w:val="18"/>
                <w:color w:val="auto"/>
              </w:rPr>
              <w:t>(45,856,206)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31,027,037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80,530,707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 investments and debt</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51,476,896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(36,300,227)</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0"/>
              </w:rPr>
              <w:t>(28,652,631)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book-to-tax differences</w:t>
            </w:r>
          </w:p>
        </w:tc>
        <w:tc>
          <w:tcPr>
            <w:tcW w:w="1760" w:type="dxa"/>
            <w:vAlign w:val="bottom"/>
            <w:gridSpan w:val="5"/>
          </w:tcPr>
          <w:p>
            <w:pPr>
              <w:jc w:val="right"/>
              <w:ind w:right="40"/>
              <w:spacing w:after="0"/>
              <w:rPr>
                <w:sz w:val="20"/>
                <w:szCs w:val="20"/>
                <w:color w:val="auto"/>
              </w:rPr>
            </w:pPr>
            <w:r>
              <w:rPr>
                <w:rFonts w:ascii="Arial" w:cs="Arial" w:eastAsia="Arial" w:hAnsi="Arial"/>
                <w:sz w:val="18"/>
                <w:szCs w:val="18"/>
                <w:color w:val="auto"/>
              </w:rPr>
              <w:t>(722,661)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(6,838,039)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(1,438,839)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343,083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3,026,409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3,648,098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Taxable income before dividends paid deduction</w:t>
            </w:r>
          </w:p>
        </w:tc>
        <w:tc>
          <w:tcPr>
            <w:tcW w:w="680" w:type="dxa"/>
            <w:vAlign w:val="bottom"/>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$ 52,954,574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52,626,681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72,824,041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5320"/>
              <w:spacing w:after="0"/>
              <w:rPr>
                <w:sz w:val="20"/>
                <w:szCs w:val="20"/>
                <w:color w:val="auto"/>
              </w:rPr>
            </w:pPr>
            <w:r>
              <w:rPr>
                <w:rFonts w:ascii="Arial" w:cs="Arial" w:eastAsia="Arial" w:hAnsi="Arial"/>
                <w:sz w:val="18"/>
                <w:szCs w:val="18"/>
                <w:color w:val="auto"/>
              </w:rPr>
              <w:t>F-65</w:t>
            </w:r>
          </w:p>
        </w:tc>
        <w:tc>
          <w:tcPr>
            <w:tcW w:w="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undistributed taxable income on a tax basis and reconciliation to accumulated deficit on a book basis are as follows: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4"/>
                <w:szCs w:val="14"/>
                <w:b w:val="1"/>
                <w:bCs w:val="1"/>
                <w:color w:val="auto"/>
              </w:rPr>
              <w:t>As of September 30,</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3"/>
          </w:tcPr>
          <w:p>
            <w:pPr>
              <w:jc w:val="right"/>
              <w:ind w:right="34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 tax basis</w:t>
            </w:r>
          </w:p>
        </w:tc>
        <w:tc>
          <w:tcPr>
            <w:tcW w:w="8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  20,714,977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18,388,023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31,137,312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Realized loss carried forward</w:t>
            </w:r>
          </w:p>
        </w:tc>
        <w:tc>
          <w:tcPr>
            <w:tcW w:w="2160" w:type="dxa"/>
            <w:vAlign w:val="bottom"/>
            <w:gridSpan w:val="5"/>
          </w:tcPr>
          <w:p>
            <w:pPr>
              <w:jc w:val="right"/>
              <w:ind w:right="140"/>
              <w:spacing w:after="0"/>
              <w:rPr>
                <w:sz w:val="20"/>
                <w:szCs w:val="20"/>
                <w:color w:val="auto"/>
              </w:rPr>
            </w:pPr>
            <w:r>
              <w:rPr>
                <w:rFonts w:ascii="Arial" w:cs="Arial" w:eastAsia="Arial" w:hAnsi="Arial"/>
                <w:sz w:val="18"/>
                <w:szCs w:val="18"/>
                <w:color w:val="auto"/>
              </w:rPr>
              <w:t>(68,819,477)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4"/>
          </w:tcPr>
          <w:p>
            <w:pPr>
              <w:jc w:val="right"/>
              <w:ind w:right="150"/>
              <w:spacing w:after="0"/>
              <w:rPr>
                <w:sz w:val="20"/>
                <w:szCs w:val="20"/>
                <w:color w:val="auto"/>
              </w:rPr>
            </w:pPr>
            <w:r>
              <w:rPr>
                <w:rFonts w:ascii="Arial" w:cs="Arial" w:eastAsia="Arial" w:hAnsi="Arial"/>
                <w:sz w:val="18"/>
                <w:szCs w:val="18"/>
                <w:color w:val="auto"/>
                <w:w w:val="90"/>
              </w:rPr>
              <w:t>(113,198,158)</w:t>
            </w:r>
          </w:p>
        </w:tc>
        <w:tc>
          <w:tcPr>
            <w:tcW w:w="1320" w:type="dxa"/>
            <w:vAlign w:val="bottom"/>
            <w:gridSpan w:val="5"/>
          </w:tcPr>
          <w:p>
            <w:pPr>
              <w:jc w:val="right"/>
              <w:spacing w:after="0"/>
              <w:rPr>
                <w:sz w:val="20"/>
                <w:szCs w:val="20"/>
                <w:color w:val="auto"/>
              </w:rPr>
            </w:pPr>
            <w:r>
              <w:rPr>
                <w:rFonts w:ascii="Arial" w:cs="Arial" w:eastAsia="Arial" w:hAnsi="Arial"/>
                <w:sz w:val="18"/>
                <w:szCs w:val="18"/>
                <w:color w:val="auto"/>
              </w:rPr>
              <w:t>(81,242,318)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and other book to tax differences</w:t>
            </w:r>
          </w:p>
        </w:tc>
        <w:tc>
          <w:tcPr>
            <w:tcW w:w="21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(16,579,769)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w w:val="99"/>
              </w:rPr>
              <w:t>(18,455,025)</w:t>
            </w: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(31,547,434)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unrealized depreciation of investments and debt</w:t>
            </w:r>
          </w:p>
        </w:tc>
        <w:tc>
          <w:tcPr>
            <w:tcW w:w="880" w:type="dxa"/>
            <w:vAlign w:val="bottom"/>
          </w:tcPr>
          <w:p>
            <w:pPr>
              <w:spacing w:after="0"/>
              <w:rPr>
                <w:sz w:val="18"/>
                <w:szCs w:val="18"/>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w w:val="99"/>
              </w:rPr>
              <w:t>(110,212,110)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4"/>
          </w:tcPr>
          <w:p>
            <w:pPr>
              <w:jc w:val="right"/>
              <w:ind w:right="150"/>
              <w:spacing w:after="0"/>
              <w:rPr>
                <w:sz w:val="20"/>
                <w:szCs w:val="20"/>
                <w:color w:val="auto"/>
              </w:rPr>
            </w:pPr>
            <w:r>
              <w:rPr>
                <w:rFonts w:ascii="Arial" w:cs="Arial" w:eastAsia="Arial" w:hAnsi="Arial"/>
                <w:sz w:val="18"/>
                <w:szCs w:val="18"/>
                <w:color w:val="auto"/>
                <w:w w:val="99"/>
              </w:rPr>
              <w:t>(58,735,214)</w:t>
            </w:r>
          </w:p>
        </w:tc>
        <w:tc>
          <w:tcPr>
            <w:tcW w:w="1320" w:type="dxa"/>
            <w:vAlign w:val="bottom"/>
            <w:gridSpan w:val="5"/>
          </w:tcPr>
          <w:p>
            <w:pPr>
              <w:jc w:val="right"/>
              <w:spacing w:after="0"/>
              <w:rPr>
                <w:sz w:val="20"/>
                <w:szCs w:val="20"/>
                <w:color w:val="auto"/>
              </w:rPr>
            </w:pPr>
            <w:r>
              <w:rPr>
                <w:rFonts w:ascii="Arial" w:cs="Arial" w:eastAsia="Arial" w:hAnsi="Arial"/>
                <w:sz w:val="18"/>
                <w:szCs w:val="18"/>
                <w:color w:val="auto"/>
              </w:rPr>
              <w:t>(95,035,441)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deficit – book basis</w:t>
            </w:r>
          </w:p>
        </w:tc>
        <w:tc>
          <w:tcPr>
            <w:tcW w:w="21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(174,896,379)</w:t>
            </w:r>
          </w:p>
        </w:tc>
        <w:tc>
          <w:tcPr>
            <w:tcW w:w="1640" w:type="dxa"/>
            <w:vAlign w:val="bottom"/>
            <w:gridSpan w:val="7"/>
            <w:shd w:val="clear" w:color="auto" w:fill="CCEEFF"/>
          </w:tcPr>
          <w:p>
            <w:pPr>
              <w:jc w:val="right"/>
              <w:ind w:right="150"/>
              <w:spacing w:after="0"/>
              <w:rPr>
                <w:sz w:val="20"/>
                <w:szCs w:val="20"/>
                <w:color w:val="auto"/>
              </w:rPr>
            </w:pPr>
            <w:r>
              <w:rPr>
                <w:rFonts w:ascii="Arial" w:cs="Arial" w:eastAsia="Arial" w:hAnsi="Arial"/>
                <w:sz w:val="18"/>
                <w:szCs w:val="18"/>
                <w:color w:val="auto"/>
              </w:rPr>
              <w:t>$ (172,000,374)</w:t>
            </w: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(176,687,881)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tcPr>
          <w:p>
            <w:pPr>
              <w:ind w:left="420"/>
              <w:spacing w:after="0"/>
              <w:rPr>
                <w:sz w:val="20"/>
                <w:szCs w:val="20"/>
                <w:color w:val="auto"/>
              </w:rPr>
            </w:pPr>
            <w:r>
              <w:rPr>
                <w:rFonts w:ascii="Arial" w:cs="Arial" w:eastAsia="Arial" w:hAnsi="Arial"/>
                <w:sz w:val="18"/>
                <w:szCs w:val="18"/>
                <w:color w:val="auto"/>
              </w:rPr>
              <w:t>The tax characteristics of distributions declared are as follows:</w:t>
            </w:r>
          </w:p>
        </w:tc>
        <w:tc>
          <w:tcPr>
            <w:tcW w:w="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right"/>
              <w:ind w:right="17"/>
              <w:spacing w:after="0"/>
              <w:rPr>
                <w:sz w:val="20"/>
                <w:szCs w:val="20"/>
                <w:color w:val="auto"/>
              </w:rPr>
            </w:pPr>
            <w:r>
              <w:rPr>
                <w:rFonts w:ascii="Arial" w:cs="Arial" w:eastAsia="Arial" w:hAnsi="Arial"/>
                <w:sz w:val="14"/>
                <w:szCs w:val="14"/>
                <w:b w:val="1"/>
                <w:bCs w:val="1"/>
                <w:color w:val="auto"/>
                <w:w w:val="91"/>
              </w:rPr>
              <w:t>Years Ended September 30,</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gridSpan w:val="3"/>
          </w:tcPr>
          <w:p>
            <w:pPr>
              <w:spacing w:after="0"/>
              <w:rPr>
                <w:sz w:val="12"/>
                <w:szCs w:val="12"/>
                <w:color w:val="auto"/>
              </w:rPr>
            </w:pPr>
          </w:p>
        </w:tc>
        <w:tc>
          <w:tcPr>
            <w:tcW w:w="6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 (including short-term gains, if any)</w:t>
            </w:r>
          </w:p>
        </w:tc>
        <w:tc>
          <w:tcPr>
            <w:tcW w:w="1560" w:type="dxa"/>
            <w:vAlign w:val="bottom"/>
            <w:gridSpan w:val="3"/>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3"/>
              </w:rPr>
              <w:t>$ 50,609,467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58,269,886</w:t>
            </w:r>
          </w:p>
        </w:tc>
        <w:tc>
          <w:tcPr>
            <w:tcW w:w="380" w:type="dxa"/>
            <w:vAlign w:val="bottom"/>
            <w:gridSpan w:val="2"/>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$ 58,068,894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Long-term capital gain</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21,711,007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24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$ 50,609,467</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58,269,886</w:t>
            </w: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$ 79,779,901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Total distributions per share based on weighted average shares</w:t>
            </w: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54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0.72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0.82</w:t>
            </w:r>
          </w:p>
        </w:tc>
        <w:tc>
          <w:tcPr>
            <w:tcW w:w="3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CASH AND CASH EQUIVALENTS</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2018 and 2017, cash and cash equivalents consisted of money market funds in the amounts of $19.5 million and $38.2 million at fair value, respectively.</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2014</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Data:</w:t>
            </w:r>
          </w:p>
        </w:tc>
        <w:tc>
          <w:tcPr>
            <w:tcW w:w="38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Net asset value, beginning of year</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9.10</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9.05</w:t>
            </w:r>
          </w:p>
        </w:tc>
        <w:tc>
          <w:tcPr>
            <w:tcW w:w="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9.82</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11.03</w:t>
            </w: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23"/>
                <w:szCs w:val="23"/>
                <w:color w:val="auto"/>
                <w:vertAlign w:val="superscript"/>
              </w:rPr>
              <w:t>(1)</w:t>
            </w:r>
          </w:p>
        </w:tc>
        <w:tc>
          <w:tcPr>
            <w:tcW w:w="3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(0.73)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23"/>
                <w:szCs w:val="23"/>
                <w:color w:val="auto"/>
                <w:vertAlign w:val="superscript"/>
              </w:rPr>
              <w:t>(1)</w:t>
            </w:r>
          </w:p>
        </w:tc>
        <w:tc>
          <w:tcPr>
            <w:tcW w:w="3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23"/>
                <w:szCs w:val="23"/>
                <w:color w:val="auto"/>
                <w:vertAlign w:val="superscript"/>
              </w:rPr>
              <w:t>(1), (2)</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 of net investment income</w:t>
            </w: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(0.82)</w:t>
            </w:r>
          </w:p>
        </w:tc>
        <w:tc>
          <w:tcPr>
            <w:tcW w:w="20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160"/>
              <w:spacing w:after="0"/>
              <w:rPr>
                <w:sz w:val="20"/>
                <w:szCs w:val="20"/>
                <w:color w:val="auto"/>
              </w:rPr>
            </w:pPr>
            <w:r>
              <w:rPr>
                <w:rFonts w:ascii="Arial" w:cs="Arial" w:eastAsia="Arial" w:hAnsi="Arial"/>
                <w:sz w:val="16"/>
                <w:szCs w:val="16"/>
                <w:color w:val="auto"/>
              </w:rPr>
              <w:t>Distribution of realized gains</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Total distributions to stockholders</w:t>
            </w: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(0.82)</w:t>
            </w:r>
          </w:p>
        </w:tc>
        <w:tc>
          <w:tcPr>
            <w:tcW w:w="20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Accretive (dilutive) effect of common stock issuance </w:t>
            </w:r>
            <w:r>
              <w:rPr>
                <w:rFonts w:ascii="Arial" w:cs="Arial" w:eastAsia="Arial" w:hAnsi="Arial"/>
                <w:sz w:val="23"/>
                <w:szCs w:val="23"/>
                <w:color w:val="auto"/>
                <w:vertAlign w:val="superscript"/>
              </w:rPr>
              <w:t>(1)</w:t>
            </w:r>
          </w:p>
        </w:tc>
        <w:tc>
          <w:tcPr>
            <w:tcW w:w="3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20" w:type="dxa"/>
            <w:vAlign w:val="bottom"/>
            <w:gridSpan w:val="2"/>
          </w:tcPr>
          <w:p>
            <w:pPr>
              <w:spacing w:after="0"/>
              <w:rPr>
                <w:sz w:val="20"/>
                <w:szCs w:val="20"/>
                <w:color w:val="auto"/>
              </w:rPr>
            </w:pPr>
            <w:r>
              <w:rPr>
                <w:rFonts w:ascii="Arial" w:cs="Arial" w:eastAsia="Arial" w:hAnsi="Arial"/>
                <w:sz w:val="16"/>
                <w:szCs w:val="16"/>
                <w:color w:val="auto"/>
              </w:rPr>
              <w:t>Net asset value, end of year</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9.11</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9.10</w:t>
            </w:r>
          </w:p>
        </w:tc>
        <w:tc>
          <w:tcPr>
            <w:tcW w:w="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9.05</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9.82</w:t>
            </w: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Per share market value, end of year</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Total return </w:t>
            </w:r>
            <w:r>
              <w:rPr>
                <w:rFonts w:ascii="Arial" w:cs="Arial" w:eastAsia="Arial" w:hAnsi="Arial"/>
                <w:sz w:val="27"/>
                <w:szCs w:val="27"/>
                <w:color w:val="auto"/>
                <w:vertAlign w:val="superscript"/>
              </w:rPr>
              <w:t>(3)</w:t>
            </w: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10.80%</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36.64%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(32.51)%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Shares outstanding at end of year</w:t>
            </w:r>
          </w:p>
        </w:tc>
        <w:tc>
          <w:tcPr>
            <w:tcW w:w="3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69,053,958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71,060,836</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71,060,836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72,966,043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75,092,911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Ratios / Supplemental Data:</w:t>
            </w: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 xml:space="preserve">Ratio of operating expenses to average net assets </w:t>
            </w:r>
            <w:r>
              <w:rPr>
                <w:rFonts w:ascii="Arial" w:cs="Arial" w:eastAsia="Arial" w:hAnsi="Arial"/>
                <w:sz w:val="24"/>
                <w:szCs w:val="24"/>
                <w:color w:val="auto"/>
                <w:vertAlign w:val="superscript"/>
              </w:rPr>
              <w:t>(4), (5)</w:t>
            </w: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5.78%</w:t>
            </w:r>
          </w:p>
        </w:tc>
        <w:tc>
          <w:tcPr>
            <w:tcW w:w="20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Ratio of interest and expenses on debt to average net assets</w:t>
            </w:r>
          </w:p>
        </w:tc>
        <w:tc>
          <w:tcPr>
            <w:tcW w:w="3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4.69%</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23"/>
                <w:szCs w:val="23"/>
                <w:color w:val="auto"/>
                <w:vertAlign w:val="superscript"/>
              </w:rPr>
              <w:t>(5)</w:t>
            </w: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10.47%</w:t>
            </w:r>
          </w:p>
        </w:tc>
        <w:tc>
          <w:tcPr>
            <w:tcW w:w="20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Ratio of net investment income to average net assets</w:t>
            </w:r>
          </w:p>
        </w:tc>
        <w:tc>
          <w:tcPr>
            <w:tcW w:w="3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8.67%</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Net assets at end of year</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628,901,895</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646,808,471</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643,366,856</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716,590,542</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828,009,949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line="230" w:lineRule="exact"/>
              <w:rPr>
                <w:sz w:val="20"/>
                <w:szCs w:val="20"/>
                <w:color w:val="auto"/>
              </w:rPr>
            </w:pPr>
            <w:r>
              <w:rPr>
                <w:rFonts w:ascii="Arial" w:cs="Arial" w:eastAsia="Arial" w:hAnsi="Arial"/>
                <w:sz w:val="16"/>
                <w:szCs w:val="16"/>
                <w:color w:val="auto"/>
              </w:rPr>
              <w:t xml:space="preserve">Weighted average debt outstanding </w:t>
            </w:r>
            <w:r>
              <w:rPr>
                <w:rFonts w:ascii="Arial" w:cs="Arial" w:eastAsia="Arial" w:hAnsi="Arial"/>
                <w:sz w:val="26"/>
                <w:szCs w:val="26"/>
                <w:color w:val="auto"/>
                <w:vertAlign w:val="superscript"/>
              </w:rPr>
              <w:t>(6)</w:t>
            </w:r>
          </w:p>
        </w:tc>
        <w:tc>
          <w:tcPr>
            <w:tcW w:w="3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504,963,762</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7"/>
              </w:rPr>
              <w:t>605,661,674</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634,769,508</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7"/>
              </w:rPr>
              <w:t>580,367,750</w:t>
            </w:r>
          </w:p>
        </w:tc>
        <w:tc>
          <w:tcPr>
            <w:tcW w:w="3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7"/>
              </w:rPr>
              <w:t>526,252,068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23"/>
                <w:szCs w:val="23"/>
                <w:color w:val="auto"/>
                <w:vertAlign w:val="superscript"/>
              </w:rPr>
              <w:t>(1), (6)</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23"/>
                <w:szCs w:val="23"/>
                <w:color w:val="auto"/>
                <w:vertAlign w:val="superscript"/>
              </w:rPr>
              <w:t>(7)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2,912</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2,950</w:t>
            </w:r>
          </w:p>
        </w:tc>
        <w:tc>
          <w:tcPr>
            <w:tcW w:w="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2,756</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2,569</w:t>
            </w: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3,198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23"/>
                <w:szCs w:val="23"/>
                <w:color w:val="auto"/>
                <w:vertAlign w:val="superscript"/>
              </w:rPr>
              <w:t>(8)</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Portfolio turnover ratio</w:t>
            </w:r>
          </w:p>
        </w:tc>
        <w:tc>
          <w:tcPr>
            <w:tcW w:w="3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56.51%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43.60%</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26.50%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6946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6" w:lineRule="exact"/>
        <w:rPr>
          <w:sz w:val="20"/>
          <w:szCs w:val="20"/>
          <w:color w:val="auto"/>
        </w:rPr>
      </w:pPr>
    </w:p>
    <w:p>
      <w:pPr>
        <w:ind w:left="520" w:hanging="316"/>
        <w:spacing w:after="0"/>
        <w:tabs>
          <w:tab w:leader="none" w:pos="52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520" w:right="180" w:hanging="316"/>
        <w:spacing w:after="0" w:line="221" w:lineRule="auto"/>
        <w:tabs>
          <w:tab w:leader="none" w:pos="52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520" w:hanging="316"/>
        <w:spacing w:after="0" w:line="221" w:lineRule="auto"/>
        <w:tabs>
          <w:tab w:leader="none" w:pos="52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520" w:hanging="316"/>
        <w:spacing w:after="0" w:line="221" w:lineRule="auto"/>
        <w:tabs>
          <w:tab w:leader="none" w:pos="52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520" w:right="120" w:hanging="316"/>
        <w:spacing w:after="0" w:line="221" w:lineRule="auto"/>
        <w:tabs>
          <w:tab w:leader="none" w:pos="52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For the years ended September 30, 2018, 2017 and 2016, the ratio of operating expenses to average net assets before the waiver of certain Management Fees to average net assets was 5.21%, 6.65% and 7.64%, respectively, and the ratio of total expenses to average net assets before the waiver of certain Management Fees to average net assets was 8.75%, 11.33% and 11.82%, respectively.</w:t>
      </w:r>
    </w:p>
    <w:p>
      <w:pPr>
        <w:ind w:left="520" w:hanging="316"/>
        <w:spacing w:after="0" w:line="221" w:lineRule="auto"/>
        <w:tabs>
          <w:tab w:leader="none" w:pos="52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520" w:right="300" w:hanging="316"/>
        <w:spacing w:after="0" w:line="237" w:lineRule="auto"/>
        <w:tabs>
          <w:tab w:leader="none" w:pos="52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6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520" w:right="420"/>
        <w:spacing w:after="0" w:line="230" w:lineRule="auto"/>
        <w:rPr>
          <w:sz w:val="20"/>
          <w:szCs w:val="20"/>
          <w:color w:val="auto"/>
        </w:rPr>
      </w:pPr>
      <w:r>
        <w:rPr>
          <w:rFonts w:ascii="Arial" w:cs="Arial" w:eastAsia="Arial" w:hAnsi="Arial"/>
          <w:sz w:val="14"/>
          <w:szCs w:val="14"/>
          <w:color w:val="auto"/>
        </w:rPr>
        <w:t>coverage ratio is multiplied by $1,000 to determine the asset coverage per unit. These amounts exclude SBA debentures from our asset coverage per unit computation pursuant to exemptive relief received from the SEC in June 2011.</w:t>
      </w:r>
    </w:p>
    <w:p>
      <w:pPr>
        <w:spacing w:after="0" w:line="1" w:lineRule="exact"/>
        <w:rPr>
          <w:sz w:val="20"/>
          <w:szCs w:val="20"/>
          <w:color w:val="auto"/>
        </w:rPr>
      </w:pPr>
    </w:p>
    <w:p>
      <w:pPr>
        <w:ind w:left="520" w:right="600" w:hanging="316"/>
        <w:spacing w:after="0" w:line="237" w:lineRule="auto"/>
        <w:tabs>
          <w:tab w:leader="none" w:pos="520" w:val="left"/>
        </w:tabs>
        <w:numPr>
          <w:ilvl w:val="0"/>
          <w:numId w:val="104"/>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September 30, 2018.</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The annualized weighted average cost of debt for the years ended September 30, 2018, 2017 and 2016, inclusive of the fee on the undrawn commitment and amendment costs on the Credit Facility, amortized upfront fees on SBA debentures and debt issuance costs, was 4.52%, 5.04% and 4.35%, respectively. As of September 30,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8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November 13, 2018, our board of directors approved the application of the modified asset coverage requirements set forth in Section 61(a)(2) of the 1940 Act, as amended by the Consolidated Appropriations Act of 2018 (which includes the SBCAA).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of September 30, 2018, we had a $445 million multi-currency Credit Facility with certain lenders and SunTrust Bank, acting as administrative agent, and JPMorgan Chase Bank, N.A., acting as syndication agent for the lenders. As of September 30, 2018 and 2017, we had $80.5 million (including a $2.0 million temporary draw) and $79.4 million, respectively, in outstanding borrowings under the Credit Facility. The Credit Facility had a weighted average interest rate of 3.79% and 2.42%, respectively, exclusive of the fee on undrawn commitments of 0.375%, as of September 30, 2018 and 2017. The Credit Facility is a five-year revolving facility with a stated maturity date of May 25, 2022, a one-year term-out period following its fourth year and pricing set at 225 basis points over LIBOR. The Credit Facility is secured by substantially all of our assets excluding assets held by our SBIC Funds.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$30.0 million as of September 30, 2018. We have funded SBIC II with $75.0 million of equity capital and it had SBA debentures outstanding of $150.0 million as of September 30,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80"/>
          </w:cols>
          <w:pgMar w:left="240" w:top="460"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of September 30, 2018 and 2017, our SBIC Funds had $300.0 million in debt commitments, respectively, of which $180.0 million and</w:t>
      </w:r>
    </w:p>
    <w:p>
      <w:pPr>
        <w:spacing w:after="0" w:line="23" w:lineRule="exact"/>
        <w:rPr>
          <w:sz w:val="20"/>
          <w:szCs w:val="20"/>
          <w:color w:val="auto"/>
        </w:rPr>
      </w:pPr>
    </w:p>
    <w:p>
      <w:pPr>
        <w:ind w:left="200" w:right="240"/>
        <w:spacing w:after="0" w:line="323" w:lineRule="auto"/>
        <w:rPr>
          <w:sz w:val="20"/>
          <w:szCs w:val="20"/>
          <w:color w:val="auto"/>
        </w:rPr>
      </w:pPr>
      <w:r>
        <w:rPr>
          <w:rFonts w:ascii="Arial" w:cs="Arial" w:eastAsia="Arial" w:hAnsi="Arial"/>
          <w:sz w:val="16"/>
          <w:szCs w:val="16"/>
          <w:color w:val="auto"/>
        </w:rPr>
        <w:t>$199.0 million was drawn, respectively. As of both September 30, 2018 and 2017, the unamortized fees on the SBA debentures was $4.6 million. The SBA debentures’ upfront fees of 3.43% consist of a commitment fee of 1.00% and an issuance discount of 2.43%, which are being amortized.</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fixed-rate SBA debentures were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3200" w:type="dxa"/>
            <w:vAlign w:val="bottom"/>
            <w:gridSpan w:val="3"/>
            <w:vMerge w:val="restart"/>
          </w:tcPr>
          <w:p>
            <w:pPr>
              <w:jc w:val="center"/>
              <w:ind w:left="196"/>
              <w:spacing w:after="0"/>
              <w:rPr>
                <w:sz w:val="20"/>
                <w:szCs w:val="20"/>
                <w:color w:val="auto"/>
              </w:rPr>
            </w:pPr>
            <w:r>
              <w:rPr>
                <w:rFonts w:ascii="Arial" w:cs="Arial" w:eastAsia="Arial" w:hAnsi="Arial"/>
                <w:sz w:val="14"/>
                <w:szCs w:val="14"/>
                <w:b w:val="1"/>
                <w:bCs w:val="1"/>
                <w:color w:val="auto"/>
                <w:w w:val="95"/>
              </w:rPr>
              <w:t xml:space="preserve">Fixed All-in Coupon Rate </w:t>
            </w:r>
            <w:r>
              <w:rPr>
                <w:rFonts w:ascii="Arial" w:cs="Arial" w:eastAsia="Arial" w:hAnsi="Arial"/>
                <w:sz w:val="12"/>
                <w:szCs w:val="12"/>
                <w:b w:val="1"/>
                <w:bCs w:val="1"/>
                <w:color w:val="auto"/>
                <w:w w:val="95"/>
              </w:rPr>
              <w:t>(1)</w:t>
            </w:r>
          </w:p>
        </w:tc>
        <w:tc>
          <w:tcPr>
            <w:tcW w:w="2040" w:type="dxa"/>
            <w:vAlign w:val="bottom"/>
            <w:gridSpan w:val="4"/>
          </w:tcPr>
          <w:p>
            <w:pPr>
              <w:ind w:left="420"/>
              <w:spacing w:after="0"/>
              <w:rPr>
                <w:sz w:val="20"/>
                <w:szCs w:val="20"/>
                <w:color w:val="auto"/>
              </w:rPr>
            </w:pPr>
            <w:r>
              <w:rPr>
                <w:rFonts w:ascii="Arial" w:cs="Arial" w:eastAsia="Arial" w:hAnsi="Arial"/>
                <w:sz w:val="14"/>
                <w:szCs w:val="14"/>
                <w:b w:val="1"/>
                <w:bCs w:val="1"/>
                <w:color w:val="auto"/>
                <w:w w:val="94"/>
              </w:rPr>
              <w:t>As of September 30, 2018</w:t>
            </w:r>
          </w:p>
        </w:tc>
        <w:tc>
          <w:tcPr>
            <w:tcW w:w="0" w:type="dxa"/>
            <w:vAlign w:val="bottom"/>
          </w:tcPr>
          <w:p>
            <w:pPr>
              <w:spacing w:after="0"/>
              <w:rPr>
                <w:sz w:val="1"/>
                <w:szCs w:val="1"/>
                <w:color w:val="auto"/>
              </w:rPr>
            </w:pPr>
          </w:p>
        </w:tc>
      </w:tr>
      <w:tr>
        <w:trPr>
          <w:trHeight w:val="158"/>
        </w:trPr>
        <w:tc>
          <w:tcPr>
            <w:tcW w:w="4380" w:type="dxa"/>
            <w:vAlign w:val="bottom"/>
            <w:gridSpan w:val="3"/>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320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21, 2011</w:t>
            </w:r>
          </w:p>
        </w:tc>
        <w:tc>
          <w:tcPr>
            <w:tcW w:w="1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September 1, 2021</w:t>
            </w:r>
          </w:p>
        </w:tc>
        <w:tc>
          <w:tcPr>
            <w:tcW w:w="86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1440"/>
              <w:spacing w:after="0" w:line="203" w:lineRule="exact"/>
              <w:rPr>
                <w:sz w:val="20"/>
                <w:szCs w:val="20"/>
                <w:color w:val="auto"/>
              </w:rPr>
            </w:pPr>
            <w:r>
              <w:rPr>
                <w:rFonts w:ascii="Arial" w:cs="Arial" w:eastAsia="Arial" w:hAnsi="Arial"/>
                <w:sz w:val="18"/>
                <w:szCs w:val="18"/>
                <w:color w:val="auto"/>
              </w:rPr>
              <w:t>3.35%</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1420" w:type="dxa"/>
            <w:vAlign w:val="bottom"/>
          </w:tcPr>
          <w:p>
            <w:pPr>
              <w:ind w:left="60"/>
              <w:spacing w:after="0"/>
              <w:rPr>
                <w:sz w:val="20"/>
                <w:szCs w:val="20"/>
                <w:color w:val="auto"/>
              </w:rPr>
            </w:pPr>
            <w:r>
              <w:rPr>
                <w:rFonts w:ascii="Arial" w:cs="Arial" w:eastAsia="Arial" w:hAnsi="Arial"/>
                <w:sz w:val="18"/>
                <w:szCs w:val="18"/>
                <w:color w:val="auto"/>
              </w:rPr>
              <w:t>March 1, 2026</w:t>
            </w:r>
          </w:p>
        </w:tc>
        <w:tc>
          <w:tcPr>
            <w:tcW w:w="2620" w:type="dxa"/>
            <w:vAlign w:val="bottom"/>
            <w:gridSpan w:val="2"/>
          </w:tcPr>
          <w:p>
            <w:pPr>
              <w:ind w:left="2300"/>
              <w:spacing w:after="0"/>
              <w:rPr>
                <w:sz w:val="20"/>
                <w:szCs w:val="20"/>
                <w:color w:val="auto"/>
              </w:rPr>
            </w:pPr>
            <w:r>
              <w:rPr>
                <w:rFonts w:ascii="Arial" w:cs="Arial" w:eastAsia="Arial" w:hAnsi="Arial"/>
                <w:sz w:val="18"/>
                <w:szCs w:val="18"/>
                <w:color w:val="auto"/>
                <w:w w:val="85"/>
              </w:rPr>
              <w:t>2.86</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September 1, 2026</w:t>
            </w:r>
          </w:p>
        </w:tc>
        <w:tc>
          <w:tcPr>
            <w:tcW w:w="26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85"/>
              </w:rPr>
              <w:t>2.41</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September 20, 2017</w:t>
            </w:r>
          </w:p>
        </w:tc>
        <w:tc>
          <w:tcPr>
            <w:tcW w:w="1420" w:type="dxa"/>
            <w:vAlign w:val="bottom"/>
          </w:tcPr>
          <w:p>
            <w:pPr>
              <w:ind w:left="60"/>
              <w:spacing w:after="0"/>
              <w:rPr>
                <w:sz w:val="20"/>
                <w:szCs w:val="20"/>
                <w:color w:val="auto"/>
              </w:rPr>
            </w:pPr>
            <w:r>
              <w:rPr>
                <w:rFonts w:ascii="Arial" w:cs="Arial" w:eastAsia="Arial" w:hAnsi="Arial"/>
                <w:sz w:val="18"/>
                <w:szCs w:val="18"/>
                <w:color w:val="auto"/>
                <w:w w:val="87"/>
              </w:rPr>
              <w:t>September 1, 2027</w:t>
            </w:r>
          </w:p>
        </w:tc>
        <w:tc>
          <w:tcPr>
            <w:tcW w:w="2620" w:type="dxa"/>
            <w:vAlign w:val="bottom"/>
            <w:gridSpan w:val="2"/>
          </w:tcPr>
          <w:p>
            <w:pPr>
              <w:ind w:left="2300"/>
              <w:spacing w:after="0"/>
              <w:rPr>
                <w:sz w:val="20"/>
                <w:szCs w:val="20"/>
                <w:color w:val="auto"/>
              </w:rPr>
            </w:pPr>
            <w:r>
              <w:rPr>
                <w:rFonts w:ascii="Arial" w:cs="Arial" w:eastAsia="Arial" w:hAnsi="Arial"/>
                <w:sz w:val="18"/>
                <w:szCs w:val="18"/>
                <w:color w:val="auto"/>
                <w:w w:val="85"/>
              </w:rPr>
              <w:t>2.87</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2018</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1, 2028</w:t>
            </w:r>
          </w:p>
        </w:tc>
        <w:tc>
          <w:tcPr>
            <w:tcW w:w="86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85"/>
              </w:rPr>
              <w:t>3.53</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40" w:type="dxa"/>
            <w:vAlign w:val="bottom"/>
            <w:gridSpan w:val="2"/>
          </w:tcPr>
          <w:p>
            <w:pPr>
              <w:ind w:left="1440"/>
              <w:spacing w:after="0"/>
              <w:rPr>
                <w:sz w:val="20"/>
                <w:szCs w:val="20"/>
                <w:color w:val="auto"/>
              </w:rPr>
            </w:pPr>
            <w:r>
              <w:rPr>
                <w:rFonts w:ascii="Arial" w:cs="Arial" w:eastAsia="Arial" w:hAnsi="Arial"/>
                <w:sz w:val="18"/>
                <w:szCs w:val="18"/>
                <w:color w:val="auto"/>
              </w:rPr>
              <w:t>3.15%</w:t>
            </w: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860" w:type="dxa"/>
            <w:vAlign w:val="bottom"/>
          </w:tcPr>
          <w:p>
            <w:pPr>
              <w:spacing w:after="0"/>
              <w:rPr>
                <w:sz w:val="24"/>
                <w:szCs w:val="24"/>
                <w:color w:val="auto"/>
              </w:rPr>
            </w:pPr>
          </w:p>
        </w:tc>
        <w:tc>
          <w:tcPr>
            <w:tcW w:w="2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Fixed All-in Coupon Rate</w:t>
            </w:r>
          </w:p>
        </w:tc>
        <w:tc>
          <w:tcPr>
            <w:tcW w:w="2040" w:type="dxa"/>
            <w:vAlign w:val="bottom"/>
            <w:gridSpan w:val="4"/>
          </w:tcPr>
          <w:p>
            <w:pPr>
              <w:ind w:left="420"/>
              <w:spacing w:after="0"/>
              <w:rPr>
                <w:sz w:val="20"/>
                <w:szCs w:val="20"/>
                <w:color w:val="auto"/>
              </w:rPr>
            </w:pPr>
            <w:r>
              <w:rPr>
                <w:rFonts w:ascii="Arial" w:cs="Arial" w:eastAsia="Arial" w:hAnsi="Arial"/>
                <w:sz w:val="14"/>
                <w:szCs w:val="14"/>
                <w:b w:val="1"/>
                <w:bCs w:val="1"/>
                <w:color w:val="auto"/>
                <w:w w:val="94"/>
              </w:rPr>
              <w:t>As of September 30, 2017</w:t>
            </w:r>
          </w:p>
        </w:tc>
        <w:tc>
          <w:tcPr>
            <w:tcW w:w="0" w:type="dxa"/>
            <w:vAlign w:val="bottom"/>
          </w:tcPr>
          <w:p>
            <w:pPr>
              <w:spacing w:after="0"/>
              <w:rPr>
                <w:sz w:val="1"/>
                <w:szCs w:val="1"/>
                <w:color w:val="auto"/>
              </w:rPr>
            </w:pPr>
          </w:p>
        </w:tc>
      </w:tr>
      <w:tr>
        <w:trPr>
          <w:trHeight w:val="149"/>
        </w:trPr>
        <w:tc>
          <w:tcPr>
            <w:tcW w:w="4380" w:type="dxa"/>
            <w:vAlign w:val="bottom"/>
            <w:gridSpan w:val="3"/>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2620" w:type="dxa"/>
            <w:vAlign w:val="bottom"/>
            <w:gridSpan w:val="2"/>
          </w:tcPr>
          <w:p>
            <w:pPr>
              <w:jc w:val="center"/>
              <w:ind w:left="776"/>
              <w:spacing w:after="0"/>
              <w:rPr>
                <w:sz w:val="20"/>
                <w:szCs w:val="20"/>
                <w:color w:val="auto"/>
              </w:rPr>
            </w:pPr>
            <w:r>
              <w:rPr>
                <w:rFonts w:ascii="Arial" w:cs="Arial" w:eastAsia="Arial" w:hAnsi="Arial"/>
                <w:sz w:val="12"/>
                <w:szCs w:val="12"/>
                <w:b w:val="1"/>
                <w:bCs w:val="1"/>
                <w:color w:val="auto"/>
              </w:rPr>
              <w:t>(1)</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29, 2011</w:t>
            </w:r>
          </w:p>
        </w:tc>
        <w:tc>
          <w:tcPr>
            <w:tcW w:w="1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March 1, 2021</w:t>
            </w:r>
          </w:p>
        </w:tc>
        <w:tc>
          <w:tcPr>
            <w:tcW w:w="86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1440"/>
              <w:spacing w:after="0" w:line="203" w:lineRule="exact"/>
              <w:rPr>
                <w:sz w:val="20"/>
                <w:szCs w:val="20"/>
                <w:color w:val="auto"/>
              </w:rPr>
            </w:pPr>
            <w:r>
              <w:rPr>
                <w:rFonts w:ascii="Arial" w:cs="Arial" w:eastAsia="Arial" w:hAnsi="Arial"/>
                <w:sz w:val="18"/>
                <w:szCs w:val="18"/>
                <w:color w:val="auto"/>
              </w:rPr>
              <w:t>4.37%</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September 21, 2011</w:t>
            </w:r>
          </w:p>
        </w:tc>
        <w:tc>
          <w:tcPr>
            <w:tcW w:w="1420" w:type="dxa"/>
            <w:vAlign w:val="bottom"/>
          </w:tcPr>
          <w:p>
            <w:pPr>
              <w:ind w:left="60"/>
              <w:spacing w:after="0"/>
              <w:rPr>
                <w:sz w:val="20"/>
                <w:szCs w:val="20"/>
                <w:color w:val="auto"/>
              </w:rPr>
            </w:pPr>
            <w:r>
              <w:rPr>
                <w:rFonts w:ascii="Arial" w:cs="Arial" w:eastAsia="Arial" w:hAnsi="Arial"/>
                <w:sz w:val="18"/>
                <w:szCs w:val="18"/>
                <w:color w:val="auto"/>
                <w:w w:val="87"/>
              </w:rPr>
              <w:t>September 1, 2021</w:t>
            </w:r>
          </w:p>
        </w:tc>
        <w:tc>
          <w:tcPr>
            <w:tcW w:w="2620" w:type="dxa"/>
            <w:vAlign w:val="bottom"/>
            <w:gridSpan w:val="2"/>
          </w:tcPr>
          <w:p>
            <w:pPr>
              <w:ind w:left="2300"/>
              <w:spacing w:after="0"/>
              <w:rPr>
                <w:sz w:val="20"/>
                <w:szCs w:val="20"/>
                <w:color w:val="auto"/>
              </w:rPr>
            </w:pPr>
            <w:r>
              <w:rPr>
                <w:rFonts w:ascii="Arial" w:cs="Arial" w:eastAsia="Arial" w:hAnsi="Arial"/>
                <w:sz w:val="18"/>
                <w:szCs w:val="18"/>
                <w:color w:val="auto"/>
                <w:w w:val="85"/>
              </w:rPr>
              <w:t>3.38</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23, 2016</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1, 2026</w:t>
            </w:r>
          </w:p>
        </w:tc>
        <w:tc>
          <w:tcPr>
            <w:tcW w:w="26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85"/>
              </w:rPr>
              <w:t>2.86</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September 21, 2016</w:t>
            </w:r>
          </w:p>
        </w:tc>
        <w:tc>
          <w:tcPr>
            <w:tcW w:w="1420" w:type="dxa"/>
            <w:vAlign w:val="bottom"/>
          </w:tcPr>
          <w:p>
            <w:pPr>
              <w:ind w:left="60"/>
              <w:spacing w:after="0"/>
              <w:rPr>
                <w:sz w:val="20"/>
                <w:szCs w:val="20"/>
                <w:color w:val="auto"/>
              </w:rPr>
            </w:pPr>
            <w:r>
              <w:rPr>
                <w:rFonts w:ascii="Arial" w:cs="Arial" w:eastAsia="Arial" w:hAnsi="Arial"/>
                <w:sz w:val="18"/>
                <w:szCs w:val="18"/>
                <w:color w:val="auto"/>
                <w:w w:val="87"/>
              </w:rPr>
              <w:t>September 1, 2026</w:t>
            </w:r>
          </w:p>
        </w:tc>
        <w:tc>
          <w:tcPr>
            <w:tcW w:w="2620" w:type="dxa"/>
            <w:vAlign w:val="bottom"/>
            <w:gridSpan w:val="2"/>
          </w:tcPr>
          <w:p>
            <w:pPr>
              <w:ind w:left="2300"/>
              <w:spacing w:after="0"/>
              <w:rPr>
                <w:sz w:val="20"/>
                <w:szCs w:val="20"/>
                <w:color w:val="auto"/>
              </w:rPr>
            </w:pPr>
            <w:r>
              <w:rPr>
                <w:rFonts w:ascii="Arial" w:cs="Arial" w:eastAsia="Arial" w:hAnsi="Arial"/>
                <w:sz w:val="18"/>
                <w:szCs w:val="18"/>
                <w:color w:val="auto"/>
                <w:w w:val="85"/>
              </w:rPr>
              <w:t>2.41</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September 1, 2027</w:t>
            </w:r>
          </w:p>
        </w:tc>
        <w:tc>
          <w:tcPr>
            <w:tcW w:w="86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85"/>
              </w:rPr>
              <w:t>2.87</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40" w:type="dxa"/>
            <w:vAlign w:val="bottom"/>
            <w:gridSpan w:val="2"/>
          </w:tcPr>
          <w:p>
            <w:pPr>
              <w:ind w:left="1440"/>
              <w:spacing w:after="0"/>
              <w:rPr>
                <w:sz w:val="20"/>
                <w:szCs w:val="20"/>
                <w:color w:val="auto"/>
              </w:rPr>
            </w:pPr>
            <w:r>
              <w:rPr>
                <w:rFonts w:ascii="Arial" w:cs="Arial" w:eastAsia="Arial" w:hAnsi="Arial"/>
                <w:sz w:val="18"/>
                <w:szCs w:val="18"/>
                <w:color w:val="auto"/>
              </w:rPr>
              <w:t>3.19%</w:t>
            </w: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199,000,000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hanging="316"/>
        <w:spacing w:after="0"/>
        <w:tabs>
          <w:tab w:leader="none" w:pos="520" w:val="left"/>
        </w:tabs>
        <w:numPr>
          <w:ilvl w:val="0"/>
          <w:numId w:val="105"/>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Notes</w:t>
      </w:r>
    </w:p>
    <w:p>
      <w:pPr>
        <w:spacing w:after="0" w:line="117"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As of September 30, 2018 and 2017,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June 29, 2017, the 6.25% notes due 2025, or 2025 Notes, were redeemed in full and no amounts were outstanding as of September 30, 2018 or 2017. Interest on the 2025 Notes was paid quarterly on February 1, May 1, August 1 and November 1, at a rate of 6.25% per year.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September 30, 2018 and 2017, we had $60.6 million and $21.6 million, respectively, in commitments to fund investments. For the same periods, there were no letters of credit issued.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UNCONSOLIDATED SIGNIFICANT SUBSIDIARIES</w:t>
      </w:r>
    </w:p>
    <w:p>
      <w:pPr>
        <w:spacing w:after="0" w:line="121" w:lineRule="exact"/>
        <w:rPr>
          <w:sz w:val="20"/>
          <w:szCs w:val="20"/>
          <w:color w:val="auto"/>
        </w:rPr>
      </w:pPr>
    </w:p>
    <w:p>
      <w:pPr>
        <w:ind w:left="200" w:right="320" w:firstLine="441"/>
        <w:spacing w:after="0" w:line="273" w:lineRule="auto"/>
        <w:rPr>
          <w:sz w:val="20"/>
          <w:szCs w:val="20"/>
          <w:color w:val="auto"/>
        </w:rPr>
      </w:pPr>
      <w:r>
        <w:rPr>
          <w:rFonts w:ascii="Arial" w:cs="Arial" w:eastAsia="Arial" w:hAnsi="Arial"/>
          <w:sz w:val="17"/>
          <w:szCs w:val="17"/>
          <w:color w:val="auto"/>
        </w:rPr>
        <w:t>We must determine which, if any, of our unconsolidated controlled portfolio companies is a “significant subsidiary” within the meaning of Regulation S-X. Superior Digital Displays, LLC became a controlled affiliated investment as of December 31, 2013. We have determined that, as of September 30, 2018, Superior Digital Displays, LLC triggered at least one of the significance tests by 20%. As a result and in accordance with Rule 4-08(g) of Regulation S-K, presented below is summarized unaudited financial information for Superior Digital Displays, LLC as of September 30, 2018 and 2017 as well as for the year ended September 30, 2018, 2017 and 2016. In accordance with rule 3-09(b)(1), the separate audited financial statements of Superior Digital Displays, LLC are being filed herewith, as Exhibit 99.2.</w:t>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352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6"/>
          </w:tcPr>
          <w:p>
            <w:pPr>
              <w:spacing w:after="0"/>
              <w:rPr>
                <w:sz w:val="20"/>
                <w:szCs w:val="20"/>
                <w:color w:val="auto"/>
              </w:rPr>
            </w:pPr>
            <w:r>
              <w:rPr>
                <w:rFonts w:ascii="Arial" w:cs="Arial" w:eastAsia="Arial" w:hAnsi="Arial"/>
                <w:sz w:val="14"/>
                <w:szCs w:val="14"/>
                <w:b w:val="1"/>
                <w:bCs w:val="1"/>
                <w:color w:val="auto"/>
              </w:rPr>
              <w:t>September 30, 2018</w:t>
            </w: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5"/>
              </w:rPr>
              <w:t>Current assets</w:t>
            </w:r>
          </w:p>
        </w:tc>
        <w:tc>
          <w:tcPr>
            <w:tcW w:w="2480" w:type="dxa"/>
            <w:vAlign w:val="bottom"/>
            <w:tcBorders>
              <w:top w:val="single" w:sz="8" w:color="CCEEFF"/>
            </w:tcBorders>
            <w:gridSpan w:val="2"/>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1,033.7</w:t>
            </w: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712.0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6,663.1</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11,744.4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1,206.7</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3360" w:type="dxa"/>
            <w:vAlign w:val="bottom"/>
            <w:gridSpan w:val="6"/>
          </w:tcPr>
          <w:p>
            <w:pPr>
              <w:jc w:val="right"/>
              <w:ind w:right="60"/>
              <w:spacing w:after="0"/>
              <w:rPr>
                <w:sz w:val="20"/>
                <w:szCs w:val="20"/>
                <w:color w:val="auto"/>
              </w:rPr>
            </w:pPr>
            <w:r>
              <w:rPr>
                <w:rFonts w:ascii="Arial" w:cs="Arial" w:eastAsia="Arial" w:hAnsi="Arial"/>
                <w:sz w:val="18"/>
                <w:szCs w:val="18"/>
                <w:color w:val="auto"/>
              </w:rPr>
              <w:t>23,065.9</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28,755.0</w:t>
            </w:r>
          </w:p>
        </w:tc>
        <w:tc>
          <w:tcPr>
            <w:tcW w:w="0" w:type="dxa"/>
            <w:vAlign w:val="bottom"/>
          </w:tcPr>
          <w:p>
            <w:pPr>
              <w:spacing w:after="0"/>
              <w:rPr>
                <w:sz w:val="1"/>
                <w:szCs w:val="1"/>
                <w:color w:val="auto"/>
              </w:rPr>
            </w:pPr>
          </w:p>
        </w:tc>
      </w:tr>
      <w:tr>
        <w:trPr>
          <w:trHeight w:val="377"/>
        </w:trPr>
        <w:tc>
          <w:tcPr>
            <w:tcW w:w="3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225"/>
              <w:spacing w:after="0"/>
              <w:rPr>
                <w:sz w:val="20"/>
                <w:szCs w:val="20"/>
                <w:color w:val="auto"/>
              </w:rPr>
            </w:pPr>
            <w:r>
              <w:rPr>
                <w:rFonts w:ascii="Arial" w:cs="Arial" w:eastAsia="Arial" w:hAnsi="Arial"/>
                <w:sz w:val="14"/>
                <w:szCs w:val="14"/>
                <w:b w:val="1"/>
                <w:bCs w:val="1"/>
                <w:color w:val="auto"/>
              </w:rPr>
              <w:t>Years Ended September 30,</w:t>
            </w: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20" w:type="dxa"/>
            <w:vAlign w:val="bottom"/>
            <w:gridSpan w:val="4"/>
            <w:vMerge w:val="continue"/>
          </w:tcPr>
          <w:p>
            <w:pPr>
              <w:spacing w:after="0"/>
              <w:rPr>
                <w:sz w:val="12"/>
                <w:szCs w:val="12"/>
                <w:color w:val="auto"/>
              </w:rPr>
            </w:pPr>
          </w:p>
        </w:tc>
        <w:tc>
          <w:tcPr>
            <w:tcW w:w="1960" w:type="dxa"/>
            <w:vAlign w:val="bottom"/>
          </w:tcPr>
          <w:p>
            <w:pPr>
              <w:spacing w:after="0"/>
              <w:rPr>
                <w:sz w:val="12"/>
                <w:szCs w:val="12"/>
                <w:color w:val="auto"/>
              </w:rPr>
            </w:pPr>
          </w:p>
        </w:tc>
        <w:tc>
          <w:tcPr>
            <w:tcW w:w="720" w:type="dxa"/>
            <w:vAlign w:val="bottom"/>
            <w:gridSpan w:val="2"/>
          </w:tcPr>
          <w:p>
            <w:pPr>
              <w:jc w:val="right"/>
              <w:ind w:right="139"/>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400" w:type="dxa"/>
            <w:vAlign w:val="bottom"/>
            <w:gridSpan w:val="3"/>
          </w:tcPr>
          <w:p>
            <w:pPr>
              <w:jc w:val="right"/>
              <w:ind w:right="170"/>
              <w:spacing w:after="0" w:line="129"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revenue</w:t>
            </w:r>
          </w:p>
        </w:tc>
        <w:tc>
          <w:tcPr>
            <w:tcW w:w="22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$ 1,985.7</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gridSpan w:val="2"/>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1,180.7</w:t>
            </w: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507.8</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196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11,240.4</w:t>
            </w:r>
          </w:p>
        </w:tc>
        <w:tc>
          <w:tcPr>
            <w:tcW w:w="1720" w:type="dxa"/>
            <w:vAlign w:val="bottom"/>
            <w:gridSpan w:val="4"/>
          </w:tcPr>
          <w:p>
            <w:pPr>
              <w:jc w:val="right"/>
              <w:ind w:right="320"/>
              <w:spacing w:after="0"/>
              <w:rPr>
                <w:sz w:val="20"/>
                <w:szCs w:val="20"/>
                <w:color w:val="auto"/>
              </w:rPr>
            </w:pPr>
            <w:r>
              <w:rPr>
                <w:rFonts w:ascii="Arial" w:cs="Arial" w:eastAsia="Arial" w:hAnsi="Arial"/>
                <w:sz w:val="18"/>
                <w:szCs w:val="18"/>
                <w:color w:val="auto"/>
              </w:rPr>
              <w:t>13,666.6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13,265.2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9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(9,254.7)</w:t>
            </w:r>
          </w:p>
        </w:tc>
        <w:tc>
          <w:tcPr>
            <w:tcW w:w="17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(12,485.9)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(12,757.4)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hanging="316"/>
        <w:spacing w:after="0"/>
        <w:tabs>
          <w:tab w:leader="none" w:pos="520" w:val="left"/>
        </w:tabs>
        <w:numPr>
          <w:ilvl w:val="0"/>
          <w:numId w:val="106"/>
        </w:numPr>
        <w:rPr>
          <w:rFonts w:ascii="Arial" w:cs="Arial" w:eastAsia="Arial" w:hAnsi="Arial"/>
          <w:sz w:val="12"/>
          <w:szCs w:val="12"/>
          <w:color w:val="auto"/>
        </w:rPr>
      </w:pPr>
      <w:r>
        <w:rPr>
          <w:rFonts w:ascii="Arial" w:cs="Arial" w:eastAsia="Arial" w:hAnsi="Arial"/>
          <w:sz w:val="14"/>
          <w:szCs w:val="14"/>
          <w:color w:val="auto"/>
        </w:rPr>
        <w:t>All amounts are in thousands and unaudited.</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00"/>
          </w:cols>
          <w:pgMar w:left="240" w:top="460"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STOCK REPURCHASE PROGRAM</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years ended September 30, 2018, 2017 and 2016, we repurchased 2.0 million, zero and 1.9 million shares of common stock in open market transactions for an aggregate cost (including transaction costs) of $15.0 million, zero and $12.2 million, respectively.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November 13, 2018, our board of directors authorized the Company to redeem $250.0 million outstanding aggregate principal amount of its</w:t>
      </w:r>
    </w:p>
    <w:p>
      <w:pPr>
        <w:spacing w:after="0" w:line="46" w:lineRule="exact"/>
        <w:rPr>
          <w:sz w:val="20"/>
          <w:szCs w:val="20"/>
          <w:color w:val="auto"/>
        </w:rPr>
      </w:pPr>
    </w:p>
    <w:p>
      <w:pPr>
        <w:ind w:left="200" w:right="500"/>
        <w:spacing w:after="0" w:line="261" w:lineRule="auto"/>
        <w:rPr>
          <w:sz w:val="20"/>
          <w:szCs w:val="20"/>
          <w:color w:val="auto"/>
        </w:rPr>
      </w:pPr>
      <w:r>
        <w:rPr>
          <w:rFonts w:ascii="Arial" w:cs="Arial" w:eastAsia="Arial" w:hAnsi="Arial"/>
          <w:sz w:val="18"/>
          <w:szCs w:val="18"/>
          <w:color w:val="auto"/>
        </w:rPr>
        <w:t>2019 Notes with a rate of 4.50% per year due October 1, 2019. The 2019 Notes will be prepaid at 100% of the principal amount, plus accrued and unpaid interest through the prepayment date, as well as a make-whole premium.</w:t>
      </w:r>
    </w:p>
    <w:p>
      <w:pPr>
        <w:spacing w:after="0" w:line="184"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On November 13, 2018, our board of directors approved the application of the modified asset coverage requirements set forth in Section 61(a)(2) of the 1940 Act, as amended by the Consolidated Appropriations Act of 2018 (which includes the SBCAA).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November 13, 2018, our board of directors approved the reduction of the asset coverage requirement following the Company’s analysis of how the increased leverage flexibility could affect the Company’s strategic priorities and positive long-term value creation for shareholders, as well as an assessment of the associated risks and how they can be managed or mitigated. Our board of directors also approved an amendment to the Investment Advisory Agreement reducing the Investment Advisor’s annual base management fee from 1.50% to 1.00% on gross assets that exceed 200% of the Company’s total net assets as of the immediately preceding quarter-end.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1240" w:hanging="871"/>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6"/>
          <w:szCs w:val="16"/>
          <w:color w:val="auto"/>
        </w:rPr>
        <w:t>The Index to Consolidated Financial Statements on page F-1 of this Registration Statement is hereby incorporated by reference.</w:t>
      </w:r>
    </w:p>
    <w:p>
      <w:pPr>
        <w:spacing w:after="0" w:line="208" w:lineRule="exact"/>
        <w:rPr>
          <w:sz w:val="20"/>
          <w:szCs w:val="20"/>
          <w:color w:val="auto"/>
        </w:rPr>
      </w:pPr>
    </w:p>
    <w:p>
      <w:pPr>
        <w:ind w:left="1240" w:hanging="871"/>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1240" w:right="520" w:hanging="880"/>
        <w:spacing w:after="0" w:line="332" w:lineRule="auto"/>
        <w:tabs>
          <w:tab w:leader="none" w:pos="12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Articles of Amendment and Restatement of the Registrant (Incorporated by reference to Exhibit 99(a) to the Registrant’s Pre-Effective Amendment No. 3 to the Registration Statement on Form N-2/A (File No. 333-140092), filed on April 5, 2007).</w:t>
      </w:r>
    </w:p>
    <w:p>
      <w:pPr>
        <w:spacing w:after="0" w:line="98" w:lineRule="exact"/>
        <w:rPr>
          <w:rFonts w:ascii="Arial" w:cs="Arial" w:eastAsia="Arial" w:hAnsi="Arial"/>
          <w:sz w:val="16"/>
          <w:szCs w:val="16"/>
          <w:color w:val="auto"/>
        </w:rPr>
      </w:pPr>
    </w:p>
    <w:p>
      <w:pPr>
        <w:ind w:left="1240" w:right="260" w:hanging="885"/>
        <w:spacing w:after="0" w:line="268" w:lineRule="auto"/>
        <w:tabs>
          <w:tab w:leader="none" w:pos="12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3.1 to the Registrant’s Current Report on Form 8-K (File No. 814-00736), filed on December 2, 2015).</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w:t>
            </w:r>
          </w:p>
        </w:tc>
        <w:tc>
          <w:tcPr>
            <w:tcW w:w="10280" w:type="dxa"/>
            <w:vAlign w:val="bottom"/>
          </w:tcPr>
          <w:p>
            <w:pPr>
              <w:ind w:left="300"/>
              <w:spacing w:after="0"/>
              <w:rPr>
                <w:sz w:val="20"/>
                <w:szCs w:val="20"/>
                <w:color w:val="auto"/>
              </w:rPr>
            </w:pPr>
            <w:r>
              <w:rPr>
                <w:rFonts w:ascii="Arial" w:cs="Arial" w:eastAsia="Arial" w:hAnsi="Arial"/>
                <w:sz w:val="18"/>
                <w:szCs w:val="18"/>
                <w:color w:val="auto"/>
                <w:w w:val="91"/>
              </w:rPr>
              <w:t>Form of Share Certificate (Incorporated by reference to Exhibit 99.(d)(1) to the Registrant’s Registration Statement on Form N-2 (File No.</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333-150033), filed on April 2, 2008).</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(d)(2)</w:t>
            </w:r>
          </w:p>
        </w:tc>
        <w:tc>
          <w:tcPr>
            <w:tcW w:w="10280" w:type="dxa"/>
            <w:vAlign w:val="bottom"/>
          </w:tcPr>
          <w:p>
            <w:pPr>
              <w:ind w:left="300"/>
              <w:spacing w:after="0"/>
              <w:rPr>
                <w:sz w:val="20"/>
                <w:szCs w:val="20"/>
                <w:color w:val="auto"/>
              </w:rPr>
            </w:pPr>
            <w:r>
              <w:rPr>
                <w:rFonts w:ascii="Arial" w:cs="Arial" w:eastAsia="Arial" w:hAnsi="Arial"/>
                <w:sz w:val="18"/>
                <w:szCs w:val="18"/>
                <w:color w:val="auto"/>
                <w:w w:val="96"/>
              </w:rPr>
              <w:t>Form of Subscription Certificate (Incorporated by reference to Exhibit 99.(d)(2) to the Registrant’s Pre-Effective Amendment to the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Registration Statement on Form N-2/A (File No. 333-150033), filed on May 30, 2008).</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(d)(3)</w:t>
            </w:r>
          </w:p>
        </w:tc>
        <w:tc>
          <w:tcPr>
            <w:tcW w:w="10280" w:type="dxa"/>
            <w:vAlign w:val="bottom"/>
          </w:tcPr>
          <w:p>
            <w:pPr>
              <w:ind w:left="300"/>
              <w:spacing w:after="0"/>
              <w:rPr>
                <w:sz w:val="20"/>
                <w:szCs w:val="20"/>
                <w:color w:val="auto"/>
              </w:rPr>
            </w:pPr>
            <w:r>
              <w:rPr>
                <w:rFonts w:ascii="Arial" w:cs="Arial" w:eastAsia="Arial" w:hAnsi="Arial"/>
                <w:sz w:val="18"/>
                <w:szCs w:val="18"/>
                <w:color w:val="auto"/>
                <w:w w:val="91"/>
              </w:rPr>
              <w:t>Form of Subscription Agent Agreement (Incorporated by reference to Exhibit 99.(d)(4) to the Registrant’s Pre-Effective Amendment to the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Registration Statement on Form N-2/A (File No. 333-150033), filed on May 30, 2008).</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(d)(4)</w:t>
            </w:r>
          </w:p>
        </w:tc>
        <w:tc>
          <w:tcPr>
            <w:tcW w:w="10280" w:type="dxa"/>
            <w:vAlign w:val="bottom"/>
          </w:tcPr>
          <w:p>
            <w:pPr>
              <w:ind w:left="300"/>
              <w:spacing w:after="0"/>
              <w:rPr>
                <w:sz w:val="20"/>
                <w:szCs w:val="20"/>
                <w:color w:val="auto"/>
              </w:rPr>
            </w:pPr>
            <w:r>
              <w:rPr>
                <w:rFonts w:ascii="Arial" w:cs="Arial" w:eastAsia="Arial" w:hAnsi="Arial"/>
                <w:sz w:val="18"/>
                <w:szCs w:val="18"/>
                <w:color w:val="auto"/>
                <w:w w:val="90"/>
              </w:rPr>
              <w:t>Form of Warrant Agreement (Incorporated by reference to Exhibit 99.(d)(5) to the Registrant’s Pre-Effective Amendment to the Registration</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Statement on Form N-2/A (File No. 333-150033), filed on May 30, 2008).</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(d)(5)</w:t>
            </w:r>
          </w:p>
        </w:tc>
        <w:tc>
          <w:tcPr>
            <w:tcW w:w="10280" w:type="dxa"/>
            <w:vAlign w:val="bottom"/>
          </w:tcPr>
          <w:p>
            <w:pPr>
              <w:ind w:left="300"/>
              <w:spacing w:after="0"/>
              <w:rPr>
                <w:sz w:val="20"/>
                <w:szCs w:val="20"/>
                <w:color w:val="auto"/>
              </w:rPr>
            </w:pPr>
            <w:r>
              <w:rPr>
                <w:rFonts w:ascii="Arial" w:cs="Arial" w:eastAsia="Arial" w:hAnsi="Arial"/>
                <w:sz w:val="18"/>
                <w:szCs w:val="18"/>
                <w:color w:val="auto"/>
                <w:w w:val="90"/>
              </w:rPr>
              <w:t>Form T-1 Statement of Eligibility with respect to the Form of Indenture (Incorporated by reference to Exhibit 2(d)(6) to the Registrant’s Pre-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Effective Amendment to the Registration Statement on Form N-2/A (File No. 333-172524), filed August 22, 2011).</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(d)(6)</w:t>
            </w:r>
          </w:p>
        </w:tc>
        <w:tc>
          <w:tcPr>
            <w:tcW w:w="10280" w:type="dxa"/>
            <w:vAlign w:val="bottom"/>
          </w:tcPr>
          <w:p>
            <w:pPr>
              <w:ind w:left="300"/>
              <w:spacing w:after="0"/>
              <w:rPr>
                <w:sz w:val="20"/>
                <w:szCs w:val="20"/>
                <w:color w:val="auto"/>
              </w:rPr>
            </w:pPr>
            <w:r>
              <w:rPr>
                <w:rFonts w:ascii="Arial" w:cs="Arial" w:eastAsia="Arial" w:hAnsi="Arial"/>
                <w:sz w:val="18"/>
                <w:szCs w:val="18"/>
                <w:color w:val="auto"/>
                <w:w w:val="97"/>
              </w:rPr>
              <w:t>Form of Articles Supplementary (Incorporated by reference to Exhibit 2(d)(7) to the Registrant’s Pre-Effective Amendment to the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Registration Statement on Form N-2/A (File No. 333-172524), filed August 22, 2011).</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(d)(7)</w:t>
            </w:r>
          </w:p>
        </w:tc>
        <w:tc>
          <w:tcPr>
            <w:tcW w:w="10280" w:type="dxa"/>
            <w:vAlign w:val="bottom"/>
          </w:tcPr>
          <w:p>
            <w:pPr>
              <w:ind w:left="300"/>
              <w:spacing w:after="0"/>
              <w:rPr>
                <w:sz w:val="20"/>
                <w:szCs w:val="20"/>
                <w:color w:val="auto"/>
              </w:rPr>
            </w:pPr>
            <w:r>
              <w:rPr>
                <w:rFonts w:ascii="Arial" w:cs="Arial" w:eastAsia="Arial" w:hAnsi="Arial"/>
                <w:sz w:val="18"/>
                <w:szCs w:val="18"/>
                <w:color w:val="auto"/>
                <w:w w:val="91"/>
              </w:rPr>
              <w:t>Base Indenture, dated as of January 22, 2013, relating to the 6.25% Senior Notes due 2025, between the Registrant and American Stock</w:t>
            </w:r>
          </w:p>
        </w:tc>
      </w:tr>
      <w:tr>
        <w:trPr>
          <w:trHeight w:val="216"/>
        </w:trPr>
        <w:tc>
          <w:tcPr>
            <w:tcW w:w="74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w w:val="89"/>
              </w:rPr>
              <w:t>Transfer &amp; Trust Company, LLC, as trustee (Incorporated by reference to Exhibit 99.(d)(8) to the Registrant’s Post-Effective Amendment No.</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4 to the Registration Statement on Form N-2/A (File No. 333-172524), filed on January 22, 2013).</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(d)(8)</w:t>
            </w:r>
          </w:p>
        </w:tc>
        <w:tc>
          <w:tcPr>
            <w:tcW w:w="10280" w:type="dxa"/>
            <w:vAlign w:val="bottom"/>
          </w:tcPr>
          <w:p>
            <w:pPr>
              <w:ind w:left="300"/>
              <w:spacing w:after="0"/>
              <w:rPr>
                <w:sz w:val="20"/>
                <w:szCs w:val="20"/>
                <w:color w:val="auto"/>
              </w:rPr>
            </w:pPr>
            <w:r>
              <w:rPr>
                <w:rFonts w:ascii="Arial" w:cs="Arial" w:eastAsia="Arial" w:hAnsi="Arial"/>
                <w:sz w:val="18"/>
                <w:szCs w:val="18"/>
                <w:color w:val="auto"/>
                <w:w w:val="93"/>
              </w:rPr>
              <w:t>First Supplemental Indenture, dated as of January 22, 2013, relating to the 6.25% Senior Notes due 2025, between the Registrant and</w:t>
            </w:r>
          </w:p>
        </w:tc>
      </w:tr>
      <w:tr>
        <w:trPr>
          <w:trHeight w:val="216"/>
        </w:trPr>
        <w:tc>
          <w:tcPr>
            <w:tcW w:w="74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w w:val="89"/>
              </w:rPr>
              <w:t>American Stock Transfer &amp; Trust Company, LLC, as trustee (Incorporated by reference to Exhibit 99.(d)(9) to the Registrant’s Post-Effective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Amendment No. 4 to the Registration Statement on Form N-2/A (File No. 333-172524), filed on January 22, 2013).</w:t>
            </w:r>
          </w:p>
        </w:tc>
      </w:tr>
      <w:tr>
        <w:trPr>
          <w:trHeight w:val="392"/>
        </w:trPr>
        <w:tc>
          <w:tcPr>
            <w:tcW w:w="740" w:type="dxa"/>
            <w:vAlign w:val="bottom"/>
          </w:tcPr>
          <w:p>
            <w:pPr>
              <w:spacing w:after="0"/>
              <w:rPr>
                <w:sz w:val="20"/>
                <w:szCs w:val="20"/>
                <w:color w:val="auto"/>
              </w:rPr>
            </w:pPr>
            <w:r>
              <w:rPr>
                <w:rFonts w:ascii="Arial" w:cs="Arial" w:eastAsia="Arial" w:hAnsi="Arial"/>
                <w:sz w:val="18"/>
                <w:szCs w:val="18"/>
                <w:color w:val="auto"/>
              </w:rPr>
              <w:t>(d)(9)</w:t>
            </w:r>
          </w:p>
        </w:tc>
        <w:tc>
          <w:tcPr>
            <w:tcW w:w="10280" w:type="dxa"/>
            <w:vAlign w:val="bottom"/>
          </w:tcPr>
          <w:p>
            <w:pPr>
              <w:ind w:left="300"/>
              <w:spacing w:after="0"/>
              <w:rPr>
                <w:sz w:val="20"/>
                <w:szCs w:val="20"/>
                <w:color w:val="auto"/>
              </w:rPr>
            </w:pPr>
            <w:r>
              <w:rPr>
                <w:rFonts w:ascii="Arial" w:cs="Arial" w:eastAsia="Arial" w:hAnsi="Arial"/>
                <w:sz w:val="18"/>
                <w:szCs w:val="18"/>
                <w:color w:val="auto"/>
              </w:rPr>
              <w:t>Form of 6.25% Senior Notes due 2025 (included as part of Exhibit (d)(8)).</w:t>
            </w:r>
          </w:p>
        </w:tc>
      </w:tr>
      <w:tr>
        <w:trPr>
          <w:trHeight w:val="365"/>
        </w:trPr>
        <w:tc>
          <w:tcPr>
            <w:tcW w:w="740" w:type="dxa"/>
            <w:vAlign w:val="bottom"/>
          </w:tcPr>
          <w:p>
            <w:pPr>
              <w:spacing w:after="0"/>
              <w:rPr>
                <w:sz w:val="24"/>
                <w:szCs w:val="24"/>
                <w:color w:val="auto"/>
              </w:rPr>
            </w:pPr>
          </w:p>
        </w:tc>
        <w:tc>
          <w:tcPr>
            <w:tcW w:w="10280" w:type="dxa"/>
            <w:vAlign w:val="bottom"/>
          </w:tcPr>
          <w:p>
            <w:pPr>
              <w:ind w:left="4640"/>
              <w:spacing w:after="0"/>
              <w:rPr>
                <w:sz w:val="20"/>
                <w:szCs w:val="20"/>
                <w:color w:val="auto"/>
              </w:rPr>
            </w:pPr>
            <w:r>
              <w:rPr>
                <w:rFonts w:ascii="Arial" w:cs="Arial" w:eastAsia="Arial" w:hAnsi="Arial"/>
                <w:sz w:val="18"/>
                <w:szCs w:val="18"/>
                <w:color w:val="auto"/>
              </w:rPr>
              <w:t>C-1</w:t>
            </w:r>
          </w:p>
        </w:tc>
      </w:tr>
    </w:tbl>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1220" w:right="20" w:hanging="1019"/>
        <w:spacing w:after="0" w:line="259" w:lineRule="auto"/>
        <w:tabs>
          <w:tab w:leader="none" w:pos="1200" w:val="left"/>
        </w:tabs>
        <w:rPr>
          <w:sz w:val="20"/>
          <w:szCs w:val="20"/>
          <w:color w:val="auto"/>
        </w:rPr>
      </w:pPr>
      <w:r>
        <w:rPr>
          <w:rFonts w:ascii="Arial" w:cs="Arial" w:eastAsia="Arial" w:hAnsi="Arial"/>
          <w:sz w:val="18"/>
          <w:szCs w:val="18"/>
          <w:color w:val="auto"/>
        </w:rPr>
        <w:t>(d)(10)</w:t>
      </w:r>
      <w:r>
        <w:rPr>
          <w:sz w:val="20"/>
          <w:szCs w:val="20"/>
          <w:color w:val="auto"/>
        </w:rPr>
        <w:tab/>
      </w:r>
      <w:r>
        <w:rPr>
          <w:rFonts w:ascii="Arial" w:cs="Arial" w:eastAsia="Arial" w:hAnsi="Arial"/>
          <w:sz w:val="18"/>
          <w:szCs w:val="18"/>
          <w:color w:val="auto"/>
        </w:rPr>
        <w:t>Second Supplemental Indenture, dated as of September 23, 2014, relating to the 4.50% Notes due 2019, between the Registrant and American Stock Transfer &amp; Trust Company, LLC, as trustee (Incorporated by reference to Exhibit 99 (d)(11) to the Registrant’s Post-Effective Amendment No. 2 to Form N-2 (File No. 333-192782), filed on September 23, 2014.</w:t>
      </w:r>
    </w:p>
    <w:p>
      <w:pPr>
        <w:spacing w:after="0" w:line="154" w:lineRule="exact"/>
        <w:rPr>
          <w:sz w:val="20"/>
          <w:szCs w:val="20"/>
          <w:color w:val="auto"/>
        </w:rPr>
      </w:pPr>
    </w:p>
    <w:p>
      <w:pPr>
        <w:ind w:left="200"/>
        <w:spacing w:after="0"/>
        <w:tabs>
          <w:tab w:leader="none" w:pos="1200" w:val="left"/>
        </w:tabs>
        <w:rPr>
          <w:sz w:val="20"/>
          <w:szCs w:val="20"/>
          <w:color w:val="auto"/>
        </w:rPr>
      </w:pPr>
      <w:r>
        <w:rPr>
          <w:rFonts w:ascii="Arial" w:cs="Arial" w:eastAsia="Arial" w:hAnsi="Arial"/>
          <w:sz w:val="18"/>
          <w:szCs w:val="18"/>
          <w:color w:val="auto"/>
        </w:rPr>
        <w:t>(d)(11)</w:t>
      </w:r>
      <w:r>
        <w:rPr>
          <w:sz w:val="20"/>
          <w:szCs w:val="20"/>
          <w:color w:val="auto"/>
        </w:rPr>
        <w:tab/>
      </w:r>
      <w:r>
        <w:rPr>
          <w:rFonts w:ascii="Arial" w:cs="Arial" w:eastAsia="Arial" w:hAnsi="Arial"/>
          <w:sz w:val="18"/>
          <w:szCs w:val="18"/>
          <w:color w:val="auto"/>
        </w:rPr>
        <w:t>Form of 4.50% Senior Notes due 2019 (included as part of Exhibit d(10)).</w:t>
      </w:r>
    </w:p>
    <w:p>
      <w:pPr>
        <w:spacing w:after="0" w:line="185" w:lineRule="exact"/>
        <w:rPr>
          <w:sz w:val="20"/>
          <w:szCs w:val="20"/>
          <w:color w:val="auto"/>
        </w:rPr>
      </w:pPr>
    </w:p>
    <w:p>
      <w:pPr>
        <w:ind w:left="1220" w:right="240" w:hanging="820"/>
        <w:spacing w:after="0" w:line="268" w:lineRule="auto"/>
        <w:tabs>
          <w:tab w:leader="none" w:pos="1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5"/>
              </w:rPr>
              <w:t>(g)(1)</w:t>
            </w:r>
          </w:p>
        </w:tc>
        <w:tc>
          <w:tcPr>
            <w:tcW w:w="10260" w:type="dxa"/>
            <w:vAlign w:val="bottom"/>
          </w:tcPr>
          <w:p>
            <w:pPr>
              <w:ind w:left="260"/>
              <w:spacing w:after="0"/>
              <w:rPr>
                <w:sz w:val="20"/>
                <w:szCs w:val="20"/>
                <w:color w:val="auto"/>
              </w:rPr>
            </w:pPr>
            <w:r>
              <w:rPr>
                <w:rFonts w:ascii="Arial" w:cs="Arial" w:eastAsia="Arial" w:hAnsi="Arial"/>
                <w:sz w:val="18"/>
                <w:szCs w:val="18"/>
                <w:color w:val="auto"/>
                <w:w w:val="90"/>
              </w:rPr>
              <w:t>First Amended and Restated Investment Advisory Management Agreement between the Registrant and PennantPark Investment Advisers,</w:t>
            </w:r>
          </w:p>
        </w:tc>
      </w:tr>
      <w:tr>
        <w:trPr>
          <w:trHeight w:val="222"/>
        </w:trPr>
        <w:tc>
          <w:tcPr>
            <w:tcW w:w="7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5"/>
              </w:rPr>
              <w:t>LLC (Incorporated by reference to the Registrant’s Quarterly Report on Form 10-Q (File No. 814-00736), filed on February 3, 2016).</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(g)(2)</w:t>
            </w:r>
          </w:p>
        </w:tc>
        <w:tc>
          <w:tcPr>
            <w:tcW w:w="10260" w:type="dxa"/>
            <w:vAlign w:val="bottom"/>
          </w:tcPr>
          <w:p>
            <w:pPr>
              <w:ind w:left="260"/>
              <w:spacing w:after="0"/>
              <w:rPr>
                <w:sz w:val="20"/>
                <w:szCs w:val="20"/>
                <w:color w:val="auto"/>
              </w:rPr>
            </w:pPr>
            <w:r>
              <w:rPr>
                <w:rFonts w:ascii="Arial" w:cs="Arial" w:eastAsia="Arial" w:hAnsi="Arial"/>
                <w:sz w:val="18"/>
                <w:szCs w:val="18"/>
                <w:color w:val="auto"/>
                <w:w w:val="91"/>
              </w:rPr>
              <w:t>Second Amended and Restated Investment Advisory Management Agreement, dated as of February 6, 2018, between the Registrant and</w:t>
            </w:r>
          </w:p>
        </w:tc>
      </w:tr>
      <w:tr>
        <w:trPr>
          <w:trHeight w:val="216"/>
        </w:trPr>
        <w:tc>
          <w:tcPr>
            <w:tcW w:w="7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1"/>
              </w:rPr>
              <w:t>PennantPark Investment Advisers, LLC (Incorporated by reference to Exhibit 10.1 to the Registrant’s Quarterly Report on Form 10-Q (File</w:t>
            </w:r>
          </w:p>
        </w:tc>
      </w:tr>
      <w:tr>
        <w:trPr>
          <w:trHeight w:val="222"/>
        </w:trPr>
        <w:tc>
          <w:tcPr>
            <w:tcW w:w="7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No. 814-00736), filed on February 7, 2018).</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(g)(3)*</w:t>
            </w:r>
          </w:p>
        </w:tc>
        <w:tc>
          <w:tcPr>
            <w:tcW w:w="10260" w:type="dxa"/>
            <w:vAlign w:val="bottom"/>
          </w:tcPr>
          <w:p>
            <w:pPr>
              <w:ind w:left="260"/>
              <w:spacing w:after="0"/>
              <w:rPr>
                <w:sz w:val="20"/>
                <w:szCs w:val="20"/>
                <w:color w:val="auto"/>
              </w:rPr>
            </w:pPr>
            <w:r>
              <w:rPr>
                <w:rFonts w:ascii="Arial" w:cs="Arial" w:eastAsia="Arial" w:hAnsi="Arial"/>
                <w:sz w:val="18"/>
                <w:szCs w:val="18"/>
                <w:color w:val="auto"/>
                <w:w w:val="94"/>
              </w:rPr>
              <w:t>Third Amended and Restated Investment Advisory Management Agreement, dated as of April 12, 2019, between the Registrant and</w:t>
            </w:r>
          </w:p>
        </w:tc>
      </w:tr>
      <w:tr>
        <w:trPr>
          <w:trHeight w:val="222"/>
        </w:trPr>
        <w:tc>
          <w:tcPr>
            <w:tcW w:w="7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PennantPark Investment Advisers, LLC.</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5"/>
              </w:rPr>
              <w:t>(h)(1)</w:t>
            </w:r>
          </w:p>
        </w:tc>
        <w:tc>
          <w:tcPr>
            <w:tcW w:w="10260" w:type="dxa"/>
            <w:vAlign w:val="bottom"/>
          </w:tcPr>
          <w:p>
            <w:pPr>
              <w:ind w:left="260"/>
              <w:spacing w:after="0"/>
              <w:rPr>
                <w:sz w:val="20"/>
                <w:szCs w:val="20"/>
                <w:color w:val="auto"/>
              </w:rPr>
            </w:pPr>
            <w:r>
              <w:rPr>
                <w:rFonts w:ascii="Arial" w:cs="Arial" w:eastAsia="Arial" w:hAnsi="Arial"/>
                <w:sz w:val="18"/>
                <w:szCs w:val="18"/>
                <w:color w:val="auto"/>
                <w:w w:val="92"/>
              </w:rPr>
              <w:t>Form of Underwriting Agreement for equity (Incorporated by reference to Exhibit 99.(H)(1) to the Registrant’s Post-Effective Amendment</w:t>
            </w:r>
          </w:p>
        </w:tc>
      </w:tr>
      <w:tr>
        <w:trPr>
          <w:trHeight w:val="222"/>
        </w:trPr>
        <w:tc>
          <w:tcPr>
            <w:tcW w:w="7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No. 4 to the Registration Statement on Form N-2/A (File No. 333-150033), filed on February 22, 2010).</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5"/>
              </w:rPr>
              <w:t>(h)(2)</w:t>
            </w:r>
          </w:p>
        </w:tc>
        <w:tc>
          <w:tcPr>
            <w:tcW w:w="10260" w:type="dxa"/>
            <w:vAlign w:val="bottom"/>
          </w:tcPr>
          <w:p>
            <w:pPr>
              <w:ind w:left="260"/>
              <w:spacing w:after="0"/>
              <w:rPr>
                <w:sz w:val="20"/>
                <w:szCs w:val="20"/>
                <w:color w:val="auto"/>
              </w:rPr>
            </w:pPr>
            <w:r>
              <w:rPr>
                <w:rFonts w:ascii="Arial" w:cs="Arial" w:eastAsia="Arial" w:hAnsi="Arial"/>
                <w:sz w:val="18"/>
                <w:szCs w:val="18"/>
                <w:color w:val="auto"/>
                <w:w w:val="89"/>
              </w:rPr>
              <w:t>Form of Underwriting Agreement for debt (Incorporated by reference to Exhibit 99.(H)(2) to the Registrant’s Pre-Effective Amendment to the</w:t>
            </w:r>
          </w:p>
        </w:tc>
      </w:tr>
      <w:tr>
        <w:trPr>
          <w:trHeight w:val="222"/>
        </w:trPr>
        <w:tc>
          <w:tcPr>
            <w:tcW w:w="7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Registration Statement on Form N-2/A (File No. 333-150033), filed on May 30, 2008).</w:t>
            </w:r>
          </w:p>
        </w:tc>
      </w:tr>
    </w:tbl>
    <w:p>
      <w:pPr>
        <w:spacing w:after="0" w:line="169" w:lineRule="exact"/>
        <w:rPr>
          <w:sz w:val="20"/>
          <w:szCs w:val="20"/>
          <w:color w:val="auto"/>
        </w:rPr>
      </w:pPr>
    </w:p>
    <w:p>
      <w:pPr>
        <w:ind w:left="1220" w:right="300" w:hanging="849"/>
        <w:spacing w:after="0" w:line="268" w:lineRule="auto"/>
        <w:tabs>
          <w:tab w:leader="none" w:pos="1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145" w:lineRule="exact"/>
        <w:rPr>
          <w:sz w:val="20"/>
          <w:szCs w:val="20"/>
          <w:color w:val="auto"/>
        </w:rPr>
      </w:pPr>
    </w:p>
    <w:p>
      <w:pPr>
        <w:ind w:left="1220" w:right="220" w:hanging="979"/>
        <w:spacing w:after="0" w:line="332" w:lineRule="auto"/>
        <w:tabs>
          <w:tab w:leader="none" w:pos="1200" w:val="left"/>
        </w:tabs>
        <w:rPr>
          <w:sz w:val="20"/>
          <w:szCs w:val="20"/>
          <w:color w:val="auto"/>
        </w:rPr>
      </w:pPr>
      <w:r>
        <w:rPr>
          <w:rFonts w:ascii="Arial" w:cs="Arial" w:eastAsia="Arial" w:hAnsi="Arial"/>
          <w:sz w:val="16"/>
          <w:szCs w:val="16"/>
          <w:color w:val="auto"/>
        </w:rPr>
        <w:t>(k)(1)</w:t>
      </w:r>
      <w:r>
        <w:rPr>
          <w:sz w:val="20"/>
          <w:szCs w:val="20"/>
          <w:color w:val="auto"/>
        </w:rPr>
        <w:tab/>
      </w:r>
      <w:r>
        <w:rPr>
          <w:rFonts w:ascii="Arial" w:cs="Arial" w:eastAsia="Arial" w:hAnsi="Arial"/>
          <w:sz w:val="16"/>
          <w:szCs w:val="16"/>
          <w:color w:val="auto"/>
        </w:rPr>
        <w:t>Administration Agreement between the Registrant and PennantPark Investment Administration, LLC (Incorporated by reference to Exhibit 99.(K)(1) to the Registrant’s Registration Statement on Form N-2 (File No. 333-150033), filed on April 2, 2008).</w:t>
      </w:r>
    </w:p>
    <w:p>
      <w:pPr>
        <w:spacing w:after="0" w:line="99" w:lineRule="exact"/>
        <w:rPr>
          <w:sz w:val="20"/>
          <w:szCs w:val="20"/>
          <w:color w:val="auto"/>
        </w:rPr>
      </w:pPr>
    </w:p>
    <w:p>
      <w:pPr>
        <w:ind w:left="1220" w:right="260" w:hanging="979"/>
        <w:spacing w:after="0" w:line="332" w:lineRule="auto"/>
        <w:tabs>
          <w:tab w:leader="none" w:pos="1200" w:val="left"/>
        </w:tabs>
        <w:rPr>
          <w:sz w:val="20"/>
          <w:szCs w:val="20"/>
          <w:color w:val="auto"/>
        </w:rPr>
      </w:pPr>
      <w:r>
        <w:rPr>
          <w:rFonts w:ascii="Arial" w:cs="Arial" w:eastAsia="Arial" w:hAnsi="Arial"/>
          <w:sz w:val="16"/>
          <w:szCs w:val="16"/>
          <w:color w:val="auto"/>
        </w:rPr>
        <w:t>(k)(2)</w:t>
      </w:r>
      <w:r>
        <w:rPr>
          <w:sz w:val="20"/>
          <w:szCs w:val="20"/>
          <w:color w:val="auto"/>
        </w:rPr>
        <w:tab/>
      </w:r>
      <w:r>
        <w:rPr>
          <w:rFonts w:ascii="Arial" w:cs="Arial" w:eastAsia="Arial" w:hAnsi="Arial"/>
          <w:sz w:val="16"/>
          <w:szCs w:val="16"/>
          <w:color w:val="auto"/>
        </w:rPr>
        <w:t>Stock Transfer Agency Agreement between the Registrant and American Stock Transfer and Trust Company (Incorporated by reference to Exhibit 99.(K)(2) to the Registrant’s Registration Statement on Form N-2 (File No. 333-150033), filed on April 2, 2008).</w:t>
      </w:r>
    </w:p>
    <w:p>
      <w:pPr>
        <w:spacing w:after="0" w:line="99" w:lineRule="exact"/>
        <w:rPr>
          <w:sz w:val="20"/>
          <w:szCs w:val="20"/>
          <w:color w:val="auto"/>
        </w:rPr>
      </w:pPr>
    </w:p>
    <w:p>
      <w:pPr>
        <w:ind w:left="1220" w:right="160" w:hanging="979"/>
        <w:spacing w:after="0" w:line="268" w:lineRule="auto"/>
        <w:tabs>
          <w:tab w:leader="none" w:pos="120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Trademark License Agreement (Incorporated by reference to Exhibit 99.(K)(3) to the Registrant’s Registration Statement on Form N-2 (File No. 333-150033), filed on April 2, 2008).</w:t>
      </w:r>
    </w:p>
    <w:p>
      <w:pPr>
        <w:spacing w:after="0" w:line="145" w:lineRule="exact"/>
        <w:rPr>
          <w:sz w:val="20"/>
          <w:szCs w:val="20"/>
          <w:color w:val="auto"/>
        </w:rPr>
      </w:pPr>
    </w:p>
    <w:p>
      <w:pPr>
        <w:ind w:left="1220" w:right="60" w:hanging="979"/>
        <w:spacing w:after="0" w:line="306" w:lineRule="auto"/>
        <w:tabs>
          <w:tab w:leader="none" w:pos="120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Second Amended and Restated Senior Secured Revolving Credit Agreement, dated as of June 25, 2014, among PennantPark Investment Corporation, the lenders party hereto, SunTrust Bank, as administrative agent for the lenders (Incorporated by reference to Exhibit 99.2 to the Registrant’s Current Report on Form 8-K (File No. 814-00736), filed on June 30, 2014).</w:t>
      </w:r>
    </w:p>
    <w:p>
      <w:pPr>
        <w:spacing w:after="0" w:line="134" w:lineRule="exact"/>
        <w:rPr>
          <w:sz w:val="20"/>
          <w:szCs w:val="20"/>
          <w:color w:val="auto"/>
        </w:rPr>
      </w:pPr>
    </w:p>
    <w:p>
      <w:pPr>
        <w:jc w:val="both"/>
        <w:ind w:left="1220" w:right="300" w:hanging="979"/>
        <w:spacing w:after="0" w:line="259" w:lineRule="auto"/>
        <w:tabs>
          <w:tab w:leader="none" w:pos="1200" w:val="left"/>
        </w:tabs>
        <w:rPr>
          <w:sz w:val="20"/>
          <w:szCs w:val="20"/>
          <w:color w:val="auto"/>
        </w:rPr>
      </w:pPr>
      <w:r>
        <w:rPr>
          <w:rFonts w:ascii="Arial" w:cs="Arial" w:eastAsia="Arial" w:hAnsi="Arial"/>
          <w:sz w:val="18"/>
          <w:szCs w:val="18"/>
          <w:color w:val="auto"/>
        </w:rPr>
        <w:t>(k)(5)</w:t>
      </w:r>
      <w:r>
        <w:rPr>
          <w:sz w:val="20"/>
          <w:szCs w:val="20"/>
          <w:color w:val="auto"/>
        </w:rPr>
        <w:tab/>
      </w:r>
      <w:r>
        <w:rPr>
          <w:rFonts w:ascii="Arial" w:cs="Arial" w:eastAsia="Arial" w:hAnsi="Arial"/>
          <w:sz w:val="18"/>
          <w:szCs w:val="18"/>
          <w:color w:val="auto"/>
        </w:rPr>
        <w:t>Indemnification Agreement, dated as of November 15, 2016, between PennantPark Investment Corporation and each of the directors and officers listed on Schedule A attached thereto (Incorporated by reference to Exhibit 10.5 on the Registrant’s Annual Report on Form 10-K (File No. 814-00891), filed on November 21, 2016).</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204" w:lineRule="exact"/>
        <w:rPr>
          <w:sz w:val="20"/>
          <w:szCs w:val="20"/>
          <w:color w:val="auto"/>
        </w:rPr>
      </w:pPr>
    </w:p>
    <w:p>
      <w:pPr>
        <w:ind w:left="1220" w:hanging="722"/>
        <w:spacing w:after="0"/>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(k)(6)</w:t>
            </w:r>
          </w:p>
        </w:tc>
        <w:tc>
          <w:tcPr>
            <w:tcW w:w="10260" w:type="dxa"/>
            <w:vAlign w:val="bottom"/>
          </w:tcPr>
          <w:p>
            <w:pPr>
              <w:ind w:left="260"/>
              <w:spacing w:after="0"/>
              <w:rPr>
                <w:sz w:val="20"/>
                <w:szCs w:val="20"/>
                <w:color w:val="auto"/>
              </w:rPr>
            </w:pPr>
            <w:r>
              <w:rPr>
                <w:rFonts w:ascii="Arial" w:cs="Arial" w:eastAsia="Arial" w:hAnsi="Arial"/>
                <w:sz w:val="18"/>
                <w:szCs w:val="18"/>
                <w:color w:val="auto"/>
                <w:w w:val="93"/>
              </w:rPr>
              <w:t>First Omnibus Amendment to Second Amended and Restated Senior Secured Revolving Credit Agreement and Second Amended and</w:t>
            </w:r>
          </w:p>
        </w:tc>
      </w:tr>
      <w:tr>
        <w:trPr>
          <w:trHeight w:val="216"/>
        </w:trPr>
        <w:tc>
          <w:tcPr>
            <w:tcW w:w="7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86"/>
              </w:rPr>
              <w:t>Restated Guarantee and Security Agreement, dated as of May 25, 2017, among the Registrant, the lenders party thereto and SunTrust Bank, as</w:t>
            </w:r>
          </w:p>
        </w:tc>
      </w:tr>
      <w:tr>
        <w:trPr>
          <w:trHeight w:val="216"/>
        </w:trPr>
        <w:tc>
          <w:tcPr>
            <w:tcW w:w="7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3"/>
              </w:rPr>
              <w:t>administrative agent for the lenders (Incorporated by reference to Exhibit 10.1 to the Registrant’s Quarterly Report on Form 10-Q (File</w:t>
            </w:r>
          </w:p>
        </w:tc>
      </w:tr>
      <w:tr>
        <w:trPr>
          <w:trHeight w:val="222"/>
        </w:trPr>
        <w:tc>
          <w:tcPr>
            <w:tcW w:w="7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No. 814-00736), filed on August 7, 2017).</w:t>
            </w:r>
          </w:p>
        </w:tc>
      </w:tr>
      <w:tr>
        <w:trPr>
          <w:trHeight w:val="385"/>
        </w:trPr>
        <w:tc>
          <w:tcPr>
            <w:tcW w:w="760" w:type="dxa"/>
            <w:vAlign w:val="bottom"/>
          </w:tcPr>
          <w:p>
            <w:pPr>
              <w:spacing w:after="0"/>
              <w:rPr>
                <w:sz w:val="20"/>
                <w:szCs w:val="20"/>
                <w:color w:val="auto"/>
              </w:rPr>
            </w:pPr>
            <w:r>
              <w:rPr>
                <w:rFonts w:ascii="Arial" w:cs="Arial" w:eastAsia="Arial" w:hAnsi="Arial"/>
                <w:sz w:val="18"/>
                <w:szCs w:val="18"/>
                <w:color w:val="auto"/>
              </w:rPr>
              <w:t>(k)(7)</w:t>
            </w:r>
          </w:p>
        </w:tc>
        <w:tc>
          <w:tcPr>
            <w:tcW w:w="10260" w:type="dxa"/>
            <w:vAlign w:val="bottom"/>
          </w:tcPr>
          <w:p>
            <w:pPr>
              <w:ind w:left="260"/>
              <w:spacing w:after="0"/>
              <w:rPr>
                <w:sz w:val="20"/>
                <w:szCs w:val="20"/>
                <w:color w:val="auto"/>
              </w:rPr>
            </w:pPr>
            <w:r>
              <w:rPr>
                <w:rFonts w:ascii="Arial" w:cs="Arial" w:eastAsia="Arial" w:hAnsi="Arial"/>
                <w:sz w:val="18"/>
                <w:szCs w:val="18"/>
                <w:color w:val="auto"/>
                <w:w w:val="89"/>
              </w:rPr>
              <w:t>Revolving Credit and Security Agreement by and among PennantPark Investment Funding I, LLC, as borrower, the lenders from time to time</w:t>
            </w:r>
          </w:p>
        </w:tc>
      </w:tr>
      <w:tr>
        <w:trPr>
          <w:trHeight w:val="216"/>
        </w:trPr>
        <w:tc>
          <w:tcPr>
            <w:tcW w:w="7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3"/>
              </w:rPr>
              <w:t>parties thereto, BNP Paribas, as administrative agent, PennantPark Investment Corporation, as equityholder, PennantPark Investment</w:t>
            </w:r>
          </w:p>
        </w:tc>
      </w:tr>
      <w:tr>
        <w:trPr>
          <w:trHeight w:val="216"/>
        </w:trPr>
        <w:tc>
          <w:tcPr>
            <w:tcW w:w="7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5"/>
              </w:rPr>
              <w:t>Advisers, LLC, as servicer, and The Bank of New York Mellon Trust Company, National Association, as collateral agent, dated as of</w:t>
            </w:r>
          </w:p>
        </w:tc>
      </w:tr>
      <w:tr>
        <w:trPr>
          <w:trHeight w:val="216"/>
        </w:trPr>
        <w:tc>
          <w:tcPr>
            <w:tcW w:w="7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0"/>
              </w:rPr>
              <w:t>February 22, 2019 (Incorporated by reference to Exhibit 10.1 to the Registrant’s Current Report on Form 8-K (File No. 814-00736), filed on</w:t>
            </w:r>
          </w:p>
        </w:tc>
      </w:tr>
      <w:tr>
        <w:trPr>
          <w:trHeight w:val="222"/>
        </w:trPr>
        <w:tc>
          <w:tcPr>
            <w:tcW w:w="7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February 26, 2019).</w:t>
            </w:r>
          </w:p>
        </w:tc>
      </w:tr>
      <w:tr>
        <w:trPr>
          <w:trHeight w:val="385"/>
        </w:trPr>
        <w:tc>
          <w:tcPr>
            <w:tcW w:w="760" w:type="dxa"/>
            <w:vAlign w:val="bottom"/>
          </w:tcPr>
          <w:p>
            <w:pPr>
              <w:spacing w:after="0"/>
              <w:rPr>
                <w:sz w:val="20"/>
                <w:szCs w:val="20"/>
                <w:color w:val="auto"/>
              </w:rPr>
            </w:pPr>
            <w:r>
              <w:rPr>
                <w:rFonts w:ascii="Arial" w:cs="Arial" w:eastAsia="Arial" w:hAnsi="Arial"/>
                <w:sz w:val="18"/>
                <w:szCs w:val="18"/>
                <w:color w:val="auto"/>
              </w:rPr>
              <w:t>(k)(8)</w:t>
            </w:r>
          </w:p>
        </w:tc>
        <w:tc>
          <w:tcPr>
            <w:tcW w:w="10260" w:type="dxa"/>
            <w:vAlign w:val="bottom"/>
          </w:tcPr>
          <w:p>
            <w:pPr>
              <w:ind w:left="260"/>
              <w:spacing w:after="0"/>
              <w:rPr>
                <w:sz w:val="20"/>
                <w:szCs w:val="20"/>
                <w:color w:val="auto"/>
              </w:rPr>
            </w:pPr>
            <w:r>
              <w:rPr>
                <w:rFonts w:ascii="Arial" w:cs="Arial" w:eastAsia="Arial" w:hAnsi="Arial"/>
                <w:sz w:val="18"/>
                <w:szCs w:val="18"/>
                <w:color w:val="auto"/>
                <w:w w:val="94"/>
              </w:rPr>
              <w:t>Account Control Agreement by and among PennantPark Investment Funding I, LLC, as pledgor, The Bank of New York Mellon Trust</w:t>
            </w:r>
          </w:p>
        </w:tc>
      </w:tr>
      <w:tr>
        <w:trPr>
          <w:trHeight w:val="216"/>
        </w:trPr>
        <w:tc>
          <w:tcPr>
            <w:tcW w:w="7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0"/>
              </w:rPr>
              <w:t>Company, National Association, as secured party, PennantPark Investment Advisers, LLC, as servicer, and The Bank of New York Mellon</w:t>
            </w:r>
          </w:p>
        </w:tc>
      </w:tr>
      <w:tr>
        <w:trPr>
          <w:trHeight w:val="216"/>
        </w:trPr>
        <w:tc>
          <w:tcPr>
            <w:tcW w:w="7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89"/>
              </w:rPr>
              <w:t>Trust Company, National Association, as securities intermediary, dated as of February 22, 2019 (Incorporated by reference to Exhibit 10.2 to</w:t>
            </w:r>
          </w:p>
        </w:tc>
      </w:tr>
      <w:tr>
        <w:trPr>
          <w:trHeight w:val="222"/>
        </w:trPr>
        <w:tc>
          <w:tcPr>
            <w:tcW w:w="7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the Registrant’s Current Report on Form 8-K (File No. 814-00736), filed on February 26, 2019).</w:t>
            </w:r>
          </w:p>
        </w:tc>
      </w:tr>
      <w:tr>
        <w:trPr>
          <w:trHeight w:val="385"/>
        </w:trPr>
        <w:tc>
          <w:tcPr>
            <w:tcW w:w="760" w:type="dxa"/>
            <w:vAlign w:val="bottom"/>
          </w:tcPr>
          <w:p>
            <w:pPr>
              <w:spacing w:after="0"/>
              <w:rPr>
                <w:sz w:val="20"/>
                <w:szCs w:val="20"/>
                <w:color w:val="auto"/>
              </w:rPr>
            </w:pPr>
            <w:r>
              <w:rPr>
                <w:rFonts w:ascii="Arial" w:cs="Arial" w:eastAsia="Arial" w:hAnsi="Arial"/>
                <w:sz w:val="18"/>
                <w:szCs w:val="18"/>
                <w:color w:val="auto"/>
              </w:rPr>
              <w:t>(k)(9)</w:t>
            </w:r>
          </w:p>
        </w:tc>
        <w:tc>
          <w:tcPr>
            <w:tcW w:w="10260" w:type="dxa"/>
            <w:vAlign w:val="bottom"/>
          </w:tcPr>
          <w:p>
            <w:pPr>
              <w:ind w:left="260"/>
              <w:spacing w:after="0"/>
              <w:rPr>
                <w:sz w:val="20"/>
                <w:szCs w:val="20"/>
                <w:color w:val="auto"/>
              </w:rPr>
            </w:pPr>
            <w:r>
              <w:rPr>
                <w:rFonts w:ascii="Arial" w:cs="Arial" w:eastAsia="Arial" w:hAnsi="Arial"/>
                <w:sz w:val="18"/>
                <w:szCs w:val="18"/>
                <w:color w:val="auto"/>
                <w:w w:val="93"/>
              </w:rPr>
              <w:t>Custodian Agreement by and among PennantPark Investment Funding I, LLC, The Bank of New York Mellon Trust Company, National</w:t>
            </w:r>
          </w:p>
        </w:tc>
      </w:tr>
      <w:tr>
        <w:trPr>
          <w:trHeight w:val="216"/>
        </w:trPr>
        <w:tc>
          <w:tcPr>
            <w:tcW w:w="7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89"/>
              </w:rPr>
              <w:t>Association, as custodian, and The Bank of New York Mellon Trust Company, National Association, as collateral agent, dated as of February</w:t>
            </w:r>
          </w:p>
        </w:tc>
      </w:tr>
      <w:tr>
        <w:trPr>
          <w:trHeight w:val="216"/>
        </w:trPr>
        <w:tc>
          <w:tcPr>
            <w:tcW w:w="7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0"/>
              </w:rPr>
              <w:t>22, 2019 (Incorporated by reference to Exhibit 10.3 to the Registrant’s Current Report on Form 8-K (File No. 814-00736), filed on February</w:t>
            </w:r>
          </w:p>
        </w:tc>
      </w:tr>
      <w:tr>
        <w:trPr>
          <w:trHeight w:val="222"/>
        </w:trPr>
        <w:tc>
          <w:tcPr>
            <w:tcW w:w="7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26, 2019).</w:t>
            </w:r>
          </w:p>
        </w:tc>
      </w:tr>
      <w:tr>
        <w:trPr>
          <w:trHeight w:val="385"/>
        </w:trPr>
        <w:tc>
          <w:tcPr>
            <w:tcW w:w="760" w:type="dxa"/>
            <w:vAlign w:val="bottom"/>
          </w:tcPr>
          <w:p>
            <w:pPr>
              <w:spacing w:after="0"/>
              <w:rPr>
                <w:sz w:val="20"/>
                <w:szCs w:val="20"/>
                <w:color w:val="auto"/>
              </w:rPr>
            </w:pPr>
            <w:r>
              <w:rPr>
                <w:rFonts w:ascii="Arial" w:cs="Arial" w:eastAsia="Arial" w:hAnsi="Arial"/>
                <w:sz w:val="18"/>
                <w:szCs w:val="18"/>
                <w:color w:val="auto"/>
              </w:rPr>
              <w:t>(k)(10)</w:t>
            </w:r>
          </w:p>
        </w:tc>
        <w:tc>
          <w:tcPr>
            <w:tcW w:w="10260" w:type="dxa"/>
            <w:vAlign w:val="bottom"/>
          </w:tcPr>
          <w:p>
            <w:pPr>
              <w:ind w:left="260"/>
              <w:spacing w:after="0"/>
              <w:rPr>
                <w:sz w:val="20"/>
                <w:szCs w:val="20"/>
                <w:color w:val="auto"/>
              </w:rPr>
            </w:pPr>
            <w:r>
              <w:rPr>
                <w:rFonts w:ascii="Arial" w:cs="Arial" w:eastAsia="Arial" w:hAnsi="Arial"/>
                <w:sz w:val="18"/>
                <w:szCs w:val="18"/>
                <w:color w:val="auto"/>
                <w:w w:val="91"/>
              </w:rPr>
              <w:t>Purchase and Sale Agreement by and between PennantPark Investment Funding I, LLC, as the purchaser, and PennantPark Investment</w:t>
            </w:r>
          </w:p>
        </w:tc>
      </w:tr>
      <w:tr>
        <w:trPr>
          <w:trHeight w:val="216"/>
        </w:trPr>
        <w:tc>
          <w:tcPr>
            <w:tcW w:w="7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1"/>
              </w:rPr>
              <w:t>Corporation, as the seller, dated as of February 22, 2019 (Incorporated by reference to Exhibit 10.4 to the Registrant’s Current Report on</w:t>
            </w:r>
          </w:p>
        </w:tc>
      </w:tr>
      <w:tr>
        <w:trPr>
          <w:trHeight w:val="222"/>
        </w:trPr>
        <w:tc>
          <w:tcPr>
            <w:tcW w:w="7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Form 8-K (File No. 814-00736), filed on February 26, 2019).</w:t>
            </w:r>
          </w:p>
        </w:tc>
      </w:tr>
      <w:tr>
        <w:trPr>
          <w:trHeight w:val="385"/>
        </w:trPr>
        <w:tc>
          <w:tcPr>
            <w:tcW w:w="760" w:type="dxa"/>
            <w:vAlign w:val="bottom"/>
          </w:tcPr>
          <w:p>
            <w:pPr>
              <w:ind w:left="60"/>
              <w:spacing w:after="0"/>
              <w:rPr>
                <w:sz w:val="20"/>
                <w:szCs w:val="20"/>
                <w:color w:val="auto"/>
              </w:rPr>
            </w:pPr>
            <w:r>
              <w:rPr>
                <w:rFonts w:ascii="Arial" w:cs="Arial" w:eastAsia="Arial" w:hAnsi="Arial"/>
                <w:sz w:val="18"/>
                <w:szCs w:val="18"/>
                <w:color w:val="auto"/>
              </w:rPr>
              <w:t>(l)(1)</w:t>
            </w:r>
          </w:p>
        </w:tc>
        <w:tc>
          <w:tcPr>
            <w:tcW w:w="10260" w:type="dxa"/>
            <w:vAlign w:val="bottom"/>
          </w:tcPr>
          <w:p>
            <w:pPr>
              <w:ind w:left="260"/>
              <w:spacing w:after="0"/>
              <w:rPr>
                <w:sz w:val="20"/>
                <w:szCs w:val="20"/>
                <w:color w:val="auto"/>
              </w:rPr>
            </w:pPr>
            <w:r>
              <w:rPr>
                <w:rFonts w:ascii="Arial" w:cs="Arial" w:eastAsia="Arial" w:hAnsi="Arial"/>
                <w:sz w:val="18"/>
                <w:szCs w:val="18"/>
                <w:color w:val="auto"/>
                <w:w w:val="90"/>
              </w:rPr>
              <w:t>Opinion and Consent of Venable LLP. (Incorporated by reference to Exhibit (l)(1) to the Registration Statement on Form N-2 (File No. 333-</w:t>
            </w:r>
          </w:p>
        </w:tc>
      </w:tr>
      <w:tr>
        <w:trPr>
          <w:trHeight w:val="222"/>
        </w:trPr>
        <w:tc>
          <w:tcPr>
            <w:tcW w:w="7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230014), filed on March 1, 2019).</w:t>
            </w:r>
          </w:p>
        </w:tc>
      </w:tr>
      <w:tr>
        <w:trPr>
          <w:trHeight w:val="385"/>
        </w:trPr>
        <w:tc>
          <w:tcPr>
            <w:tcW w:w="760" w:type="dxa"/>
            <w:vAlign w:val="bottom"/>
          </w:tcPr>
          <w:p>
            <w:pPr>
              <w:ind w:left="60"/>
              <w:spacing w:after="0"/>
              <w:rPr>
                <w:sz w:val="20"/>
                <w:szCs w:val="20"/>
                <w:color w:val="auto"/>
              </w:rPr>
            </w:pPr>
            <w:r>
              <w:rPr>
                <w:rFonts w:ascii="Arial" w:cs="Arial" w:eastAsia="Arial" w:hAnsi="Arial"/>
                <w:sz w:val="18"/>
                <w:szCs w:val="18"/>
                <w:color w:val="auto"/>
              </w:rPr>
              <w:t>(l)(2)</w:t>
            </w:r>
          </w:p>
        </w:tc>
        <w:tc>
          <w:tcPr>
            <w:tcW w:w="10260" w:type="dxa"/>
            <w:vAlign w:val="bottom"/>
          </w:tcPr>
          <w:p>
            <w:pPr>
              <w:ind w:left="260"/>
              <w:spacing w:after="0"/>
              <w:rPr>
                <w:sz w:val="20"/>
                <w:szCs w:val="20"/>
                <w:color w:val="auto"/>
              </w:rPr>
            </w:pPr>
            <w:r>
              <w:rPr>
                <w:rFonts w:ascii="Arial" w:cs="Arial" w:eastAsia="Arial" w:hAnsi="Arial"/>
                <w:sz w:val="18"/>
                <w:szCs w:val="18"/>
                <w:color w:val="auto"/>
                <w:w w:val="91"/>
              </w:rPr>
              <w:t>Opinion and Consent of Dechert LLP. (Incorporated by reference to Exhibit (l)(2) to the Registration Statement on Form N-2 (File No. 333-</w:t>
            </w:r>
          </w:p>
        </w:tc>
      </w:tr>
      <w:tr>
        <w:trPr>
          <w:trHeight w:val="222"/>
        </w:trPr>
        <w:tc>
          <w:tcPr>
            <w:tcW w:w="7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230014), filed on March 1, 2019).</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(n)(1)*</w:t>
            </w:r>
          </w:p>
        </w:tc>
        <w:tc>
          <w:tcPr>
            <w:tcW w:w="10260" w:type="dxa"/>
            <w:vAlign w:val="bottom"/>
          </w:tcPr>
          <w:p>
            <w:pPr>
              <w:ind w:left="260"/>
              <w:spacing w:after="0"/>
              <w:rPr>
                <w:sz w:val="20"/>
                <w:szCs w:val="20"/>
                <w:color w:val="auto"/>
              </w:rPr>
            </w:pPr>
            <w:r>
              <w:rPr>
                <w:rFonts w:ascii="Arial" w:cs="Arial" w:eastAsia="Arial" w:hAnsi="Arial"/>
                <w:sz w:val="18"/>
                <w:szCs w:val="18"/>
                <w:color w:val="auto"/>
              </w:rPr>
              <w:t>Consent of RSM US LLP.</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(n)(2)*</w:t>
            </w:r>
          </w:p>
        </w:tc>
        <w:tc>
          <w:tcPr>
            <w:tcW w:w="10260" w:type="dxa"/>
            <w:vAlign w:val="bottom"/>
          </w:tcPr>
          <w:p>
            <w:pPr>
              <w:ind w:left="260"/>
              <w:spacing w:after="0"/>
              <w:rPr>
                <w:sz w:val="20"/>
                <w:szCs w:val="20"/>
                <w:color w:val="auto"/>
              </w:rPr>
            </w:pPr>
            <w:r>
              <w:rPr>
                <w:rFonts w:ascii="Arial" w:cs="Arial" w:eastAsia="Arial" w:hAnsi="Arial"/>
                <w:sz w:val="18"/>
                <w:szCs w:val="18"/>
                <w:color w:val="auto"/>
              </w:rPr>
              <w:t>Report of RSM US LLP regarding senior securities table contained herein.</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(n)(3)*</w:t>
            </w:r>
          </w:p>
        </w:tc>
        <w:tc>
          <w:tcPr>
            <w:tcW w:w="10260" w:type="dxa"/>
            <w:vAlign w:val="bottom"/>
          </w:tcPr>
          <w:p>
            <w:pPr>
              <w:ind w:left="260"/>
              <w:spacing w:after="0"/>
              <w:rPr>
                <w:sz w:val="20"/>
                <w:szCs w:val="20"/>
                <w:color w:val="auto"/>
              </w:rPr>
            </w:pPr>
            <w:r>
              <w:rPr>
                <w:rFonts w:ascii="Arial" w:cs="Arial" w:eastAsia="Arial" w:hAnsi="Arial"/>
                <w:sz w:val="18"/>
                <w:szCs w:val="18"/>
                <w:color w:val="auto"/>
              </w:rPr>
              <w:t>Awareness Letter of RSM US LLP.</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(n)(4)*</w:t>
            </w:r>
          </w:p>
        </w:tc>
        <w:tc>
          <w:tcPr>
            <w:tcW w:w="10260" w:type="dxa"/>
            <w:vAlign w:val="bottom"/>
          </w:tcPr>
          <w:p>
            <w:pPr>
              <w:ind w:left="260"/>
              <w:spacing w:after="0"/>
              <w:rPr>
                <w:sz w:val="20"/>
                <w:szCs w:val="20"/>
                <w:color w:val="auto"/>
              </w:rPr>
            </w:pPr>
            <w:r>
              <w:rPr>
                <w:rFonts w:ascii="Arial" w:cs="Arial" w:eastAsia="Arial" w:hAnsi="Arial"/>
                <w:sz w:val="18"/>
                <w:szCs w:val="18"/>
                <w:color w:val="auto"/>
              </w:rPr>
              <w:t>Consent of EisnerAmper LLP.</w:t>
            </w:r>
          </w:p>
        </w:tc>
      </w:tr>
    </w:tbl>
    <w:p>
      <w:pPr>
        <w:spacing w:after="0" w:line="169" w:lineRule="exact"/>
        <w:rPr>
          <w:sz w:val="20"/>
          <w:szCs w:val="20"/>
          <w:color w:val="auto"/>
        </w:rPr>
      </w:pPr>
    </w:p>
    <w:p>
      <w:pPr>
        <w:ind w:left="1220" w:right="140" w:hanging="766"/>
        <w:spacing w:after="0" w:line="332" w:lineRule="auto"/>
        <w:tabs>
          <w:tab w:leader="none" w:pos="12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Joint Code of Ethics of the Registrant, PennantPark Floating Rate Capital Ltd. and PennantPark Investment Advisers, LLC (Incorporated by reference to Exhibit 14.1 to the Registrant’s Report on Form 10-K (File No. 814-00736), filed on November 15, 2018).</w:t>
      </w:r>
    </w:p>
    <w:p>
      <w:pPr>
        <w:spacing w:after="0" w:line="99" w:lineRule="exact"/>
        <w:rPr>
          <w:sz w:val="20"/>
          <w:szCs w:val="20"/>
          <w:color w:val="auto"/>
        </w:rPr>
      </w:pPr>
    </w:p>
    <w:p>
      <w:pPr>
        <w:ind w:left="1220" w:right="220" w:hanging="959"/>
        <w:spacing w:after="0" w:line="332" w:lineRule="auto"/>
        <w:tabs>
          <w:tab w:leader="none" w:pos="120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Form of Prospectus Supplement For Common Stock Offerings (Incorporated by reference to Exhibit (s)(1) to the Registrant’s Pre-Effective Amendment to the Registration Statement on Form N-2/A (File No. 333-172524), filed on August 22, 2011).</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204" w:lineRule="exact"/>
        <w:rPr>
          <w:sz w:val="20"/>
          <w:szCs w:val="20"/>
          <w:color w:val="auto"/>
        </w:rPr>
      </w:pPr>
    </w:p>
    <w:p>
      <w:pPr>
        <w:ind w:left="1200" w:hanging="709"/>
        <w:spacing w:after="0"/>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p>
      <w:pPr>
        <w:ind w:left="1200" w:right="140" w:hanging="939"/>
        <w:spacing w:after="0" w:line="332" w:lineRule="auto"/>
        <w:tabs>
          <w:tab w:leader="none" w:pos="1180" w:val="left"/>
        </w:tabs>
        <w:rPr>
          <w:sz w:val="20"/>
          <w:szCs w:val="20"/>
          <w:color w:val="auto"/>
        </w:rPr>
      </w:pPr>
      <w:r>
        <w:rPr>
          <w:rFonts w:ascii="Arial" w:cs="Arial" w:eastAsia="Arial" w:hAnsi="Arial"/>
          <w:sz w:val="16"/>
          <w:szCs w:val="16"/>
          <w:color w:val="auto"/>
        </w:rPr>
        <w:t>(s)(2)</w:t>
      </w:r>
      <w:r>
        <w:rPr>
          <w:sz w:val="20"/>
          <w:szCs w:val="20"/>
          <w:color w:val="auto"/>
        </w:rPr>
        <w:tab/>
      </w:r>
      <w:r>
        <w:rPr>
          <w:rFonts w:ascii="Arial" w:cs="Arial" w:eastAsia="Arial" w:hAnsi="Arial"/>
          <w:sz w:val="16"/>
          <w:szCs w:val="16"/>
          <w:color w:val="auto"/>
        </w:rPr>
        <w:t>Form of Prospectus Supplement For Preferred Stock Offerings (Incorporated by reference to Exhibit (s)(2) to the Registrant’s Pre-Effective Amendment to the Registration Statement on Form N-2/A (File No. 333-172524), filed on August 22, 2011).</w:t>
      </w:r>
    </w:p>
    <w:p>
      <w:pPr>
        <w:spacing w:after="0" w:line="99" w:lineRule="exact"/>
        <w:rPr>
          <w:sz w:val="20"/>
          <w:szCs w:val="20"/>
          <w:color w:val="auto"/>
        </w:rPr>
      </w:pPr>
    </w:p>
    <w:p>
      <w:pPr>
        <w:ind w:left="1200" w:hanging="939"/>
        <w:spacing w:after="0" w:line="268" w:lineRule="auto"/>
        <w:tabs>
          <w:tab w:leader="none" w:pos="118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8"/>
          <w:szCs w:val="18"/>
          <w:color w:val="auto"/>
        </w:rPr>
        <w:t>Form of Prospectus Supplement For Debt Offerings (Incorporated by reference to Exhibit (s)(3) to the Registrant’s Pre-Effective Amendment to the Registration Statement on Form N-2/A (File No. 333-172524), filed on August 22, 2011).</w:t>
      </w:r>
    </w:p>
    <w:p>
      <w:pPr>
        <w:spacing w:after="0" w:line="145" w:lineRule="exact"/>
        <w:rPr>
          <w:sz w:val="20"/>
          <w:szCs w:val="20"/>
          <w:color w:val="auto"/>
        </w:rPr>
      </w:pPr>
    </w:p>
    <w:p>
      <w:pPr>
        <w:ind w:left="1200" w:right="780" w:hanging="939"/>
        <w:spacing w:after="0" w:line="332" w:lineRule="auto"/>
        <w:tabs>
          <w:tab w:leader="none" w:pos="1180" w:val="left"/>
        </w:tabs>
        <w:rPr>
          <w:sz w:val="20"/>
          <w:szCs w:val="20"/>
          <w:color w:val="auto"/>
        </w:rPr>
      </w:pPr>
      <w:r>
        <w:rPr>
          <w:rFonts w:ascii="Arial" w:cs="Arial" w:eastAsia="Arial" w:hAnsi="Arial"/>
          <w:sz w:val="16"/>
          <w:szCs w:val="16"/>
          <w:color w:val="auto"/>
        </w:rPr>
        <w:t>(s)(4)</w:t>
      </w:r>
      <w:r>
        <w:rPr>
          <w:sz w:val="20"/>
          <w:szCs w:val="20"/>
          <w:color w:val="auto"/>
        </w:rPr>
        <w:tab/>
      </w:r>
      <w:r>
        <w:rPr>
          <w:rFonts w:ascii="Arial" w:cs="Arial" w:eastAsia="Arial" w:hAnsi="Arial"/>
          <w:sz w:val="16"/>
          <w:szCs w:val="16"/>
          <w:color w:val="auto"/>
        </w:rPr>
        <w:t>Form of Prospectus Supplement For Rights Offerings (Incorporated by reference to Exhibit (s)(4) to the Registrant’s Pre-Effective Amendment to the Registration Statement on Form N-2/A (File No. 333-172524), filed on August 22, 2011).</w:t>
      </w:r>
    </w:p>
    <w:p>
      <w:pPr>
        <w:spacing w:after="0" w:line="99" w:lineRule="exact"/>
        <w:rPr>
          <w:sz w:val="20"/>
          <w:szCs w:val="20"/>
          <w:color w:val="auto"/>
        </w:rPr>
      </w:pPr>
    </w:p>
    <w:p>
      <w:pPr>
        <w:ind w:left="1200" w:right="680" w:hanging="939"/>
        <w:spacing w:after="0" w:line="332" w:lineRule="auto"/>
        <w:tabs>
          <w:tab w:leader="none" w:pos="1180" w:val="left"/>
        </w:tabs>
        <w:rPr>
          <w:sz w:val="20"/>
          <w:szCs w:val="20"/>
          <w:color w:val="auto"/>
        </w:rPr>
      </w:pPr>
      <w:r>
        <w:rPr>
          <w:rFonts w:ascii="Arial" w:cs="Arial" w:eastAsia="Arial" w:hAnsi="Arial"/>
          <w:sz w:val="16"/>
          <w:szCs w:val="16"/>
          <w:color w:val="auto"/>
        </w:rPr>
        <w:t>(s)(5)</w:t>
      </w:r>
      <w:r>
        <w:rPr>
          <w:sz w:val="20"/>
          <w:szCs w:val="20"/>
          <w:color w:val="auto"/>
        </w:rPr>
        <w:tab/>
      </w:r>
      <w:r>
        <w:rPr>
          <w:rFonts w:ascii="Arial" w:cs="Arial" w:eastAsia="Arial" w:hAnsi="Arial"/>
          <w:sz w:val="16"/>
          <w:szCs w:val="16"/>
          <w:color w:val="auto"/>
        </w:rPr>
        <w:t>Form of Prospectus Supplement For Warrant Offerings (Incorporated by reference to Exhibit (s)(5) to the Registrant’s Pre-Effective Amendment to the Registration Statement on Form N-2/A (File No. 333-172524), filed on August 22, 2011).</w:t>
      </w:r>
    </w:p>
    <w:p>
      <w:pPr>
        <w:spacing w:after="0" w:line="99" w:lineRule="exact"/>
        <w:rPr>
          <w:sz w:val="20"/>
          <w:szCs w:val="20"/>
          <w:color w:val="auto"/>
        </w:rPr>
      </w:pPr>
    </w:p>
    <w:p>
      <w:pPr>
        <w:ind w:left="200"/>
        <w:spacing w:after="0"/>
        <w:tabs>
          <w:tab w:leader="none" w:pos="1180" w:val="left"/>
        </w:tabs>
        <w:rPr>
          <w:sz w:val="20"/>
          <w:szCs w:val="20"/>
          <w:color w:val="auto"/>
        </w:rPr>
      </w:pPr>
      <w:r>
        <w:rPr>
          <w:rFonts w:ascii="Arial" w:cs="Arial" w:eastAsia="Arial" w:hAnsi="Arial"/>
          <w:sz w:val="16"/>
          <w:szCs w:val="16"/>
          <w:color w:val="auto"/>
        </w:rPr>
        <w:t>(s)(6)*</w:t>
      </w:r>
      <w:r>
        <w:rPr>
          <w:sz w:val="20"/>
          <w:szCs w:val="20"/>
          <w:color w:val="auto"/>
        </w:rPr>
        <w:tab/>
      </w:r>
      <w:r>
        <w:rPr>
          <w:rFonts w:ascii="Arial" w:cs="Arial" w:eastAsia="Arial" w:hAnsi="Arial"/>
          <w:sz w:val="16"/>
          <w:szCs w:val="16"/>
          <w:color w:val="auto"/>
        </w:rPr>
        <w:t>Audited Financial Statements of Superior Digital Displays Holdings, Inc. and Subsidiaries as of and for the year ended September 30, 2018.</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Filed herewith.</w:t>
      </w:r>
    </w:p>
    <w:p>
      <w:pPr>
        <w:spacing w:after="0" w:line="206"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information contained under the heading “Plan of Distribution” in this Registration Statement is hereby incorporated by reference.</w:t>
      </w:r>
    </w:p>
    <w:p>
      <w:pPr>
        <w:spacing w:after="0" w:line="229"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left="200" w:right="240" w:firstLine="44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140"/>
          </w:cols>
          <w:pgMar w:left="240" w:top="460" w:right="519" w:bottom="1440" w:gutter="0" w:footer="0" w:header="0"/>
        </w:sectPr>
      </w:pPr>
    </w:p>
    <w:p>
      <w:pPr>
        <w:spacing w:after="0" w:line="17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-125730</wp:posOffset>
            </wp:positionV>
            <wp:extent cx="349885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98850" cy="13716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-129540</wp:posOffset>
            </wp:positionV>
            <wp:extent cx="349885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98850" cy="13716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color w:val="auto"/>
        </w:rPr>
        <w:t>Printing (other than certificates)</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-129540</wp:posOffset>
            </wp:positionV>
            <wp:extent cx="349885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98850" cy="13716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-114935</wp:posOffset>
            </wp:positionV>
            <wp:extent cx="349885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98850" cy="137160"/>
                    </a:xfrm>
                    <a:prstGeom prst="rect">
                      <a:avLst/>
                    </a:prstGeom>
                    <a:noFill/>
                  </pic:spPr>
                </pic:pic>
              </a:graphicData>
            </a:graphic>
          </wp:anchor>
        </w:drawing>
      </w:r>
    </w:p>
    <w:p>
      <w:pPr>
        <w:spacing w:after="0" w:line="14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Total</w:t>
      </w:r>
    </w:p>
    <w:p>
      <w:pPr>
        <w:spacing w:after="0" w:line="30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All of the expenses set forth above shall be borne by the Registrant.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13" w:hanging="313"/>
        <w:spacing w:after="0"/>
        <w:tabs>
          <w:tab w:leader="none" w:pos="31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86,925*</w:t>
      </w:r>
    </w:p>
    <w:p>
      <w:pPr>
        <w:spacing w:after="0" w:line="38" w:lineRule="exact"/>
        <w:rPr>
          <w:rFonts w:ascii="Arial" w:cs="Arial" w:eastAsia="Arial" w:hAnsi="Arial"/>
          <w:sz w:val="16"/>
          <w:szCs w:val="16"/>
          <w:color w:val="auto"/>
        </w:rPr>
      </w:pPr>
    </w:p>
    <w:p>
      <w:pPr>
        <w:ind w:left="233"/>
        <w:spacing w:after="0"/>
        <w:rPr>
          <w:rFonts w:ascii="Arial" w:cs="Arial" w:eastAsia="Arial" w:hAnsi="Arial"/>
          <w:sz w:val="16"/>
          <w:szCs w:val="16"/>
          <w:color w:val="auto"/>
        </w:rPr>
      </w:pPr>
      <w:r>
        <w:rPr>
          <w:rFonts w:ascii="Arial" w:cs="Arial" w:eastAsia="Arial" w:hAnsi="Arial"/>
          <w:sz w:val="16"/>
          <w:szCs w:val="16"/>
          <w:color w:val="auto"/>
        </w:rPr>
        <w:t>65,000**</w:t>
      </w:r>
    </w:p>
    <w:p>
      <w:pPr>
        <w:spacing w:after="0" w:line="32" w:lineRule="exact"/>
        <w:rPr>
          <w:rFonts w:ascii="Arial" w:cs="Arial" w:eastAsia="Arial" w:hAnsi="Arial"/>
          <w:sz w:val="16"/>
          <w:szCs w:val="16"/>
          <w:color w:val="auto"/>
        </w:rPr>
      </w:pPr>
    </w:p>
    <w:p>
      <w:pPr>
        <w:ind w:left="233"/>
        <w:spacing w:after="0"/>
        <w:rPr>
          <w:rFonts w:ascii="Arial" w:cs="Arial" w:eastAsia="Arial" w:hAnsi="Arial"/>
          <w:sz w:val="16"/>
          <w:szCs w:val="16"/>
          <w:color w:val="auto"/>
        </w:rPr>
      </w:pPr>
      <w:r>
        <w:rPr>
          <w:rFonts w:ascii="Arial" w:cs="Arial" w:eastAsia="Arial" w:hAnsi="Arial"/>
          <w:sz w:val="16"/>
          <w:szCs w:val="16"/>
          <w:color w:val="auto"/>
        </w:rPr>
        <w:t>113,000*</w:t>
      </w:r>
    </w:p>
    <w:p>
      <w:pPr>
        <w:spacing w:after="0" w:line="32" w:lineRule="exact"/>
        <w:rPr>
          <w:rFonts w:ascii="Arial" w:cs="Arial" w:eastAsia="Arial" w:hAnsi="Arial"/>
          <w:sz w:val="16"/>
          <w:szCs w:val="16"/>
          <w:color w:val="auto"/>
        </w:rPr>
      </w:pPr>
    </w:p>
    <w:p>
      <w:pPr>
        <w:ind w:left="61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1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1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1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wp:posOffset>
            </wp:positionV>
            <wp:extent cx="6172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18" w:lineRule="exact"/>
        <w:rPr>
          <w:sz w:val="20"/>
          <w:szCs w:val="20"/>
          <w:color w:val="auto"/>
        </w:rPr>
      </w:pPr>
    </w:p>
    <w:p>
      <w:pPr>
        <w:ind w:left="613" w:hanging="613"/>
        <w:spacing w:after="0"/>
        <w:tabs>
          <w:tab w:leader="none" w:pos="61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6172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27940</wp:posOffset>
            </wp:positionV>
            <wp:extent cx="6172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678" w:lineRule="exact"/>
        <w:rPr>
          <w:sz w:val="20"/>
          <w:szCs w:val="20"/>
          <w:color w:val="auto"/>
        </w:rPr>
      </w:pPr>
    </w:p>
    <w:p>
      <w:pPr>
        <w:sectPr>
          <w:pgSz w:w="11900" w:h="16838" w:orient="portrait"/>
          <w:cols w:equalWidth="0" w:num="2">
            <w:col w:w="6767" w:space="720"/>
            <w:col w:w="3653"/>
          </w:cols>
          <w:pgMar w:left="240" w:top="460" w:right="519" w:bottom="1440" w:gutter="0" w:footer="0" w:header="0"/>
          <w:type w:val="continuous"/>
        </w:sectPr>
      </w:pPr>
    </w:p>
    <w:p>
      <w:pPr>
        <w:spacing w:after="0" w:line="46" w:lineRule="exact"/>
        <w:rPr>
          <w:sz w:val="20"/>
          <w:szCs w:val="20"/>
          <w:color w:val="auto"/>
        </w:rPr>
      </w:pPr>
    </w:p>
    <w:p>
      <w:pPr>
        <w:ind w:left="740" w:hanging="536"/>
        <w:spacing w:after="0"/>
        <w:tabs>
          <w:tab w:leader="none" w:pos="74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This amount has been offset against a filing fee associated with unsold securities registered under a previous registration statement.</w:t>
      </w:r>
    </w:p>
    <w:p>
      <w:pPr>
        <w:spacing w:after="0" w:line="49"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This amount is estimated.</w:t>
      </w:r>
    </w:p>
    <w:p>
      <w:pPr>
        <w:spacing w:after="0" w:line="9"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8"/>
          <w:szCs w:val="18"/>
          <w:color w:val="auto"/>
        </w:rPr>
        <w:t>***   To be provided by amendment.</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40"/>
          </w:cols>
          <w:pgMar w:left="240" w:top="460" w:right="519" w:bottom="1440" w:gutter="0" w:footer="0" w:header="0"/>
          <w:type w:val="continuous"/>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28.</w:t>
            </w:r>
          </w:p>
        </w:tc>
        <w:tc>
          <w:tcPr>
            <w:tcW w:w="8140" w:type="dxa"/>
            <w:vAlign w:val="bottom"/>
            <w:gridSpan w:val="2"/>
          </w:tcPr>
          <w:p>
            <w:pPr>
              <w:ind w:left="42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Voting Securities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9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Owned Percentage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9160" w:type="dxa"/>
            <w:vAlign w:val="bottom"/>
            <w:gridSpan w:val="4"/>
            <w:vMerge w:val="continue"/>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gridSpan w:val="2"/>
            <w:shd w:val="clear" w:color="auto" w:fill="000000"/>
          </w:tcPr>
          <w:p>
            <w:pPr>
              <w:spacing w:after="0" w:line="20" w:lineRule="exact"/>
              <w:rPr>
                <w:sz w:val="1"/>
                <w:szCs w:val="1"/>
                <w:color w:val="auto"/>
              </w:rPr>
            </w:pPr>
          </w:p>
        </w:tc>
        <w:tc>
          <w:tcPr>
            <w:tcW w:w="300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Investment Funding I, LLC (Delaware)</w:t>
            </w:r>
          </w:p>
        </w:tc>
        <w:tc>
          <w:tcPr>
            <w:tcW w:w="3000" w:type="dxa"/>
            <w:vAlign w:val="bottom"/>
            <w:vMerge w:val="continue"/>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PennantPark SBIC GP, LLC (Delaware)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PennantPark SBIC GP II, LLC (Delaware)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PennantPark SBIC LP (Delaware)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PennantPark SBIC II LP (Delaware)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PNNT Alabama Holdings Inc. (Delaware)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PNNT Cascade Environmental Holdings, LLC (Delaware)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PNNT CI (GALLS) Prime Investment Holdings, LLC (Delaware)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PNNT ecoserve, LLC (Delaware)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PNNT Investment Holdings, LLC (Delaware)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PNNT New Gulf Resources, LLC (Delaware)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AKW Holdings Limited (Delaware)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RAM Energy Holdings LLC (Delaware)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Superior Digital Displays, LLC (Delaware)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wp:posOffset>
            </wp:positionV>
            <wp:extent cx="195516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14" w:lineRule="exact"/>
        <w:rPr>
          <w:sz w:val="20"/>
          <w:szCs w:val="20"/>
          <w:color w:val="auto"/>
        </w:rPr>
      </w:pPr>
    </w:p>
    <w:p>
      <w:pPr>
        <w:ind w:left="520" w:hanging="316"/>
        <w:spacing w:after="0"/>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entity is directly owned 99% by us and 1% by PennantPark SBIC GP, LLC which is effectively wholly-owned by us.</w:t>
      </w:r>
    </w:p>
    <w:p>
      <w:pPr>
        <w:spacing w:after="0" w:line="15" w:lineRule="exact"/>
        <w:rPr>
          <w:rFonts w:ascii="Arial" w:cs="Arial" w:eastAsia="Arial" w:hAnsi="Arial"/>
          <w:sz w:val="18"/>
          <w:szCs w:val="18"/>
          <w:color w:val="auto"/>
        </w:rPr>
      </w:pPr>
    </w:p>
    <w:p>
      <w:pPr>
        <w:ind w:left="520" w:hanging="316"/>
        <w:spacing w:after="0"/>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entity is directly owned 99% by us and 1% by PennantPark SBIC GP II, LLC, which is effectively wholly-owned by us.</w:t>
      </w:r>
    </w:p>
    <w:p>
      <w:pPr>
        <w:spacing w:after="0" w:line="9" w:lineRule="exact"/>
        <w:rPr>
          <w:rFonts w:ascii="Arial" w:cs="Arial" w:eastAsia="Arial" w:hAnsi="Arial"/>
          <w:sz w:val="18"/>
          <w:szCs w:val="18"/>
          <w:color w:val="auto"/>
        </w:rPr>
      </w:pPr>
    </w:p>
    <w:p>
      <w:pPr>
        <w:ind w:left="520" w:hanging="316"/>
        <w:spacing w:after="0"/>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entity is not operational.</w:t>
      </w:r>
    </w:p>
    <w:p>
      <w:pPr>
        <w:spacing w:after="0" w:line="9" w:lineRule="exact"/>
        <w:rPr>
          <w:rFonts w:ascii="Arial" w:cs="Arial" w:eastAsia="Arial" w:hAnsi="Arial"/>
          <w:sz w:val="18"/>
          <w:szCs w:val="18"/>
          <w:color w:val="auto"/>
        </w:rPr>
      </w:pPr>
    </w:p>
    <w:p>
      <w:pPr>
        <w:ind w:left="520" w:hanging="316"/>
        <w:spacing w:after="0"/>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is a controlled affiliated investment.</w:t>
      </w:r>
    </w:p>
    <w:p>
      <w:pPr>
        <w:spacing w:after="0" w:line="280"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5"/>
          <w:szCs w:val="15"/>
          <w:b w:val="1"/>
          <w:bCs w:val="1"/>
          <w:color w:val="auto"/>
        </w:rPr>
        <w:t>Number of holders of shares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2019</w:t>
      </w:r>
    </w:p>
    <w:p>
      <w:pPr>
        <w:spacing w:after="0" w:line="288"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780" w:type="dxa"/>
            <w:vAlign w:val="bottom"/>
            <w:gridSpan w:val="2"/>
            <w:vMerge w:val="restart"/>
          </w:tcPr>
          <w:p>
            <w:pPr>
              <w:jc w:val="center"/>
              <w:ind w:right="5300"/>
              <w:spacing w:after="0"/>
              <w:rPr>
                <w:sz w:val="20"/>
                <w:szCs w:val="20"/>
                <w:color w:val="auto"/>
              </w:rPr>
            </w:pPr>
            <w:r>
              <w:rPr>
                <w:rFonts w:ascii="Arial" w:cs="Arial" w:eastAsia="Arial" w:hAnsi="Arial"/>
                <w:sz w:val="14"/>
                <w:szCs w:val="14"/>
                <w:b w:val="1"/>
                <w:bCs w:val="1"/>
                <w:color w:val="auto"/>
                <w:w w:val="87"/>
              </w:rPr>
              <w:t>Title of Class</w:t>
            </w:r>
          </w:p>
        </w:tc>
        <w:tc>
          <w:tcPr>
            <w:tcW w:w="200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 Record 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780" w:type="dxa"/>
            <w:vAlign w:val="bottom"/>
            <w:gridSpan w:val="2"/>
            <w:vMerge w:val="continue"/>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Common Stock, $0.001 par value</w:t>
            </w:r>
          </w:p>
        </w:tc>
        <w:tc>
          <w:tcPr>
            <w:tcW w:w="4280" w:type="dxa"/>
            <w:vAlign w:val="bottom"/>
          </w:tcPr>
          <w:p>
            <w:pPr>
              <w:spacing w:after="0"/>
              <w:rPr>
                <w:sz w:val="18"/>
                <w:szCs w:val="18"/>
                <w:color w:val="auto"/>
              </w:rPr>
            </w:pPr>
          </w:p>
        </w:tc>
        <w:tc>
          <w:tcPr>
            <w:tcW w:w="2000" w:type="dxa"/>
            <w:vAlign w:val="bottom"/>
          </w:tcPr>
          <w:p>
            <w:pPr>
              <w:jc w:val="right"/>
              <w:ind w:right="842"/>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0"/>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30.</w:t>
            </w:r>
          </w:p>
        </w:tc>
        <w:tc>
          <w:tcPr>
            <w:tcW w:w="6780" w:type="dxa"/>
            <w:vAlign w:val="bottom"/>
            <w:gridSpan w:val="2"/>
          </w:tcPr>
          <w:p>
            <w:pPr>
              <w:ind w:left="440"/>
              <w:spacing w:after="0"/>
              <w:rPr>
                <w:sz w:val="20"/>
                <w:szCs w:val="20"/>
                <w:color w:val="auto"/>
              </w:rPr>
            </w:pPr>
            <w:r>
              <w:rPr>
                <w:rFonts w:ascii="Arial" w:cs="Arial" w:eastAsia="Arial" w:hAnsi="Arial"/>
                <w:sz w:val="18"/>
                <w:szCs w:val="18"/>
                <w:b w:val="1"/>
                <w:bCs w:val="1"/>
                <w:color w:val="auto"/>
              </w:rPr>
              <w:t>Indemnification</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right="60" w:firstLine="55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66"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ind w:left="200" w:right="180" w:firstLine="551"/>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 —Our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left="200" w:right="40" w:firstLine="55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900" w:hanging="25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171" w:lineRule="exact"/>
        <w:rPr>
          <w:rFonts w:ascii="Arial" w:cs="Arial" w:eastAsia="Arial" w:hAnsi="Arial"/>
          <w:sz w:val="18"/>
          <w:szCs w:val="18"/>
          <w:color w:val="auto"/>
        </w:rPr>
      </w:pPr>
    </w:p>
    <w:p>
      <w:pPr>
        <w:ind w:left="900" w:hanging="25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Brooklyn, NY 11219;</w:t>
      </w:r>
    </w:p>
    <w:p>
      <w:pPr>
        <w:spacing w:after="0" w:line="171" w:lineRule="exact"/>
        <w:rPr>
          <w:rFonts w:ascii="Arial" w:cs="Arial" w:eastAsia="Arial" w:hAnsi="Arial"/>
          <w:sz w:val="18"/>
          <w:szCs w:val="18"/>
          <w:color w:val="auto"/>
        </w:rPr>
      </w:pPr>
    </w:p>
    <w:p>
      <w:pPr>
        <w:ind w:left="1000" w:hanging="245"/>
        <w:spacing w:after="0"/>
        <w:tabs>
          <w:tab w:leader="none" w:pos="1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Custodian, The Bank of New York Mellon, 225 Liberty Street, New York, NY 10286; and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 the Investment Adviser, PennantPark Investment Advisers, LLC, 590 Madison Avenue, 15th Floor, New York, NY 10022.</w:t>
      </w:r>
    </w:p>
    <w:p>
      <w:pPr>
        <w:spacing w:after="0" w:line="206"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left="200" w:right="60" w:firstLine="555"/>
        <w:spacing w:after="0" w:line="259"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suspend the offering of its shares until it amends its prospectus if (a) subsequent to the effective date of its registration statement, the NAV declines more than 10 percent from its NAV as of the effective date of the Registration Statement or (b) the NAV increases to an amount greater than its net proceeds as stated in the prospectus;</w:t>
      </w:r>
    </w:p>
    <w:p>
      <w:pPr>
        <w:spacing w:after="0" w:line="140" w:lineRule="exact"/>
        <w:rPr>
          <w:rFonts w:ascii="Arial" w:cs="Arial" w:eastAsia="Arial" w:hAnsi="Arial"/>
          <w:sz w:val="18"/>
          <w:szCs w:val="18"/>
          <w:color w:val="auto"/>
        </w:rPr>
      </w:pPr>
    </w:p>
    <w:p>
      <w:pPr>
        <w:ind w:left="1000" w:hanging="245"/>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200" w:firstLine="555"/>
        <w:spacing w:after="0" w:line="254"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280" w:hanging="211"/>
        <w:spacing w:after="0"/>
        <w:tabs>
          <w:tab w:leader="none" w:pos="1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540" w:right="60" w:firstLine="529"/>
        <w:spacing w:after="0" w:line="290" w:lineRule="auto"/>
        <w:tabs>
          <w:tab w:leader="none" w:pos="133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or other applicable SEC rule under the Securities Act, if, in the aggregate, the changes in volume and price represent no more than 20% change in the maximum aggregate offering price set forth in the “Calculation of Registration Fee” table in the effective registration statement; and</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180"/>
          </w:cols>
          <w:pgMar w:left="240" w:top="460"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40" w:right="60" w:firstLine="849"/>
        <w:spacing w:after="0" w:line="268" w:lineRule="auto"/>
        <w:tabs>
          <w:tab w:leader="none" w:pos="170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540" w:firstLine="534"/>
        <w:spacing w:after="0" w:line="298"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4(a)(i), (ii), and (iii) of this section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 by the Registrant pursuant to section 13, section 14 or section 15(d) of the Exchange Act that are incorporated by reference into the registration statement, or is contained in a form of prospectus filed pursuant to Rule 424(b), or other applicable SEC rule under the Securities Act, that is part of the registration statement.</w:t>
      </w:r>
    </w:p>
    <w:p>
      <w:pPr>
        <w:spacing w:after="0" w:line="32" w:lineRule="exact"/>
        <w:rPr>
          <w:sz w:val="20"/>
          <w:szCs w:val="20"/>
          <w:color w:val="auto"/>
        </w:rPr>
      </w:pPr>
    </w:p>
    <w:p>
      <w:pPr>
        <w:jc w:val="both"/>
        <w:ind w:left="540" w:right="60" w:firstLine="529"/>
        <w:spacing w:after="0" w:line="259" w:lineRule="auto"/>
        <w:tabs>
          <w:tab w:leader="none" w:pos="132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540" w:right="500" w:firstLine="529"/>
        <w:spacing w:after="0" w:line="268" w:lineRule="auto"/>
        <w:tabs>
          <w:tab w:leader="none" w:pos="131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320" w:hanging="251"/>
        <w:spacing w:after="0"/>
        <w:tabs>
          <w:tab w:leader="none" w:pos="1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90" w:lineRule="exact"/>
        <w:rPr>
          <w:rFonts w:ascii="Arial" w:cs="Arial" w:eastAsia="Arial" w:hAnsi="Arial"/>
          <w:sz w:val="18"/>
          <w:szCs w:val="18"/>
          <w:color w:val="auto"/>
        </w:rPr>
      </w:pPr>
    </w:p>
    <w:p>
      <w:pPr>
        <w:ind w:left="1600" w:hanging="211"/>
        <w:spacing w:after="0"/>
        <w:tabs>
          <w:tab w:leader="none" w:pos="16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90" w:lineRule="exact"/>
        <w:rPr>
          <w:rFonts w:ascii="Arial" w:cs="Arial" w:eastAsia="Arial" w:hAnsi="Arial"/>
          <w:sz w:val="18"/>
          <w:szCs w:val="18"/>
          <w:color w:val="auto"/>
        </w:rPr>
      </w:pPr>
    </w:p>
    <w:p>
      <w:pPr>
        <w:ind w:left="1080" w:right="240" w:firstLine="411"/>
        <w:spacing w:after="0" w:line="268" w:lineRule="auto"/>
        <w:tabs>
          <w:tab w:leader="none" w:pos="1773" w:val="left"/>
        </w:tabs>
        <w:numPr>
          <w:ilvl w:val="2"/>
          <w:numId w:val="12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1080" w:right="40" w:firstLine="411"/>
        <w:spacing w:after="0" w:line="286" w:lineRule="auto"/>
        <w:tabs>
          <w:tab w:leader="none" w:pos="1763" w:val="left"/>
        </w:tabs>
        <w:numPr>
          <w:ilvl w:val="2"/>
          <w:numId w:val="123"/>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46" w:lineRule="exact"/>
        <w:rPr>
          <w:rFonts w:ascii="Arial" w:cs="Arial" w:eastAsia="Arial" w:hAnsi="Arial"/>
          <w:sz w:val="16"/>
          <w:szCs w:val="16"/>
          <w:color w:val="auto"/>
        </w:rPr>
      </w:pPr>
    </w:p>
    <w:p>
      <w:pPr>
        <w:ind w:left="540" w:right="20" w:firstLine="849"/>
        <w:spacing w:after="0" w:line="312" w:lineRule="auto"/>
        <w:tabs>
          <w:tab w:leader="none" w:pos="1653" w:val="left"/>
        </w:tabs>
        <w:numPr>
          <w:ilvl w:val="1"/>
          <w:numId w:val="123"/>
        </w:numPr>
        <w:rPr>
          <w:rFonts w:ascii="Arial" w:cs="Arial" w:eastAsia="Arial" w:hAnsi="Arial"/>
          <w:sz w:val="15"/>
          <w:szCs w:val="15"/>
          <w:color w:val="auto"/>
        </w:rPr>
      </w:pPr>
      <w:r>
        <w:rPr>
          <w:rFonts w:ascii="Arial" w:cs="Arial" w:eastAsia="Arial" w:hAnsi="Arial"/>
          <w:sz w:val="15"/>
          <w:szCs w:val="15"/>
          <w:color w:val="auto"/>
        </w:rPr>
        <w:t xml:space="preserve">if the Registrant is subject to Rule 430C, each prospectus filed pursuant to Rule 424(b) or Rule 497(b), (c), (d), or (e) under the Securities Act, as applicable,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5"/>
          <w:szCs w:val="15"/>
          <w:i w:val="1"/>
          <w:iCs w:val="1"/>
          <w:color w:val="auto"/>
        </w:rPr>
        <w:t>Provided, however</w:t>
      </w:r>
      <w:r>
        <w:rPr>
          <w:rFonts w:ascii="Arial" w:cs="Arial" w:eastAsia="Arial" w:hAnsi="Arial"/>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4" w:lineRule="exact"/>
        <w:rPr>
          <w:rFonts w:ascii="Arial" w:cs="Arial" w:eastAsia="Arial" w:hAnsi="Arial"/>
          <w:sz w:val="15"/>
          <w:szCs w:val="15"/>
          <w:color w:val="auto"/>
        </w:rPr>
      </w:pPr>
    </w:p>
    <w:p>
      <w:pPr>
        <w:ind w:left="540" w:right="420" w:firstLine="529"/>
        <w:spacing w:after="0" w:line="259" w:lineRule="auto"/>
        <w:tabs>
          <w:tab w:leader="none" w:pos="131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200"/>
          </w:cols>
          <w:pgMar w:left="24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40" w:right="80"/>
        <w:spacing w:after="0" w:line="357" w:lineRule="auto"/>
        <w:rPr>
          <w:sz w:val="20"/>
          <w:szCs w:val="20"/>
          <w:color w:val="auto"/>
        </w:rPr>
      </w:pPr>
      <w:r>
        <w:rPr>
          <w:rFonts w:ascii="Arial" w:cs="Arial" w:eastAsia="Arial" w:hAnsi="Arial"/>
          <w:sz w:val="15"/>
          <w:szCs w:val="15"/>
          <w:color w:val="auto"/>
        </w:rPr>
        <w:t>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ind w:left="540" w:right="180" w:firstLine="529"/>
        <w:spacing w:after="0" w:line="268" w:lineRule="auto"/>
        <w:tabs>
          <w:tab w:leader="none" w:pos="128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or Rule 497 under the Securities Act, as applicable;</w:t>
      </w:r>
    </w:p>
    <w:p>
      <w:pPr>
        <w:spacing w:after="0" w:line="50" w:lineRule="exact"/>
        <w:rPr>
          <w:rFonts w:ascii="Arial" w:cs="Arial" w:eastAsia="Arial" w:hAnsi="Arial"/>
          <w:sz w:val="18"/>
          <w:szCs w:val="18"/>
          <w:color w:val="auto"/>
        </w:rPr>
      </w:pPr>
    </w:p>
    <w:p>
      <w:pPr>
        <w:ind w:left="540" w:right="420" w:firstLine="529"/>
        <w:spacing w:after="0" w:line="268" w:lineRule="auto"/>
        <w:tabs>
          <w:tab w:leader="none" w:pos="133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540" w:right="400" w:firstLine="529"/>
        <w:spacing w:after="0" w:line="357" w:lineRule="auto"/>
        <w:tabs>
          <w:tab w:leader="none" w:pos="1381"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p>
      <w:pPr>
        <w:ind w:left="1360" w:hanging="291"/>
        <w:spacing w:after="0"/>
        <w:tabs>
          <w:tab w:leader="none" w:pos="13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sz w:val="20"/>
          <w:szCs w:val="20"/>
          <w:color w:val="auto"/>
        </w:rPr>
      </w:pPr>
    </w:p>
    <w:p>
      <w:pPr>
        <w:ind w:left="200" w:firstLine="551"/>
        <w:spacing w:after="0" w:line="306" w:lineRule="auto"/>
        <w:rPr>
          <w:sz w:val="20"/>
          <w:szCs w:val="20"/>
          <w:color w:val="auto"/>
        </w:rPr>
      </w:pPr>
      <w:r>
        <w:rPr>
          <w:rFonts w:ascii="Arial" w:cs="Arial" w:eastAsia="Arial" w:hAnsi="Arial"/>
          <w:sz w:val="16"/>
          <w:szCs w:val="16"/>
          <w:color w:val="auto"/>
        </w:rPr>
        <w:t>(5)(a) that for the purposes of determining any liability under the Securities Act, the information omitted from the form of prospectus filed as part of a registration statement in reliance upon Rule 430A under the Securities Act and contained in the form of prospectus filed by the Registrant under Rule 424(b)(1) or Rule 497(h) under the Securities Act shall be deemed to be part of the Registration Statement as of the time it was declared effective; and</w:t>
      </w:r>
    </w:p>
    <w:p>
      <w:pPr>
        <w:spacing w:after="0" w:line="26" w:lineRule="exact"/>
        <w:rPr>
          <w:sz w:val="20"/>
          <w:szCs w:val="20"/>
          <w:color w:val="auto"/>
        </w:rPr>
      </w:pPr>
    </w:p>
    <w:p>
      <w:pPr>
        <w:ind w:left="540" w:right="80" w:firstLine="529"/>
        <w:spacing w:after="0" w:line="259" w:lineRule="auto"/>
        <w:tabs>
          <w:tab w:leader="none" w:pos="132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200" w:right="100" w:firstLine="555"/>
        <w:spacing w:after="0" w:line="306" w:lineRule="auto"/>
        <w:tabs>
          <w:tab w:leader="none" w:pos="10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6" w:lineRule="exact"/>
        <w:rPr>
          <w:rFonts w:ascii="Arial" w:cs="Arial" w:eastAsia="Arial" w:hAnsi="Arial"/>
          <w:sz w:val="16"/>
          <w:szCs w:val="16"/>
          <w:color w:val="auto"/>
        </w:rPr>
      </w:pPr>
    </w:p>
    <w:p>
      <w:pPr>
        <w:ind w:left="200" w:right="140" w:firstLine="555"/>
        <w:spacing w:after="0" w:line="290" w:lineRule="auto"/>
        <w:tabs>
          <w:tab w:leader="none" w:pos="10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rFonts w:ascii="Arial" w:cs="Arial" w:eastAsia="Arial" w:hAnsi="Arial"/>
          <w:sz w:val="16"/>
          <w:szCs w:val="16"/>
          <w:color w:val="auto"/>
        </w:rPr>
      </w:pPr>
    </w:p>
    <w:p>
      <w:pPr>
        <w:ind w:left="1000" w:hanging="245"/>
        <w:spacing w:after="0"/>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180"/>
          </w:cols>
          <w:pgMar w:left="240" w:top="460"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left="200" w:right="220" w:firstLine="5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Amendment No. 1 to the Registration Statement on Form N-2 to be signed on its behalf by the undersigned, thereunto duly authorized, in the City of New York, and State of New York, on the 12th day of April 2019.</w:t>
      </w:r>
    </w:p>
    <w:p>
      <w:pPr>
        <w:spacing w:after="0" w:line="175" w:lineRule="exact"/>
        <w:rPr>
          <w:sz w:val="20"/>
          <w:szCs w:val="20"/>
          <w:color w:val="auto"/>
        </w:rPr>
      </w:pPr>
    </w:p>
    <w:tbl>
      <w:tblPr>
        <w:tblLayout w:type="fixed"/>
        <w:tblInd w:w="280" w:type="dxa"/>
        <w:tblCellMar>
          <w:top w:w="0" w:type="dxa"/>
          <w:left w:w="0" w:type="dxa"/>
          <w:bottom w:w="0" w:type="dxa"/>
          <w:right w:w="0" w:type="dxa"/>
        </w:tblCellMar>
      </w:tblPr>
      <w:tr>
        <w:trPr>
          <w:trHeight w:val="228"/>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By:</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224"/>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Name:</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r>
      <w:tr>
        <w:trPr>
          <w:trHeight w:val="351"/>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Title:</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 and Chairman of the</w:t>
            </w:r>
          </w:p>
        </w:tc>
      </w:tr>
      <w:tr>
        <w:trPr>
          <w:trHeight w:val="228"/>
        </w:trPr>
        <w:tc>
          <w:tcPr>
            <w:tcW w:w="60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2"/>
              </w:rPr>
              <w:t>Board</w:t>
            </w:r>
          </w:p>
        </w:tc>
      </w:tr>
    </w:tbl>
    <w:p>
      <w:pPr>
        <w:spacing w:after="0" w:line="169" w:lineRule="exact"/>
        <w:rPr>
          <w:sz w:val="20"/>
          <w:szCs w:val="20"/>
          <w:color w:val="auto"/>
        </w:rPr>
      </w:pPr>
    </w:p>
    <w:p>
      <w:pPr>
        <w:ind w:left="200" w:right="40" w:firstLine="551"/>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on Form N-2 has been signed by the following persons in the capacities set forth below on the 12th day of April 2019.</w:t>
      </w:r>
    </w:p>
    <w:p>
      <w:pPr>
        <w:spacing w:after="0" w:line="166"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680" w:type="dxa"/>
            <w:vAlign w:val="bottom"/>
          </w:tcPr>
          <w:p>
            <w:pPr>
              <w:spacing w:after="0"/>
              <w:rPr>
                <w:sz w:val="20"/>
                <w:szCs w:val="20"/>
                <w:color w:val="auto"/>
              </w:rPr>
            </w:pP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56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ARTHUR H. PENN</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17"/>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c>
          <w:tcPr>
            <w:tcW w:w="680" w:type="dxa"/>
            <w:vAlign w:val="bottom"/>
          </w:tcPr>
          <w:p>
            <w:pPr>
              <w:spacing w:after="0"/>
              <w:rPr>
                <w:sz w:val="18"/>
                <w:szCs w:val="18"/>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 of the Board of Directors</w:t>
            </w:r>
          </w:p>
        </w:tc>
      </w:tr>
      <w:tr>
        <w:trPr>
          <w:trHeight w:val="222"/>
        </w:trPr>
        <w:tc>
          <w:tcPr>
            <w:tcW w:w="4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r>
      <w:tr>
        <w:trPr>
          <w:trHeight w:val="432"/>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AVIV EFRAT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6540" w:type="dxa"/>
            <w:vAlign w:val="bottom"/>
            <w:gridSpan w:val="2"/>
          </w:tcPr>
          <w:p>
            <w:pPr>
              <w:jc w:val="center"/>
              <w:ind w:left="572"/>
              <w:spacing w:after="0"/>
              <w:rPr>
                <w:sz w:val="20"/>
                <w:szCs w:val="20"/>
                <w:color w:val="auto"/>
              </w:rPr>
            </w:pPr>
            <w:r>
              <w:rPr>
                <w:rFonts w:ascii="Arial" w:cs="Arial" w:eastAsia="Arial" w:hAnsi="Arial"/>
                <w:sz w:val="18"/>
                <w:szCs w:val="18"/>
                <w:color w:val="auto"/>
                <w:w w:val="90"/>
              </w:rPr>
              <w:t>Chief Financial Officer and Treasurer (Principal Financial and Accounting Officer)</w:t>
            </w:r>
          </w:p>
        </w:tc>
      </w:tr>
      <w:tr>
        <w:trPr>
          <w:trHeight w:val="43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Adam K. Bernstein</w:t>
            </w: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8"/>
              </w:rPr>
              <w:t>Jeffrey Flug</w:t>
            </w: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276" w:lineRule="exact"/>
        <w:rPr>
          <w:sz w:val="20"/>
          <w:szCs w:val="20"/>
          <w:color w:val="auto"/>
        </w:rPr>
      </w:pPr>
    </w:p>
    <w:p>
      <w:pPr>
        <w:ind w:left="5580" w:right="1900" w:hanging="5376"/>
        <w:spacing w:after="0" w:line="440" w:lineRule="auto"/>
        <w:tabs>
          <w:tab w:leader="none" w:pos="74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attorney-in-fact signed on March 1, 2019. C-9</w:t>
      </w:r>
    </w:p>
    <w:p>
      <w:pPr>
        <w:sectPr>
          <w:pgSz w:w="11900" w:h="16838" w:orient="portrait"/>
          <w:cols w:equalWidth="0" w:num="1">
            <w:col w:w="11240"/>
          </w:cols>
          <w:pgMar w:left="240" w:top="460" w:right="4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(g)(3)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XECUTION</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AMENDED AND RESTATED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INVESTMENT ADVISORY MANAGEMENT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BETWEEN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INVESTMENT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INVESTMENT ADVISERS, LLC</w:t>
      </w:r>
    </w:p>
    <w:p>
      <w:pPr>
        <w:spacing w:after="0" w:line="229"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Agreement made this 12th day of April 2019, by and between PENNANTPARK INVESTMENT CORPORATION, a Maryland corporation (the “Corporation”), and PENNANTPARK INVESTMENT ADVISERS, LLC, a Delaware limited liability company (the “Adviser”).</w:t>
      </w:r>
    </w:p>
    <w:p>
      <w:pPr>
        <w:spacing w:after="0" w:line="14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WHEREAS, the Corporation operates as a closed-end management investment company that has elected to be treated as a business development company under the Investment Company Act of 1940, as amended (the “Investment Company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Adviser is registered as an investment adviser under the Investment Advisers Act of 1940, as amended (the “Advisers Act”);</w:t>
      </w:r>
    </w:p>
    <w:p>
      <w:pPr>
        <w:spacing w:after="0" w:line="23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WHEREAS, the Corporation and the Adviser are parties to that certain second amended and restated investment advisory management agreement dated February 6, 2018 by and between the Corporation and the Adviser (the “Prior Agreement”);</w:t>
      </w:r>
    </w:p>
    <w:p>
      <w:pPr>
        <w:spacing w:after="0" w:line="170"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WHEREAS, the Corporation and the Adviser desire to amend and restate the Prior Agreement to set forth the terms and conditions for the continued provision by the Adviser of investment advisory services to the Corporation; and</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WHEREAS, the Corporation’s board of directors has determined that such amendment and restatement clarifies the intent of the Prior Agreement in a manner that is consistent with the Corporation’s public disclosures and is not detrimental to the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parties hereby agree as follows:</w:t>
      </w:r>
    </w:p>
    <w:p>
      <w:pPr>
        <w:spacing w:after="0" w:line="264" w:lineRule="exact"/>
        <w:rPr>
          <w:sz w:val="20"/>
          <w:szCs w:val="20"/>
          <w:color w:val="auto"/>
        </w:rPr>
      </w:pPr>
    </w:p>
    <w:p>
      <w:pPr>
        <w:ind w:left="800" w:hanging="356"/>
        <w:spacing w:after="0"/>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Duties of the Adviser</w:t>
      </w:r>
      <w:r>
        <w:rPr>
          <w:rFonts w:ascii="Arial" w:cs="Arial" w:eastAsia="Arial" w:hAnsi="Arial"/>
          <w:sz w:val="18"/>
          <w:szCs w:val="18"/>
          <w:color w:val="auto"/>
        </w:rPr>
        <w:t>.</w:t>
      </w:r>
    </w:p>
    <w:p>
      <w:pPr>
        <w:spacing w:after="0" w:line="225" w:lineRule="exact"/>
        <w:rPr>
          <w:sz w:val="20"/>
          <w:szCs w:val="20"/>
          <w:color w:val="auto"/>
        </w:rPr>
      </w:pPr>
    </w:p>
    <w:p>
      <w:pPr>
        <w:ind w:firstLine="444"/>
        <w:spacing w:after="0" w:line="268" w:lineRule="auto"/>
        <w:tabs>
          <w:tab w:leader="none" w:pos="77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Corporation hereby employs the Adviser to act as the investment adviser to the Corporation and to manage the investment and reinvestment of the assets of the Corporation, subject to the supervision of the Board of Directors of the Corporation, for the period and upon the terms herein set forth, (i) in accordance with the investment objective, policies and restrictions that are set forth in the Corporation’s registration statement, as the same may be amended from time to time, (ii) in accordance with the Investment Company Act and (iii) during the term of this Agreement in accordance with all other applicable federal and state laws, rules and regulations, and the Corporation’s charter and by-laws. Without limiting the generality of the foregoing, the Adviser shall, during the term and subject to the provisions of this Agreement, (i) determine the composition of the portfolio of the Corporation, the nature and timing of the changes therein and the manner of implementing such changes; (ii) identify, evaluate and negotiate the structure of the investments made by the Corporation; (iii) close and monitor the Corporation’s investments; determine the securities and other assets that the Corporation will purchase, retain, or sell; perform due diligence on prospective portfolio companies; and (vi) provide the Corporation with such other investment advisory, research and related services as the Corporation may, from time to time, reasonably require for the investment of its funds. The Adviser shall have the power and authority on behalf of the Corporation to effectuate its investment decisions for the Corporation, including the execution and delivery of all documents relating to the Corporation’s investments and the placing of orders for other purchase or sale transactions on behalf of the Corporation. In the event that the Corporation determines to acquire debt financing, the Adviser will arrange for such financing on the Corporation’s behalf, subject to the oversight and approval of the Corporation’s Board of Directors. If it is necessary for the Adviser to make</w:t>
      </w:r>
    </w:p>
    <w:p>
      <w:pPr>
        <w:sectPr>
          <w:pgSz w:w="11900" w:h="16838" w:orient="portrait"/>
          <w:cols w:equalWidth="0" w:num="1">
            <w:col w:w="11020"/>
          </w:cols>
          <w:pgMar w:left="440" w:top="121" w:right="439" w:bottom="1440" w:gutter="0" w:footer="0" w:header="0"/>
        </w:sectPr>
      </w:pPr>
    </w:p>
    <w:bookmarkStart w:id="235" w:name="page236"/>
    <w:bookmarkEnd w:id="235"/>
    <w:p>
      <w:pPr>
        <w:ind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on behalf of the Corporation through a special purpose vehicle, the Adviser shall have authority to create or arrange for the creation of such special purpose vehicle and to make such investments through such special purpose vehicle in accordance with the Investment Company Act.</w:t>
      </w:r>
    </w:p>
    <w:p>
      <w:pPr>
        <w:spacing w:after="0" w:line="124" w:lineRule="exact"/>
        <w:rPr>
          <w:sz w:val="20"/>
          <w:szCs w:val="20"/>
          <w:color w:val="auto"/>
        </w:rPr>
      </w:pPr>
    </w:p>
    <w:p>
      <w:pPr>
        <w:ind w:right="60" w:firstLine="444"/>
        <w:spacing w:after="0" w:line="277" w:lineRule="auto"/>
        <w:tabs>
          <w:tab w:leader="none" w:pos="78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Adviser hereby accepts such employment and agrees during the term hereof to render the services described herein for the compensation provided herein.</w:t>
      </w:r>
    </w:p>
    <w:p>
      <w:pPr>
        <w:spacing w:after="0" w:line="170" w:lineRule="exact"/>
        <w:rPr>
          <w:rFonts w:ascii="Arial" w:cs="Arial" w:eastAsia="Arial" w:hAnsi="Arial"/>
          <w:sz w:val="18"/>
          <w:szCs w:val="18"/>
          <w:color w:val="auto"/>
        </w:rPr>
      </w:pPr>
    </w:p>
    <w:p>
      <w:pPr>
        <w:ind w:firstLine="444"/>
        <w:spacing w:after="0" w:line="254" w:lineRule="auto"/>
        <w:tabs>
          <w:tab w:leader="none" w:pos="77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Subject to the requirements of the Investment Company Act, the Adviser is hereby authorized to enter into one or more sub-advisory agreements with other investment advisers (each, a “Sub-Adviser”) pursuant to which the Adviser may obtain the services of the Sub-Adviser(s) to assist the Adviser in fulfilling its responsibilities hereunder. Specifically, the Adviser may retain a Sub-Adviser to recommend specific securities or other investments based upon the Corporation’s investment objective and policies, and work, along with the Adviser, in structuring, negotiating, arranging or effecting the acquisition or disposition of such investments and monitoring investments on behalf of the Corporation, subject to the oversight of the Adviser and the Corporation. The Adviser, and not the Corporation, shall be responsible for any compensation payable to any Sub-Adviser. Any sub-advisory agreement entered into by the Adviser shall be in accordance with the requirements of the Investment Company Act and other applicable federal and state law.</w:t>
      </w:r>
    </w:p>
    <w:p>
      <w:pPr>
        <w:spacing w:after="0" w:line="192" w:lineRule="exact"/>
        <w:rPr>
          <w:rFonts w:ascii="Arial" w:cs="Arial" w:eastAsia="Arial" w:hAnsi="Arial"/>
          <w:sz w:val="18"/>
          <w:szCs w:val="18"/>
          <w:color w:val="auto"/>
        </w:rPr>
      </w:pPr>
    </w:p>
    <w:p>
      <w:pPr>
        <w:ind w:firstLine="444"/>
        <w:spacing w:after="0" w:line="308" w:lineRule="auto"/>
        <w:tabs>
          <w:tab w:leader="none" w:pos="78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Adviser shall for all purposes herein provided be deemed to be an independent contractor and, except as expressly provided or authorized herein, shall have no authority to act for or represent the Corporation in any way or otherwise be deemed an agent of the Corporation.</w:t>
      </w:r>
    </w:p>
    <w:p>
      <w:pPr>
        <w:spacing w:after="0" w:line="146" w:lineRule="exact"/>
        <w:rPr>
          <w:rFonts w:ascii="Arial" w:cs="Arial" w:eastAsia="Arial" w:hAnsi="Arial"/>
          <w:sz w:val="17"/>
          <w:szCs w:val="17"/>
          <w:color w:val="auto"/>
        </w:rPr>
      </w:pPr>
    </w:p>
    <w:p>
      <w:pPr>
        <w:ind w:right="80" w:firstLine="444"/>
        <w:spacing w:after="0" w:line="255" w:lineRule="auto"/>
        <w:tabs>
          <w:tab w:leader="none" w:pos="77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Adviser shall keep and preserve, in the manner and for the period that would be applicable to investment companies registered under the Investment Company Act any books and records relevant to the provision of its investment advisory services to the Corporation and shall specifically maintain all books and records with respect to the Corporation’s portfolio transactions and shall render to the Corporation’s Board of Directors such periodic and special reports as the Board may reasonably request. The Adviser agrees that all records that it maintains for the Corporation are the property of the Corporation and will surrender promptly to the Corporation any such records upon the Corporation’s request, provided that the Adviser may retain a copy of such records.</w:t>
      </w:r>
    </w:p>
    <w:p>
      <w:pPr>
        <w:spacing w:after="0" w:line="220" w:lineRule="exact"/>
        <w:rPr>
          <w:sz w:val="20"/>
          <w:szCs w:val="20"/>
          <w:color w:val="auto"/>
        </w:rPr>
      </w:pPr>
    </w:p>
    <w:p>
      <w:pPr>
        <w:ind w:right="20" w:firstLine="444"/>
        <w:spacing w:after="0" w:line="285" w:lineRule="auto"/>
        <w:tabs>
          <w:tab w:leader="none" w:pos="792"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Corporation’s Responsibilities and Expenses Payable by the Corporation</w:t>
      </w:r>
      <w:r>
        <w:rPr>
          <w:rFonts w:ascii="Arial" w:cs="Arial" w:eastAsia="Arial" w:hAnsi="Arial"/>
          <w:sz w:val="16"/>
          <w:szCs w:val="16"/>
          <w:color w:val="auto"/>
        </w:rPr>
        <w:t>.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Corporation. The Corporation will bear all other costs and expenses of its operations and transactions, including (without limitation)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interest payable on debt, if any, incurred to finance the Corporation’s investments and expenses related to unsuccessful portfolio acquisition efforts; offerings of the Corporation’s common stock and other securities; investment advisory and management fees; administration fees payable under the Administration Agreement between the Corporation and PennantPark Investment Administration, LLC (the “Administrator”), the Corporation’s administrator;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costs associated with individual or group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the Administration Agreement between the Corporation and the Administrator based upon the Corporation’s allocable portion of the Administrator’s overhead in performing its obligations under</w:t>
      </w:r>
    </w:p>
    <w:p>
      <w:pPr>
        <w:spacing w:after="0" w:line="184" w:lineRule="exact"/>
        <w:rPr>
          <w:rFonts w:ascii="Arial" w:cs="Arial" w:eastAsia="Arial" w:hAnsi="Arial"/>
          <w:sz w:val="16"/>
          <w:szCs w:val="16"/>
          <w:color w:val="auto"/>
        </w:rPr>
      </w:pPr>
    </w:p>
    <w:p>
      <w:pPr>
        <w:ind w:right="420"/>
        <w:spacing w:after="0" w:line="261" w:lineRule="auto"/>
        <w:rPr>
          <w:rFonts w:ascii="Arial" w:cs="Arial" w:eastAsia="Arial" w:hAnsi="Arial"/>
          <w:sz w:val="16"/>
          <w:szCs w:val="16"/>
          <w:color w:val="auto"/>
        </w:rPr>
      </w:pPr>
      <w:r>
        <w:rPr>
          <w:rFonts w:ascii="Arial" w:cs="Arial" w:eastAsia="Arial" w:hAnsi="Arial"/>
          <w:sz w:val="18"/>
          <w:szCs w:val="18"/>
          <w:color w:val="auto"/>
        </w:rPr>
        <w:t>the Administration Agreement, including rent and the allocable portion of the cost of the Corporation’s chief compliance officer and chief financial officer and their respective staffs.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36" w:name="page237"/>
    <w:bookmarkEnd w:id="236"/>
    <w:p>
      <w:pPr>
        <w:ind w:left="-40" w:right="60" w:firstLine="444"/>
        <w:spacing w:after="0" w:line="257" w:lineRule="auto"/>
        <w:tabs>
          <w:tab w:leader="none" w:pos="75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of the Adviser</w:t>
      </w:r>
      <w:r>
        <w:rPr>
          <w:rFonts w:ascii="Arial" w:cs="Arial" w:eastAsia="Arial" w:hAnsi="Arial"/>
          <w:sz w:val="18"/>
          <w:szCs w:val="18"/>
          <w:color w:val="auto"/>
        </w:rPr>
        <w:t>. The Corporation agrees to pay, and the Adviser agrees to accept, as compensation for the services provided by the Adviser hereunder, a base management fee (“Base Management Fee”) and an incentive fee (“Incentive Fee”) as hereinafter set forth. The Corporation shall make any payments due hereunder to the Adviser or to the Adviser’s designee as the Adviser may otherwise direct. To the extent permitted by applicable law, the Adviser may elect, or adopt a deferred compensation plan pursuant to which it may elect, to defer all or a portion of its fees hereunder for a specified period of time.</w:t>
      </w:r>
    </w:p>
    <w:p>
      <w:pPr>
        <w:spacing w:after="0" w:line="188" w:lineRule="exact"/>
        <w:rPr>
          <w:sz w:val="20"/>
          <w:szCs w:val="20"/>
          <w:color w:val="auto"/>
        </w:rPr>
      </w:pPr>
    </w:p>
    <w:p>
      <w:pPr>
        <w:ind w:left="-40" w:right="120" w:firstLine="444"/>
        <w:spacing w:after="0" w:line="270" w:lineRule="auto"/>
        <w:tabs>
          <w:tab w:leader="none" w:pos="73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Effective as of February 5, 2019, the Base Management Fee shall be calculated at an annual rate of 1.50% of the Corporation’s “average adjusted gross assets,” which equals the Corporation’s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Base Management Fee shall be calculated at an annual rate of 1.00% of the average adjusted gross assets of the Corporation that exceeds 200% of the Corporation’s total net assets as of the end of the most recently completed calendar quarter. The Base Management Fee will be payable quarterly in arrears and will be calculated based on the average adjusted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81" w:lineRule="exact"/>
        <w:rPr>
          <w:rFonts w:ascii="Arial" w:cs="Arial" w:eastAsia="Arial" w:hAnsi="Arial"/>
          <w:sz w:val="17"/>
          <w:szCs w:val="17"/>
          <w:color w:val="auto"/>
        </w:rPr>
      </w:pPr>
    </w:p>
    <w:p>
      <w:pPr>
        <w:ind w:left="740" w:hanging="336"/>
        <w:spacing w:after="0"/>
        <w:tabs>
          <w:tab w:leader="none" w:pos="7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Effective as of January 1, 2018, the Incentive Fee shall consist of two parts, as follows:</w:t>
      </w:r>
    </w:p>
    <w:p>
      <w:pPr>
        <w:spacing w:after="0" w:line="252" w:lineRule="exact"/>
        <w:rPr>
          <w:rFonts w:ascii="Arial" w:cs="Arial" w:eastAsia="Arial" w:hAnsi="Arial"/>
          <w:sz w:val="18"/>
          <w:szCs w:val="18"/>
          <w:color w:val="auto"/>
        </w:rPr>
      </w:pPr>
    </w:p>
    <w:p>
      <w:pPr>
        <w:ind w:left="1280" w:hanging="546"/>
        <w:spacing w:after="0" w:line="285" w:lineRule="auto"/>
        <w:tabs>
          <w:tab w:leader="none" w:pos="12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One part will be calculated and payable quarterly in arrears based on the Corporation’s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the Corporation’s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that the Corporation has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the Corporation’s net assets at the end of the immediately preceding calendar quarter, will be compared to a “hurdle rate” of 1.75% per quarter (7.00% annualized). The Corporation will pay the Adviser an Incentive Fee with respect to the Corporation’s pre-Incentive Fee net investment income in each calendar quarter as follows; (1) no Incentive Fee in any calendar quarter in which the Corporation’s pre-Incentive Fee net investment income does not exceed the hurdle rate of 1.75%; (2) 100% of the Corporation’s pre-Incentive Fee net investment income with respect to that portion of such pre-Incentive Fee net investment income, if any, that exceeds the hurdle rate but is less than 2.1212% in any calendar quarter (8.4848% annualized); and (3) 17.5% of the amount of the Corporation’s pre-Incentive Fee net investment income, if any, that exceeds 2.1212% in any calendar quarter. These calculations will be appropriately prorated for any period of less than three months and adjusted for any share issuances or repurchases during the relevant quarter.</w:t>
      </w:r>
    </w:p>
    <w:p>
      <w:pPr>
        <w:spacing w:after="0" w:line="197" w:lineRule="exact"/>
        <w:rPr>
          <w:rFonts w:ascii="Arial" w:cs="Arial" w:eastAsia="Arial" w:hAnsi="Arial"/>
          <w:sz w:val="16"/>
          <w:szCs w:val="16"/>
          <w:color w:val="auto"/>
        </w:rPr>
      </w:pPr>
    </w:p>
    <w:p>
      <w:pPr>
        <w:ind w:left="1280" w:right="140" w:hanging="546"/>
        <w:spacing w:after="0" w:line="342" w:lineRule="auto"/>
        <w:tabs>
          <w:tab w:leader="none" w:pos="12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second part of the Incentive Fee (the “Capital Gains Fee”) will be determined and payable in arrears as of the end of each calendar year (or upon termination of this Agreement as set forth below), commencing on December 31, 2018, and will equal 17.5%</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80" w:top="301" w:right="459" w:bottom="1440" w:gutter="0" w:footer="0" w:header="0"/>
        </w:sectPr>
      </w:pPr>
    </w:p>
    <w:bookmarkStart w:id="237" w:name="page238"/>
    <w:bookmarkEnd w:id="237"/>
    <w:p>
      <w:pPr>
        <w:ind w:left="1300"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Corporation’s realized capital gains, if any, on a cumulative basis from inception through the end of each calendar year, computed net of all realized capital losses and unrealized capital depreciation on a cumulative basis, less the aggregate amount of any previously paid Capital Gains Fees. In the event that this Agreement shall terminate as of a date that is not a calendar year end, the termination date shall be treated as though it were a calendar year end for purposes of calculating and paying a Capital Gains Fee.</w:t>
      </w:r>
    </w:p>
    <w:p>
      <w:pPr>
        <w:spacing w:after="0" w:line="181" w:lineRule="exact"/>
        <w:rPr>
          <w:sz w:val="20"/>
          <w:szCs w:val="20"/>
          <w:color w:val="auto"/>
        </w:rPr>
      </w:pPr>
    </w:p>
    <w:p>
      <w:pPr>
        <w:ind w:left="-20" w:right="240" w:firstLine="444"/>
        <w:spacing w:after="0" w:line="264" w:lineRule="auto"/>
        <w:tabs>
          <w:tab w:leader="none" w:pos="772"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Covenants of the Advise</w:t>
      </w:r>
      <w:r>
        <w:rPr>
          <w:rFonts w:ascii="Arial" w:cs="Arial" w:eastAsia="Arial" w:hAnsi="Arial"/>
          <w:sz w:val="18"/>
          <w:szCs w:val="18"/>
          <w:color w:val="auto"/>
        </w:rPr>
        <w:t>r. The Adviser covenants that it is registered as an investment adviser under the Advisers Act. The Adviser agrees that its activities will at all times be in compliance in all material respects with all applicable federal and state laws governing its operations and investments.</w:t>
      </w:r>
    </w:p>
    <w:p>
      <w:pPr>
        <w:spacing w:after="0" w:line="208" w:lineRule="exact"/>
        <w:rPr>
          <w:rFonts w:ascii="Arial" w:cs="Arial" w:eastAsia="Arial" w:hAnsi="Arial"/>
          <w:sz w:val="18"/>
          <w:szCs w:val="18"/>
          <w:color w:val="auto"/>
        </w:rPr>
      </w:pPr>
    </w:p>
    <w:p>
      <w:pPr>
        <w:ind w:left="-20" w:right="20" w:firstLine="444"/>
        <w:spacing w:after="0" w:line="254" w:lineRule="auto"/>
        <w:tabs>
          <w:tab w:leader="none" w:pos="772"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Excess Brokerage Commissions</w:t>
      </w:r>
      <w:r>
        <w:rPr>
          <w:rFonts w:ascii="Arial" w:cs="Arial" w:eastAsia="Arial" w:hAnsi="Arial"/>
          <w:sz w:val="18"/>
          <w:szCs w:val="18"/>
          <w:color w:val="auto"/>
        </w:rPr>
        <w:t>. The Adviser is hereby authorized, to the fullest extent now or hereafter permitted by law, to cause the Corporation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Corporation’s portfolio, and constitutes the best net results for the Corporation.</w:t>
      </w:r>
    </w:p>
    <w:p>
      <w:pPr>
        <w:spacing w:after="0" w:line="219" w:lineRule="exact"/>
        <w:rPr>
          <w:rFonts w:ascii="Arial" w:cs="Arial" w:eastAsia="Arial" w:hAnsi="Arial"/>
          <w:sz w:val="18"/>
          <w:szCs w:val="18"/>
          <w:color w:val="auto"/>
        </w:rPr>
      </w:pPr>
    </w:p>
    <w:p>
      <w:pPr>
        <w:ind w:left="-20" w:firstLine="444"/>
        <w:spacing w:after="0" w:line="268" w:lineRule="auto"/>
        <w:tabs>
          <w:tab w:leader="none" w:pos="772"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Limitations on the Employment of the Adviser</w:t>
      </w:r>
      <w:r>
        <w:rPr>
          <w:rFonts w:ascii="Arial" w:cs="Arial" w:eastAsia="Arial" w:hAnsi="Arial"/>
          <w:sz w:val="17"/>
          <w:szCs w:val="17"/>
          <w:color w:val="auto"/>
        </w:rPr>
        <w:t>. The services of the Adviser to the Corporation are not exclusive, and the Adviser may engage in any other business or render similar or different services to others including, without limitation, the direct or indirect sponsorship or management of other investment based accounts or commingled pools of capital, however structured, having investment objectives similar to those of the Corporation, so long as its services to the Corporation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Corporation’s portfolio companies, subject to applicable law). So long as this Agreement or any extension, renewal or amendment remains in effect, the Adviser shall be the only investment adviser for the Corporation, subject to the Adviser’s right to enter into sub-advisory agreements. The Adviser assumes no responsibility under this Agreement other than to render the services called for hereunder. It is understood that directors, officers, employees and stockholders of the Corporation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Corporation as stockholders or otherwise.</w:t>
      </w:r>
    </w:p>
    <w:p>
      <w:pPr>
        <w:spacing w:after="0" w:line="214" w:lineRule="exact"/>
        <w:rPr>
          <w:rFonts w:ascii="Arial" w:cs="Arial" w:eastAsia="Arial" w:hAnsi="Arial"/>
          <w:sz w:val="17"/>
          <w:szCs w:val="17"/>
          <w:color w:val="auto"/>
        </w:rPr>
      </w:pPr>
    </w:p>
    <w:p>
      <w:pPr>
        <w:ind w:left="-20" w:right="120" w:firstLine="444"/>
        <w:spacing w:after="0" w:line="257" w:lineRule="auto"/>
        <w:tabs>
          <w:tab w:leader="none" w:pos="772"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Responsibility of Dual Directors, Officers and/or Employees</w:t>
      </w:r>
      <w:r>
        <w:rPr>
          <w:rFonts w:ascii="Arial" w:cs="Arial" w:eastAsia="Arial" w:hAnsi="Arial"/>
          <w:sz w:val="18"/>
          <w:szCs w:val="18"/>
          <w:color w:val="auto"/>
        </w:rPr>
        <w:t>. If any person who is a manager, partner, officer or employee of the Adviser or the Administrator is or becomes a director, officer and/or employee of the Corporation and acts as such in any business of the Corporation, then such manager, partner, officer and/or employee of the Adviser or the Administrator shall be deemed to be acting in such capacity solely for the Corporation, and not as a manager, partner, officer or employee of the Adviser or the Administrator or under the control or direction of the Adviser or the Administrator, even if paid by the Adviser or the Administrator.</w:t>
      </w:r>
    </w:p>
    <w:p>
      <w:pPr>
        <w:spacing w:after="0" w:line="215" w:lineRule="exact"/>
        <w:rPr>
          <w:rFonts w:ascii="Arial" w:cs="Arial" w:eastAsia="Arial" w:hAnsi="Arial"/>
          <w:sz w:val="18"/>
          <w:szCs w:val="18"/>
          <w:color w:val="auto"/>
        </w:rPr>
      </w:pPr>
    </w:p>
    <w:p>
      <w:pPr>
        <w:ind w:left="-20" w:right="40" w:firstLine="444"/>
        <w:spacing w:after="0" w:line="271" w:lineRule="auto"/>
        <w:tabs>
          <w:tab w:leader="none" w:pos="772"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Limitation of Liability of the Adviser; Indemnification</w:t>
      </w:r>
      <w:r>
        <w:rPr>
          <w:rFonts w:ascii="Arial" w:cs="Arial" w:eastAsia="Arial" w:hAnsi="Arial"/>
          <w:sz w:val="17"/>
          <w:szCs w:val="17"/>
          <w:color w:val="auto"/>
        </w:rPr>
        <w:t>. The Adviser (and its officers, managers, partners, agents, employees, controlling persons, members and any other person or entity affiliated with the Adviser, including without limitation its general partner and the Administrator) shall not be liable to the Corporation for any action taken or omitted to be taken by the Adviser in connection with the performance of any of its duties or obligations under this Agreement or otherwise as an investment adviser of the Corporation, except to the extent specified in Section 36(b) of the Investment Company Act concerning loss resulting from a breach of fiduciary duty (as the same is finally determined by judicial proceedings) with respect to the receipt of compensation for services, and the Corporation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238" w:name="page239"/>
    <w:bookmarkEnd w:id="23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 adviser of the Corporation. Notwithstanding the preceding sentence of this Paragraph 8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Investment Company Act and any interpretations or guidance by the Securities and Exchange Commission or its staff thereunder).</w:t>
      </w:r>
    </w:p>
    <w:p>
      <w:pPr>
        <w:spacing w:after="0" w:line="205" w:lineRule="exact"/>
        <w:rPr>
          <w:sz w:val="20"/>
          <w:szCs w:val="20"/>
          <w:color w:val="auto"/>
        </w:rPr>
      </w:pPr>
    </w:p>
    <w:p>
      <w:pPr>
        <w:jc w:val="both"/>
        <w:ind w:right="460" w:firstLine="534"/>
        <w:spacing w:after="0" w:line="291" w:lineRule="auto"/>
        <w:tabs>
          <w:tab w:leader="none" w:pos="882"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Effectiveness, Duration and Termination of Agreement</w:t>
      </w:r>
      <w:r>
        <w:rPr>
          <w:rFonts w:ascii="Arial" w:cs="Arial" w:eastAsia="Arial" w:hAnsi="Arial"/>
          <w:sz w:val="16"/>
          <w:szCs w:val="16"/>
          <w:color w:val="auto"/>
        </w:rPr>
        <w:t>. This Agreement shall become effective as of the first date above written. This Agreement shall continue automatically for successive annual periods, provided that such continuance is specifically approved at least annually by</w:t>
      </w:r>
    </w:p>
    <w:p>
      <w:pPr>
        <w:ind w:right="80" w:firstLine="4"/>
        <w:spacing w:after="0" w:line="268" w:lineRule="auto"/>
        <w:tabs>
          <w:tab w:leader="none" w:pos="24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vote of the Corporation’s Board of Directors, or by the vote of a majority of the outstanding voting securities of the Corporation and (b) the vote of a majority of the Corporation’s Directors who are not parties to this Agreement or “interested persons” (as such term is defined in Section 2(a)(19) of the Investment Company Act) of any such party, in accordance with the requirements of the Investment Company Act. This Agreement may be terminated at any time, without the payment of any penalty, upon 60 days’ written notice, by the vote of a majority of the outstanding voting securities of the Corporation, or by the vote of the Corporation’s Directors or by the Adviser. This Agreement will automatically terminate in the event of its “assignment” (as such term is defined for purposes of Section 15(a)(4) of the Investment Company Act). The provisions of Paragraph 8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206" w:lineRule="exact"/>
        <w:rPr>
          <w:rFonts w:ascii="Arial" w:cs="Arial" w:eastAsia="Arial" w:hAnsi="Arial"/>
          <w:sz w:val="17"/>
          <w:szCs w:val="17"/>
          <w:color w:val="auto"/>
        </w:rPr>
      </w:pPr>
    </w:p>
    <w:p>
      <w:pPr>
        <w:ind w:right="20" w:firstLine="444"/>
        <w:spacing w:after="0" w:line="277" w:lineRule="auto"/>
        <w:tabs>
          <w:tab w:leader="none" w:pos="882"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under this Agreement shall be given in writing, addressed and delivered or mailed, postage prepaid, to the other party at its principal office.</w:t>
      </w:r>
    </w:p>
    <w:p>
      <w:pPr>
        <w:spacing w:after="0" w:line="197" w:lineRule="exact"/>
        <w:rPr>
          <w:rFonts w:ascii="Arial" w:cs="Arial" w:eastAsia="Arial" w:hAnsi="Arial"/>
          <w:sz w:val="18"/>
          <w:szCs w:val="18"/>
          <w:color w:val="auto"/>
        </w:rPr>
      </w:pPr>
    </w:p>
    <w:p>
      <w:pPr>
        <w:ind w:right="80" w:firstLine="444"/>
        <w:spacing w:after="0" w:line="277" w:lineRule="auto"/>
        <w:tabs>
          <w:tab w:leader="none" w:pos="875"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by mutual consent, but the consent of the Corporation must be obtained in conformity with the requirements of the Investment Company Act.</w:t>
      </w:r>
    </w:p>
    <w:p>
      <w:pPr>
        <w:spacing w:after="0" w:line="197" w:lineRule="exact"/>
        <w:rPr>
          <w:rFonts w:ascii="Arial" w:cs="Arial" w:eastAsia="Arial" w:hAnsi="Arial"/>
          <w:sz w:val="18"/>
          <w:szCs w:val="18"/>
          <w:color w:val="auto"/>
        </w:rPr>
      </w:pPr>
    </w:p>
    <w:p>
      <w:pPr>
        <w:ind w:right="160" w:firstLine="444"/>
        <w:spacing w:after="0" w:line="279" w:lineRule="auto"/>
        <w:tabs>
          <w:tab w:leader="none" w:pos="882"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This Agreement contains the entire agreement of the parties and supersedes all prior agreements, understandings and arrangements with respect to the subject matter hereof. This Agreement shall be construed in accordance with the laws of the State of New York and the applicable provisions of the Investment Company Act. To the extent the applicable laws of the State of New York, or any of the provisions herein, conflict with the provisions of the Investment Company Act, the latter shall control.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on the date above written.</w:t>
      </w:r>
    </w:p>
    <w:p>
      <w:pPr>
        <w:spacing w:after="0" w:line="37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Chief Executive Officer and Chairman of the Board of</w:t>
            </w:r>
          </w:p>
        </w:tc>
      </w:tr>
      <w:tr>
        <w:trPr>
          <w:trHeight w:val="230"/>
        </w:trPr>
        <w:tc>
          <w:tcPr>
            <w:tcW w:w="7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Directors</w:t>
            </w:r>
          </w:p>
        </w:tc>
      </w:tr>
      <w:tr>
        <w:trPr>
          <w:trHeight w:val="756"/>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PENNANTPARK INVESTMENT ADVISERS,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[Signature Page to Third Amended and Restated Investment Advisory Management Agreement]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00"/>
          </w:cols>
          <w:pgMar w:left="880" w:top="274" w:right="4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(n)(1)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consent to use in this Pre-Effective Amendment No. 1 to the Registration Statement (No. 333-230014) on Form N-2 of PennantPark Investment Corporation and its Subsidiaries of our reports dated November 15, 2018, relating to the consolidated financial statements and the effectiveness of internal control over financial reporting of PennantPark Investment Corporation and its Subsidiaries, appearing in the Prospectus, which is part of this Registration Statement, and of our report dated November 15, 2018, relating to the senior securities table appearing elsewhere in this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“Independent Registered Public Accounting Firm”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12, 2019</w:t>
      </w:r>
    </w:p>
    <w:p>
      <w:pPr>
        <w:sectPr>
          <w:pgSz w:w="11900" w:h="16838" w:orient="portrait"/>
          <w:cols w:equalWidth="0" w:num="1">
            <w:col w:w="11420"/>
          </w:cols>
          <w:pgMar w:left="240" w:top="121"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audit of the consolidated financial statements and internal control over financial reporting referred to in our reports dated November 15, 2018, (appearing in the accompanying registration statement on Form N-2) also included an audit of the senior securities table of PennantPark Investment Corporation and its Subsidiaries appearing in this Registration Statement on Form N-2. This table is the responsibility of PennantPark Investment Corporation and its Subsidiaries’ management. Our responsibility is to express an opinion based on our audit of the consolidated financial statements.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our opinion, the senior securities table,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2018</w:t>
      </w:r>
    </w:p>
    <w:p>
      <w:pPr>
        <w:sectPr>
          <w:pgSz w:w="11900" w:h="16838" w:orient="portrait"/>
          <w:cols w:equalWidth="0" w:num="1">
            <w:col w:w="11420"/>
          </w:cols>
          <w:pgMar w:left="240" w:top="121"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(n)(3)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PennantPark Investment Corporation and its Subsidiaries for the periods ended December 31, 2018 and 2017, as indicated in our report dated February, 7, 2019; because we did not perform an audit, we expressed no opinion on that information.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aware that our report referred to above, which was included in your Quarterly Report on Form 10-Q for the quarter ended December 31, 2018, is being used in this Pre-Effective Amendment No. 1 to the Registration Statement.</w:t>
      </w:r>
    </w:p>
    <w:p>
      <w:pPr>
        <w:spacing w:after="0" w:line="170"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12, 2019</w:t>
      </w:r>
    </w:p>
    <w:p>
      <w:pPr>
        <w:sectPr>
          <w:pgSz w:w="11900" w:h="16838" w:orient="portrait"/>
          <w:cols w:equalWidth="0" w:num="1">
            <w:col w:w="11420"/>
          </w:cols>
          <w:pgMar w:left="240" w:top="121"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(n)(4)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consent to the use in this Pre-Effective Amendment No. 1 to the Registration Statement on Form N-2 of PennantPark Investment Corporation, to be filed on or about April 12, 2019, of our report dated November 13, 2018 relating to the consolidated financial statements of Superior Digital Displays Holdings, Inc. and Subsidiaries as of September 30, 2018 and for the year then ended, which appears in this Registration Statement. Our report includes an emphasis of a matter paragraph regarding Superior Digital Displays Holdings, Inc. and Subsidiaries’ reliance on financing from a related party in order to meet its obligations. We also consent to the reference to our firm under the caption “Independent Auditor” in such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12, 2019</w:t>
      </w:r>
    </w:p>
    <w:p>
      <w:pPr>
        <w:sectPr>
          <w:pgSz w:w="11900" w:h="16838" w:orient="portrait"/>
          <w:cols w:equalWidth="0" w:num="1">
            <w:col w:w="11420"/>
          </w:cols>
          <w:pgMar w:left="240" w:top="121"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(s)(6)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SUPERIOR DIGITAL DISPLAYS</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HOLDINGS, INC. AND SUBSIDIARIES</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CONSOLIDATED FINANCIAL STATEMENTS</w:t>
      </w:r>
    </w:p>
    <w:p>
      <w:pPr>
        <w:spacing w:after="0" w:line="23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SEPTEMBER 30, 2018</w:t>
      </w:r>
    </w:p>
    <w:p>
      <w:pPr>
        <w:sectPr>
          <w:pgSz w:w="11900" w:h="16838" w:orient="portrait"/>
          <w:cols w:equalWidth="0" w:num="1">
            <w:col w:w="10220"/>
          </w:cols>
          <w:pgMar w:left="1440" w:top="121" w:right="239" w:bottom="1440" w:gutter="0" w:footer="0" w:header="0"/>
        </w:sectPr>
      </w:pPr>
    </w:p>
    <w:bookmarkStart w:id="245" w:name="page246"/>
    <w:bookmarkEnd w:id="245"/>
    <w:p>
      <w:pPr>
        <w:ind w:right="5460"/>
        <w:spacing w:after="0" w:line="3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SUPERIOR DIGITAL DISPLAYS HOLDINGS, INC. AND SUBSIDIARIES Contents</w:t>
      </w:r>
    </w:p>
    <w:tbl>
      <w:tblPr>
        <w:tblLayout w:type="fixed"/>
        <w:tblInd w:w="0" w:type="dxa"/>
        <w:tblCellMar>
          <w:top w:w="0" w:type="dxa"/>
          <w:left w:w="0" w:type="dxa"/>
          <w:bottom w:w="0" w:type="dxa"/>
          <w:right w:w="0" w:type="dxa"/>
        </w:tblCellMar>
      </w:tblPr>
      <w:tr>
        <w:trPr>
          <w:trHeight w:val="171"/>
        </w:trPr>
        <w:tc>
          <w:tcPr>
            <w:tcW w:w="10880" w:type="dxa"/>
            <w:vAlign w:val="bottom"/>
            <w:vMerge w:val="restart"/>
          </w:tcPr>
          <w:p>
            <w:pPr>
              <w:spacing w:after="0"/>
              <w:rPr>
                <w:sz w:val="20"/>
                <w:szCs w:val="20"/>
                <w:color w:val="auto"/>
              </w:rPr>
            </w:pPr>
            <w:r>
              <w:rPr>
                <w:rFonts w:ascii="Arial" w:cs="Arial" w:eastAsia="Arial" w:hAnsi="Arial"/>
                <w:sz w:val="18"/>
                <w:szCs w:val="18"/>
                <w:b w:val="1"/>
                <w:bCs w:val="1"/>
                <w:color w:val="auto"/>
              </w:rPr>
              <w:t>Independent Auditors’ Report</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880" w:type="dxa"/>
            <w:vAlign w:val="bottom"/>
            <w:vMerge w:val="continue"/>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88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80" w:type="dxa"/>
            <w:vAlign w:val="bottom"/>
          </w:tcPr>
          <w:p>
            <w:pPr>
              <w:ind w:left="360"/>
              <w:spacing w:after="0"/>
              <w:rPr>
                <w:sz w:val="20"/>
                <w:szCs w:val="20"/>
                <w:color w:val="auto"/>
              </w:rPr>
            </w:pPr>
            <w:r>
              <w:rPr>
                <w:rFonts w:ascii="Arial" w:cs="Arial" w:eastAsia="Arial" w:hAnsi="Arial"/>
                <w:sz w:val="18"/>
                <w:szCs w:val="18"/>
                <w:color w:val="auto"/>
              </w:rPr>
              <w:t>Consolidated balance sheet as of September 30, 2018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0880" w:type="dxa"/>
            <w:vAlign w:val="bottom"/>
          </w:tcPr>
          <w:p>
            <w:pPr>
              <w:ind w:left="360"/>
              <w:spacing w:after="0"/>
              <w:rPr>
                <w:sz w:val="20"/>
                <w:szCs w:val="20"/>
                <w:color w:val="auto"/>
              </w:rPr>
            </w:pPr>
            <w:r>
              <w:rPr>
                <w:rFonts w:ascii="Arial" w:cs="Arial" w:eastAsia="Arial" w:hAnsi="Arial"/>
                <w:sz w:val="18"/>
                <w:szCs w:val="18"/>
                <w:color w:val="auto"/>
              </w:rPr>
              <w:t>Consolidated statement of operations for the year ended September 30, 2018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0880" w:type="dxa"/>
            <w:vAlign w:val="bottom"/>
          </w:tcPr>
          <w:p>
            <w:pPr>
              <w:ind w:left="360"/>
              <w:spacing w:after="0"/>
              <w:rPr>
                <w:sz w:val="20"/>
                <w:szCs w:val="20"/>
                <w:color w:val="auto"/>
              </w:rPr>
            </w:pPr>
            <w:r>
              <w:rPr>
                <w:rFonts w:ascii="Arial" w:cs="Arial" w:eastAsia="Arial" w:hAnsi="Arial"/>
                <w:sz w:val="18"/>
                <w:szCs w:val="18"/>
                <w:color w:val="auto"/>
              </w:rPr>
              <w:t>Consolidated statement of stockholders’ deficit for the year ended September 30, 2018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880" w:type="dxa"/>
            <w:vAlign w:val="bottom"/>
          </w:tcPr>
          <w:p>
            <w:pPr>
              <w:ind w:left="360"/>
              <w:spacing w:after="0"/>
              <w:rPr>
                <w:sz w:val="20"/>
                <w:szCs w:val="20"/>
                <w:color w:val="auto"/>
              </w:rPr>
            </w:pPr>
            <w:r>
              <w:rPr>
                <w:rFonts w:ascii="Arial" w:cs="Arial" w:eastAsia="Arial" w:hAnsi="Arial"/>
                <w:sz w:val="18"/>
                <w:szCs w:val="18"/>
                <w:color w:val="auto"/>
              </w:rPr>
              <w:t>Consolidated statement of cash flows for the year ended September 30, 2018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880" w:type="dxa"/>
            <w:vAlign w:val="bottom"/>
          </w:tcPr>
          <w:p>
            <w:pPr>
              <w:ind w:left="360"/>
              <w:spacing w:after="0"/>
              <w:rPr>
                <w:sz w:val="20"/>
                <w:szCs w:val="20"/>
                <w:color w:val="auto"/>
              </w:rPr>
            </w:pPr>
            <w:r>
              <w:rPr>
                <w:rFonts w:ascii="Arial" w:cs="Arial" w:eastAsia="Arial" w:hAnsi="Arial"/>
                <w:sz w:val="18"/>
                <w:szCs w:val="18"/>
                <w:color w:val="auto"/>
              </w:rPr>
              <w:t>Notes to the consolidated financial statements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7 - 17</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246" w:name="page247"/>
    <w:bookmarkEnd w:id="246"/>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14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8147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Superior Digital Displays Holdings, Inc. and Subsidiaries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Consolidated Financial Statements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audited the accompanying consolidated financial statements of Superior Digital Displays Holdings, Inc. and Subsidiaries (the “Company”), which comprise the consolidated balance sheet as of September 30, 2018, and the related consolidated statements of operations, changes in stockholders’ deficit, and cash flows for the year then ended, and the related notes to the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Superior Digital Displays Holdings, Inc. and Subsidiaries as of September 30, 2018, and the consolidated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6943090</wp:posOffset>
            </wp:positionH>
            <wp:positionV relativeFrom="paragraph">
              <wp:posOffset>131445</wp:posOffset>
            </wp:positionV>
            <wp:extent cx="308610" cy="283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08610" cy="28321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89735" cy="2317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1689735" cy="231775"/>
                    </a:xfrm>
                    <a:prstGeom prst="rect">
                      <a:avLst/>
                    </a:prstGeom>
                    <a:noFill/>
                  </pic:spPr>
                </pic:pic>
              </a:graphicData>
            </a:graphic>
          </wp:anchor>
        </w:drawing>
        <w:t>Emphasis of Matter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Notes A, D, and G, the Company relies on financing from a related party in order to meet its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6985635</wp:posOffset>
            </wp:positionH>
            <wp:positionV relativeFrom="paragraph">
              <wp:posOffset>100330</wp:posOffset>
            </wp:positionV>
            <wp:extent cx="266065" cy="2400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6065" cy="24003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34"/>
        </w:trPr>
        <w:tc>
          <w:tcPr>
            <w:tcW w:w="10340" w:type="dxa"/>
            <w:vAlign w:val="bottom"/>
          </w:tcPr>
          <w:p>
            <w:pPr>
              <w:spacing w:after="0"/>
              <w:rPr>
                <w:sz w:val="20"/>
                <w:szCs w:val="20"/>
                <w:color w:val="auto"/>
              </w:rPr>
            </w:pPr>
            <w:r>
              <w:rPr>
                <w:rFonts w:ascii="Arial" w:cs="Arial" w:eastAsia="Arial" w:hAnsi="Arial"/>
                <w:sz w:val="18"/>
                <w:szCs w:val="18"/>
                <w:b w:val="1"/>
                <w:bCs w:val="1"/>
                <w:color w:val="auto"/>
              </w:rPr>
              <w:t>SUPERIOR DIGITAL DISPLAYS HOLDINGS, INC. AND SUBSIDIARIES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0340" w:type="dxa"/>
            <w:vAlign w:val="bottom"/>
          </w:tcPr>
          <w:p>
            <w:pPr>
              <w:spacing w:after="0"/>
              <w:rPr>
                <w:sz w:val="20"/>
                <w:szCs w:val="20"/>
                <w:color w:val="auto"/>
              </w:rPr>
            </w:pPr>
            <w:r>
              <w:rPr>
                <w:rFonts w:ascii="Arial" w:cs="Arial" w:eastAsia="Arial" w:hAnsi="Arial"/>
                <w:sz w:val="18"/>
                <w:szCs w:val="18"/>
                <w:b w:val="1"/>
                <w:bCs w:val="1"/>
                <w:color w:val="auto"/>
              </w:rPr>
              <w:t>Consolidated Balance Sheet</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340" w:type="dxa"/>
            <w:vAlign w:val="bottom"/>
          </w:tcPr>
          <w:p>
            <w:pPr>
              <w:spacing w:after="0"/>
              <w:rPr>
                <w:sz w:val="20"/>
                <w:szCs w:val="20"/>
                <w:color w:val="auto"/>
              </w:rPr>
            </w:pPr>
            <w:r>
              <w:rPr>
                <w:rFonts w:ascii="Arial" w:cs="Arial" w:eastAsia="Arial" w:hAnsi="Arial"/>
                <w:sz w:val="18"/>
                <w:szCs w:val="18"/>
                <w:b w:val="1"/>
                <w:bCs w:val="1"/>
                <w:color w:val="auto"/>
              </w:rPr>
              <w:t>September 30, 2018</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3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34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381,273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340" w:type="dxa"/>
            <w:vAlign w:val="bottom"/>
          </w:tcPr>
          <w:p>
            <w:pPr>
              <w:ind w:left="720"/>
              <w:spacing w:after="0"/>
              <w:rPr>
                <w:sz w:val="20"/>
                <w:szCs w:val="20"/>
                <w:color w:val="auto"/>
              </w:rPr>
            </w:pPr>
            <w:r>
              <w:rPr>
                <w:rFonts w:ascii="Arial" w:cs="Arial" w:eastAsia="Arial" w:hAnsi="Arial"/>
                <w:sz w:val="18"/>
                <w:szCs w:val="18"/>
                <w:color w:val="auto"/>
              </w:rPr>
              <w:t>Cash</w:t>
            </w:r>
          </w:p>
        </w:tc>
        <w:tc>
          <w:tcPr>
            <w:tcW w:w="1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tcPr>
          <w:p>
            <w:pPr>
              <w:ind w:left="7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434,994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20,460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196,957</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34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1,033,684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0340" w:type="dxa"/>
            <w:vAlign w:val="bottom"/>
          </w:tcPr>
          <w:p>
            <w:pPr>
              <w:ind w:left="360"/>
              <w:spacing w:after="0"/>
              <w:rPr>
                <w:sz w:val="20"/>
                <w:szCs w:val="20"/>
                <w:color w:val="auto"/>
              </w:rPr>
            </w:pPr>
            <w:r>
              <w:rPr>
                <w:rFonts w:ascii="Arial" w:cs="Arial" w:eastAsia="Arial" w:hAnsi="Arial"/>
                <w:sz w:val="18"/>
                <w:szCs w:val="18"/>
                <w:color w:val="auto"/>
              </w:rPr>
              <w:t>Signs and equipment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6,573,860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3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89,202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720"/>
              <w:spacing w:after="0"/>
              <w:rPr>
                <w:sz w:val="20"/>
                <w:szCs w:val="20"/>
                <w:color w:val="auto"/>
              </w:rPr>
            </w:pPr>
            <w:r>
              <w:rPr>
                <w:rFonts w:ascii="Arial" w:cs="Arial" w:eastAsia="Arial" w:hAnsi="Arial"/>
                <w:sz w:val="18"/>
                <w:szCs w:val="18"/>
                <w:color w:val="auto"/>
              </w:rPr>
              <w:t>Deferred costs, net of accumulated amortization</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34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7,696,746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3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34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62,595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4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1,144,128</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34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1,206,723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10340" w:type="dxa"/>
            <w:vAlign w:val="bottom"/>
          </w:tcPr>
          <w:p>
            <w:pPr>
              <w:ind w:left="360"/>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22,913,696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340" w:type="dxa"/>
            <w:vAlign w:val="bottom"/>
          </w:tcPr>
          <w:p>
            <w:pPr>
              <w:ind w:left="720"/>
              <w:spacing w:after="0"/>
              <w:rPr>
                <w:sz w:val="20"/>
                <w:szCs w:val="20"/>
                <w:color w:val="auto"/>
              </w:rPr>
            </w:pPr>
            <w:r>
              <w:rPr>
                <w:rFonts w:ascii="Arial" w:cs="Arial" w:eastAsia="Arial" w:hAnsi="Arial"/>
                <w:sz w:val="18"/>
                <w:szCs w:val="18"/>
                <w:color w:val="auto"/>
              </w:rPr>
              <w:t>Related party notes payable, net</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40" w:type="dxa"/>
            <w:vAlign w:val="bottom"/>
          </w:tcPr>
          <w:p>
            <w:pPr>
              <w:ind w:left="720"/>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152,250</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340" w:type="dxa"/>
            <w:vAlign w:val="bottom"/>
          </w:tcPr>
          <w:p>
            <w:pPr>
              <w:ind w:left="1080"/>
              <w:spacing w:after="0"/>
              <w:rPr>
                <w:sz w:val="20"/>
                <w:szCs w:val="20"/>
                <w:color w:val="auto"/>
              </w:rPr>
            </w:pPr>
            <w:r>
              <w:rPr>
                <w:rFonts w:ascii="Arial" w:cs="Arial" w:eastAsia="Arial" w:hAnsi="Arial"/>
                <w:sz w:val="18"/>
                <w:szCs w:val="18"/>
                <w:color w:val="auto"/>
              </w:rPr>
              <w:t>Total long term liabilities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23,065,946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0340" w:type="dxa"/>
            <w:vAlign w:val="bottom"/>
          </w:tcPr>
          <w:p>
            <w:pPr>
              <w:spacing w:after="0"/>
              <w:rPr>
                <w:sz w:val="20"/>
                <w:szCs w:val="20"/>
                <w:color w:val="auto"/>
              </w:rPr>
            </w:pPr>
            <w:r>
              <w:rPr>
                <w:rFonts w:ascii="Arial" w:cs="Arial" w:eastAsia="Arial" w:hAnsi="Arial"/>
                <w:sz w:val="18"/>
                <w:szCs w:val="18"/>
                <w:color w:val="auto"/>
              </w:rPr>
              <w:t>Commitments and contingencies (see Note J)</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340" w:type="dxa"/>
            <w:vAlign w:val="bottom"/>
          </w:tcPr>
          <w:p>
            <w:pPr>
              <w:ind w:left="360"/>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340" w:type="dxa"/>
            <w:vAlign w:val="bottom"/>
          </w:tcPr>
          <w:p>
            <w:pPr>
              <w:ind w:left="7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tcPr>
          <w:p>
            <w:pPr>
              <w:ind w:left="72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8,723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31,802,791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4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(48,387,635)</w:t>
            </w:r>
          </w:p>
        </w:tc>
        <w:tc>
          <w:tcPr>
            <w:tcW w:w="0" w:type="dxa"/>
            <w:vAlign w:val="bottom"/>
          </w:tcPr>
          <w:p>
            <w:pPr>
              <w:spacing w:after="0"/>
              <w:rPr>
                <w:sz w:val="1"/>
                <w:szCs w:val="1"/>
                <w:color w:val="auto"/>
              </w:rPr>
            </w:pPr>
          </w:p>
        </w:tc>
      </w:tr>
      <w:tr>
        <w:trPr>
          <w:trHeight w:val="223"/>
        </w:trPr>
        <w:tc>
          <w:tcPr>
            <w:tcW w:w="10340" w:type="dxa"/>
            <w:vAlign w:val="bottom"/>
          </w:tcPr>
          <w:p>
            <w:pPr>
              <w:ind w:left="1080"/>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9"/>
              </w:rPr>
              <w:t>(16,575,923</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23"/>
        </w:trPr>
        <w:tc>
          <w:tcPr>
            <w:tcW w:w="10340" w:type="dxa"/>
            <w:vAlign w:val="bottom"/>
          </w:tcPr>
          <w:p>
            <w:pPr>
              <w:ind w:left="1080"/>
              <w:spacing w:after="0"/>
              <w:rPr>
                <w:sz w:val="20"/>
                <w:szCs w:val="20"/>
                <w:color w:val="auto"/>
              </w:rPr>
            </w:pPr>
            <w:r>
              <w:rPr>
                <w:rFonts w:ascii="Arial" w:cs="Arial" w:eastAsia="Arial" w:hAnsi="Arial"/>
                <w:sz w:val="18"/>
                <w:szCs w:val="18"/>
                <w:color w:val="auto"/>
              </w:rPr>
              <w:t>Total liabilites and stockholders’ deficit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7,696,746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340" w:type="dxa"/>
            <w:vAlign w:val="bottom"/>
          </w:tcPr>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tc>
        <w:tc>
          <w:tcPr>
            <w:tcW w:w="10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9" w:name="page250"/>
    <w:bookmarkEnd w:id="249"/>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SUPERIOR DIGITAL DISPLAYS HOLDINGS, INC. AND SUBSIDIARIES</w:t>
            </w:r>
          </w:p>
        </w:tc>
        <w:tc>
          <w:tcPr>
            <w:tcW w:w="2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16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Year Ended September 30, 2018</w:t>
            </w:r>
          </w:p>
        </w:tc>
        <w:tc>
          <w:tcPr>
            <w:tcW w:w="2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160" w:type="dxa"/>
            <w:vAlign w:val="bottom"/>
          </w:tcPr>
          <w:p>
            <w:pPr>
              <w:spacing w:after="0"/>
              <w:rPr>
                <w:sz w:val="20"/>
                <w:szCs w:val="20"/>
                <w:color w:val="auto"/>
              </w:rPr>
            </w:pPr>
            <w:r>
              <w:rPr>
                <w:rFonts w:ascii="Arial" w:cs="Arial" w:eastAsia="Arial" w:hAnsi="Arial"/>
                <w:sz w:val="18"/>
                <w:szCs w:val="18"/>
                <w:color w:val="auto"/>
              </w:rPr>
              <w:t>Net revenue</w:t>
            </w:r>
          </w:p>
        </w:tc>
        <w:tc>
          <w:tcPr>
            <w:tcW w:w="3200" w:type="dxa"/>
            <w:vAlign w:val="bottom"/>
            <w:gridSpan w:val="4"/>
          </w:tcPr>
          <w:p>
            <w:pPr>
              <w:jc w:val="right"/>
              <w:spacing w:after="0"/>
              <w:rPr>
                <w:sz w:val="20"/>
                <w:szCs w:val="20"/>
                <w:color w:val="auto"/>
              </w:rPr>
            </w:pPr>
            <w:r>
              <w:rPr>
                <w:rFonts w:ascii="Arial" w:cs="Arial" w:eastAsia="Arial" w:hAnsi="Arial"/>
                <w:sz w:val="18"/>
                <w:szCs w:val="18"/>
                <w:b w:val="1"/>
                <w:bCs w:val="1"/>
                <w:color w:val="auto"/>
              </w:rPr>
              <w:t>$ 1,985,715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60" w:type="dxa"/>
            <w:vAlign w:val="bottom"/>
          </w:tcPr>
          <w:p>
            <w:pPr>
              <w:spacing w:after="0"/>
              <w:rPr>
                <w:sz w:val="20"/>
                <w:szCs w:val="20"/>
                <w:color w:val="auto"/>
              </w:rPr>
            </w:pPr>
            <w:r>
              <w:rPr>
                <w:rFonts w:ascii="Arial" w:cs="Arial" w:eastAsia="Arial" w:hAnsi="Arial"/>
                <w:sz w:val="18"/>
                <w:szCs w:val="18"/>
                <w:color w:val="auto"/>
              </w:rPr>
              <w:t>Operating expenses</w:t>
            </w:r>
          </w:p>
        </w:tc>
        <w:tc>
          <w:tcPr>
            <w:tcW w:w="3200" w:type="dxa"/>
            <w:vAlign w:val="bottom"/>
            <w:gridSpan w:val="4"/>
          </w:tcPr>
          <w:p>
            <w:pPr>
              <w:jc w:val="right"/>
              <w:spacing w:after="0"/>
              <w:rPr>
                <w:sz w:val="20"/>
                <w:szCs w:val="20"/>
                <w:color w:val="auto"/>
              </w:rPr>
            </w:pPr>
            <w:r>
              <w:rPr>
                <w:rFonts w:ascii="Arial" w:cs="Arial" w:eastAsia="Arial" w:hAnsi="Arial"/>
                <w:sz w:val="18"/>
                <w:szCs w:val="18"/>
                <w:b w:val="1"/>
                <w:bCs w:val="1"/>
                <w:color w:val="auto"/>
              </w:rPr>
              <w:t>7,662,362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160" w:type="dxa"/>
            <w:vAlign w:val="bottom"/>
          </w:tcPr>
          <w:p>
            <w:pPr>
              <w:spacing w:after="0"/>
              <w:rPr>
                <w:sz w:val="20"/>
                <w:szCs w:val="20"/>
                <w:color w:val="auto"/>
              </w:rPr>
            </w:pPr>
            <w:r>
              <w:rPr>
                <w:rFonts w:ascii="Arial" w:cs="Arial" w:eastAsia="Arial" w:hAnsi="Arial"/>
                <w:sz w:val="18"/>
                <w:szCs w:val="18"/>
                <w:color w:val="auto"/>
              </w:rPr>
              <w:t>Operating loss</w:t>
            </w:r>
          </w:p>
        </w:tc>
        <w:tc>
          <w:tcPr>
            <w:tcW w:w="2280" w:type="dxa"/>
            <w:vAlign w:val="bottom"/>
          </w:tcPr>
          <w:p>
            <w:pPr>
              <w:spacing w:after="0"/>
              <w:rPr>
                <w:sz w:val="19"/>
                <w:szCs w:val="19"/>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(5,676,647)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816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3260" w:type="dxa"/>
            <w:vAlign w:val="bottom"/>
            <w:gridSpan w:val="5"/>
            <w:vMerge w:val="restart"/>
          </w:tcPr>
          <w:p>
            <w:pPr>
              <w:jc w:val="right"/>
              <w:ind w:right="40"/>
              <w:spacing w:after="0"/>
              <w:rPr>
                <w:sz w:val="20"/>
                <w:szCs w:val="20"/>
                <w:color w:val="auto"/>
              </w:rPr>
            </w:pPr>
            <w:r>
              <w:rPr>
                <w:rFonts w:ascii="Arial" w:cs="Arial" w:eastAsia="Arial" w:hAnsi="Arial"/>
                <w:sz w:val="18"/>
                <w:szCs w:val="18"/>
                <w:b w:val="1"/>
                <w:bCs w:val="1"/>
                <w:color w:val="auto"/>
              </w:rPr>
              <w:t>(3,577,999)</w:t>
            </w:r>
          </w:p>
        </w:tc>
        <w:tc>
          <w:tcPr>
            <w:tcW w:w="0" w:type="dxa"/>
            <w:vAlign w:val="bottom"/>
          </w:tcPr>
          <w:p>
            <w:pPr>
              <w:spacing w:after="0"/>
              <w:rPr>
                <w:sz w:val="1"/>
                <w:szCs w:val="1"/>
                <w:color w:val="auto"/>
              </w:rPr>
            </w:pPr>
          </w:p>
        </w:tc>
      </w:tr>
      <w:tr>
        <w:trPr>
          <w:trHeight w:val="212"/>
        </w:trPr>
        <w:tc>
          <w:tcPr>
            <w:tcW w:w="81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32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23"/>
        </w:trPr>
        <w:tc>
          <w:tcPr>
            <w:tcW w:w="8160" w:type="dxa"/>
            <w:vAlign w:val="bottom"/>
          </w:tcPr>
          <w:p>
            <w:pPr>
              <w:ind w:left="720"/>
              <w:spacing w:after="0"/>
              <w:rPr>
                <w:sz w:val="20"/>
                <w:szCs w:val="20"/>
                <w:color w:val="auto"/>
              </w:rPr>
            </w:pPr>
            <w:r>
              <w:rPr>
                <w:rFonts w:ascii="Arial" w:cs="Arial" w:eastAsia="Arial" w:hAnsi="Arial"/>
                <w:sz w:val="18"/>
                <w:szCs w:val="18"/>
                <w:color w:val="auto"/>
              </w:rPr>
              <w:t>Other expense, net</w:t>
            </w:r>
          </w:p>
        </w:tc>
        <w:tc>
          <w:tcPr>
            <w:tcW w:w="228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(3,578,089</w:t>
            </w:r>
          </w:p>
        </w:tc>
        <w:tc>
          <w:tcPr>
            <w:tcW w:w="8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(9,254,736</w:t>
            </w:r>
          </w:p>
        </w:tc>
        <w:tc>
          <w:tcPr>
            <w:tcW w:w="20" w:type="dxa"/>
            <w:vAlign w:val="bottom"/>
          </w:tcPr>
          <w:p>
            <w:pPr>
              <w:spacing w:after="0"/>
              <w:rPr>
                <w:sz w:val="19"/>
                <w:szCs w:val="19"/>
                <w:color w:val="auto"/>
              </w:rPr>
            </w:pPr>
          </w:p>
        </w:tc>
        <w:tc>
          <w:tcPr>
            <w:tcW w:w="8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60" w:type="dxa"/>
            <w:vAlign w:val="bottom"/>
          </w:tcPr>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tc>
        <w:tc>
          <w:tcPr>
            <w:tcW w:w="326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0" w:name="page251"/>
    <w:bookmarkEnd w:id="250"/>
    <w:p>
      <w:pPr>
        <w:ind w:right="5520"/>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SUPERIOR DIGITAL DISPLAYS HOLDINGS, INC. AND SUBSIDIARIES Consolidated Statement of Stockholders’ Deficit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w w:val="94"/>
              </w:rPr>
              <w:t>Superior Digital Displays Holdings, Inc.</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Preferred Stock</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240" w:type="dxa"/>
            <w:vAlign w:val="bottom"/>
            <w:gridSpan w:val="6"/>
          </w:tcPr>
          <w:p>
            <w:pPr>
              <w:ind w:left="80"/>
              <w:spacing w:after="0" w:line="142" w:lineRule="exact"/>
              <w:rPr>
                <w:sz w:val="20"/>
                <w:szCs w:val="20"/>
                <w:color w:val="auto"/>
              </w:rPr>
            </w:pPr>
            <w:r>
              <w:rPr>
                <w:rFonts w:ascii="Arial" w:cs="Arial" w:eastAsia="Arial" w:hAnsi="Arial"/>
                <w:sz w:val="14"/>
                <w:szCs w:val="14"/>
                <w:b w:val="1"/>
                <w:bCs w:val="1"/>
                <w:color w:val="auto"/>
              </w:rPr>
              <w:t>Common Stock</w:t>
            </w:r>
          </w:p>
        </w:tc>
        <w:tc>
          <w:tcPr>
            <w:tcW w:w="126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Series A</w:t>
            </w:r>
          </w:p>
        </w:tc>
        <w:tc>
          <w:tcPr>
            <w:tcW w:w="1300" w:type="dxa"/>
            <w:vAlign w:val="bottom"/>
            <w:gridSpan w:val="4"/>
          </w:tcPr>
          <w:p>
            <w:pPr>
              <w:jc w:val="right"/>
              <w:ind w:right="314"/>
              <w:spacing w:after="0" w:line="142" w:lineRule="exact"/>
              <w:rPr>
                <w:sz w:val="20"/>
                <w:szCs w:val="20"/>
                <w:color w:val="auto"/>
              </w:rPr>
            </w:pPr>
            <w:r>
              <w:rPr>
                <w:rFonts w:ascii="Arial" w:cs="Arial" w:eastAsia="Arial" w:hAnsi="Arial"/>
                <w:sz w:val="14"/>
                <w:szCs w:val="14"/>
                <w:b w:val="1"/>
                <w:bCs w:val="1"/>
                <w:color w:val="auto"/>
              </w:rPr>
              <w:t>Series B</w:t>
            </w:r>
          </w:p>
        </w:tc>
        <w:tc>
          <w:tcPr>
            <w:tcW w:w="160" w:type="dxa"/>
            <w:vAlign w:val="bottom"/>
          </w:tcPr>
          <w:p>
            <w:pPr>
              <w:spacing w:after="0"/>
              <w:rPr>
                <w:sz w:val="12"/>
                <w:szCs w:val="12"/>
                <w:color w:val="auto"/>
              </w:rPr>
            </w:pPr>
          </w:p>
        </w:tc>
        <w:tc>
          <w:tcPr>
            <w:tcW w:w="10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Paid-</w:t>
            </w:r>
          </w:p>
        </w:tc>
        <w:tc>
          <w:tcPr>
            <w:tcW w:w="80" w:type="dxa"/>
            <w:vAlign w:val="bottom"/>
          </w:tcPr>
          <w:p>
            <w:pPr>
              <w:spacing w:after="0"/>
              <w:rPr>
                <w:sz w:val="12"/>
                <w:szCs w:val="12"/>
                <w:color w:val="auto"/>
              </w:rPr>
            </w:pP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7"/>
              </w:rPr>
              <w:t>Accumulated</w:t>
            </w:r>
          </w:p>
        </w:tc>
        <w:tc>
          <w:tcPr>
            <w:tcW w:w="10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Opening balance - October 1, 2017</w:t>
            </w:r>
          </w:p>
        </w:tc>
        <w:tc>
          <w:tcPr>
            <w:tcW w:w="6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2"/>
                <w:szCs w:val="12"/>
                <w:color w:val="auto"/>
              </w:rPr>
            </w:pPr>
          </w:p>
        </w:tc>
        <w:tc>
          <w:tcPr>
            <w:tcW w:w="7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2"/>
                <w:szCs w:val="12"/>
                <w:color w:val="auto"/>
              </w:rPr>
            </w:pPr>
          </w:p>
        </w:tc>
        <w:tc>
          <w:tcPr>
            <w:tcW w:w="10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5"/>
              </w:rPr>
              <w:t>in Capital</w:t>
            </w:r>
          </w:p>
        </w:tc>
        <w:tc>
          <w:tcPr>
            <w:tcW w:w="80" w:type="dxa"/>
            <w:vAlign w:val="bottom"/>
          </w:tcPr>
          <w:p>
            <w:pPr>
              <w:spacing w:after="0"/>
              <w:rPr>
                <w:sz w:val="12"/>
                <w:szCs w:val="12"/>
                <w:color w:val="auto"/>
              </w:rPr>
            </w:pPr>
          </w:p>
        </w:tc>
        <w:tc>
          <w:tcPr>
            <w:tcW w:w="11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Deficit</w:t>
            </w:r>
          </w:p>
        </w:tc>
        <w:tc>
          <w:tcPr>
            <w:tcW w:w="10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19,793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79"/>
              </w:rPr>
              <w:t>198</w:t>
            </w:r>
          </w:p>
        </w:tc>
        <w:tc>
          <w:tcPr>
            <w:tcW w:w="160" w:type="dxa"/>
            <w:vAlign w:val="bottom"/>
          </w:tcPr>
          <w:p>
            <w:pPr>
              <w:spacing w:after="0"/>
              <w:rPr>
                <w:sz w:val="19"/>
                <w:szCs w:val="19"/>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37,046</w:t>
            </w:r>
          </w:p>
        </w:tc>
        <w:tc>
          <w:tcPr>
            <w:tcW w:w="160" w:type="dxa"/>
            <w:vAlign w:val="bottom"/>
          </w:tcPr>
          <w:p>
            <w:pPr>
              <w:spacing w:after="0"/>
              <w:rPr>
                <w:sz w:val="19"/>
                <w:szCs w:val="19"/>
                <w:color w:val="auto"/>
              </w:rPr>
            </w:pP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6"/>
              </w:rPr>
              <w:t>370</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479,158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21,201,367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(39,132,899)</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(17,926,172)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4120" w:type="dxa"/>
            <w:vAlign w:val="bottom"/>
          </w:tcPr>
          <w:p>
            <w:pPr>
              <w:spacing w:after="0"/>
              <w:rPr>
                <w:sz w:val="20"/>
                <w:szCs w:val="20"/>
                <w:color w:val="auto"/>
              </w:rPr>
            </w:pPr>
            <w:r>
              <w:rPr>
                <w:rFonts w:ascii="Arial" w:cs="Arial" w:eastAsia="Arial" w:hAnsi="Arial"/>
                <w:sz w:val="18"/>
                <w:szCs w:val="18"/>
                <w:color w:val="auto"/>
              </w:rPr>
              <w:t>Issuance of preferred stock - Series B, net of equity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issuance costs of approximately $75,000</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356,082</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3,561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10,601,424</w:t>
            </w: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10,604,985</w:t>
            </w:r>
          </w:p>
        </w:tc>
        <w:tc>
          <w:tcPr>
            <w:tcW w:w="0" w:type="dxa"/>
            <w:vAlign w:val="bottom"/>
          </w:tcPr>
          <w:p>
            <w:pPr>
              <w:spacing w:after="0"/>
              <w:rPr>
                <w:sz w:val="1"/>
                <w:szCs w:val="1"/>
                <w:color w:val="auto"/>
              </w:rPr>
            </w:pPr>
          </w:p>
        </w:tc>
      </w:tr>
      <w:tr>
        <w:trPr>
          <w:trHeight w:val="324"/>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(9,254,736)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(9,254,736)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Closing balance - September 30, 2018</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19,793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198</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37,046</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370</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835,240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8,353</w:t>
            </w: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31,802,791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(48,387,635</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(16,575,923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40" w:type="dxa"/>
            <w:vAlign w:val="bottom"/>
            <w:gridSpan w:val="4"/>
          </w:tcPr>
          <w:p>
            <w:pPr>
              <w:spacing w:after="0"/>
              <w:rPr>
                <w:sz w:val="20"/>
                <w:szCs w:val="20"/>
                <w:color w:val="auto"/>
              </w:rPr>
            </w:pPr>
            <w:r>
              <w:rPr>
                <w:rFonts w:ascii="Arial" w:cs="Arial" w:eastAsia="Arial" w:hAnsi="Arial"/>
                <w:sz w:val="18"/>
                <w:szCs w:val="18"/>
                <w:i w:val="1"/>
                <w:iCs w:val="1"/>
                <w:color w:val="auto"/>
                <w:w w:val="90"/>
              </w:rPr>
              <w:t>See accompanying notes to the consolidated financial statements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51" w:name="page252"/>
    <w:bookmarkEnd w:id="2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r>
              <w:rPr>
                <w:rFonts w:ascii="Arial" w:cs="Arial" w:eastAsia="Arial" w:hAnsi="Arial"/>
                <w:sz w:val="18"/>
                <w:szCs w:val="18"/>
                <w:b w:val="1"/>
                <w:bCs w:val="1"/>
                <w:color w:val="auto"/>
              </w:rPr>
              <w:t>SUPERIOR DIGITAL DISPLAYS HOLDINGS, INC. AND SUBSIDIARIES</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380" w:type="dxa"/>
            <w:vAlign w:val="bottom"/>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80" w:type="dxa"/>
            <w:vAlign w:val="bottom"/>
          </w:tcPr>
          <w:p>
            <w:pPr>
              <w:spacing w:after="0"/>
              <w:rPr>
                <w:sz w:val="20"/>
                <w:szCs w:val="20"/>
                <w:color w:val="auto"/>
              </w:rPr>
            </w:pPr>
            <w:r>
              <w:rPr>
                <w:rFonts w:ascii="Arial" w:cs="Arial" w:eastAsia="Arial" w:hAnsi="Arial"/>
                <w:sz w:val="18"/>
                <w:szCs w:val="18"/>
                <w:b w:val="1"/>
                <w:bCs w:val="1"/>
                <w:color w:val="auto"/>
              </w:rPr>
              <w:t>Year Ended September 30, 2018</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3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vMerge w:val="restart"/>
          </w:tcPr>
          <w:p>
            <w:pPr>
              <w:jc w:val="right"/>
              <w:ind w:right="40"/>
              <w:spacing w:after="0"/>
              <w:rPr>
                <w:sz w:val="20"/>
                <w:szCs w:val="20"/>
                <w:color w:val="auto"/>
              </w:rPr>
            </w:pPr>
            <w:r>
              <w:rPr>
                <w:rFonts w:ascii="Arial" w:cs="Arial" w:eastAsia="Arial" w:hAnsi="Arial"/>
                <w:sz w:val="18"/>
                <w:szCs w:val="18"/>
                <w:b w:val="1"/>
                <w:bCs w:val="1"/>
                <w:color w:val="auto"/>
                <w:w w:val="93"/>
              </w:rPr>
              <w:t>(9,254,736)</w:t>
            </w:r>
          </w:p>
        </w:tc>
        <w:tc>
          <w:tcPr>
            <w:tcW w:w="0" w:type="dxa"/>
            <w:vAlign w:val="bottom"/>
          </w:tcPr>
          <w:p>
            <w:pPr>
              <w:spacing w:after="0"/>
              <w:rPr>
                <w:sz w:val="1"/>
                <w:szCs w:val="1"/>
                <w:color w:val="auto"/>
              </w:rPr>
            </w:pPr>
          </w:p>
        </w:tc>
      </w:tr>
      <w:tr>
        <w:trPr>
          <w:trHeight w:val="216"/>
        </w:trPr>
        <w:tc>
          <w:tcPr>
            <w:tcW w:w="83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120" w:type="dxa"/>
            <w:vAlign w:val="bottom"/>
            <w:gridSpan w:val="2"/>
            <w:vMerge w:val="continue"/>
          </w:tcPr>
          <w:p>
            <w:pPr>
              <w:spacing w:after="0"/>
              <w:rPr>
                <w:sz w:val="18"/>
                <w:szCs w:val="18"/>
                <w:color w:val="auto"/>
              </w:rPr>
            </w:pPr>
          </w:p>
        </w:tc>
        <w:tc>
          <w:tcPr>
            <w:tcW w:w="9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9"/>
              </w:rPr>
              <w:t>4,082,336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Deferred rent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23,000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551,773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Amortization of original debt discount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541,731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80" w:type="dxa"/>
            <w:vAlign w:val="bottom"/>
          </w:tcPr>
          <w:p>
            <w:pPr>
              <w:ind w:left="720"/>
              <w:spacing w:after="0"/>
              <w:rPr>
                <w:sz w:val="20"/>
                <w:szCs w:val="20"/>
                <w:color w:val="auto"/>
              </w:rPr>
            </w:pPr>
            <w:r>
              <w:rPr>
                <w:rFonts w:ascii="Arial" w:cs="Arial" w:eastAsia="Arial" w:hAnsi="Arial"/>
                <w:sz w:val="18"/>
                <w:szCs w:val="18"/>
                <w:color w:val="auto"/>
              </w:rPr>
              <w:t>Interest paid in kind</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2,822,470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(Increase) decrease in: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vMerge w:val="restart"/>
          </w:tcPr>
          <w:p>
            <w:pPr>
              <w:jc w:val="right"/>
              <w:ind w:right="40"/>
              <w:spacing w:after="0"/>
              <w:rPr>
                <w:sz w:val="20"/>
                <w:szCs w:val="20"/>
                <w:color w:val="auto"/>
              </w:rPr>
            </w:pPr>
            <w:r>
              <w:rPr>
                <w:rFonts w:ascii="Arial" w:cs="Arial" w:eastAsia="Arial" w:hAnsi="Arial"/>
                <w:sz w:val="18"/>
                <w:szCs w:val="18"/>
                <w:b w:val="1"/>
                <w:bCs w:val="1"/>
                <w:color w:val="auto"/>
              </w:rPr>
              <w:t>(236,715)</w:t>
            </w:r>
          </w:p>
        </w:tc>
        <w:tc>
          <w:tcPr>
            <w:tcW w:w="0" w:type="dxa"/>
            <w:vAlign w:val="bottom"/>
          </w:tcPr>
          <w:p>
            <w:pPr>
              <w:spacing w:after="0"/>
              <w:rPr>
                <w:sz w:val="1"/>
                <w:szCs w:val="1"/>
                <w:color w:val="auto"/>
              </w:rPr>
            </w:pPr>
          </w:p>
        </w:tc>
      </w:tr>
      <w:tr>
        <w:trPr>
          <w:trHeight w:val="212"/>
        </w:trPr>
        <w:tc>
          <w:tcPr>
            <w:tcW w:w="8380" w:type="dxa"/>
            <w:vAlign w:val="bottom"/>
          </w:tcPr>
          <w:p>
            <w:pPr>
              <w:ind w:left="1080"/>
              <w:spacing w:after="0"/>
              <w:rPr>
                <w:sz w:val="20"/>
                <w:szCs w:val="20"/>
                <w:color w:val="auto"/>
              </w:rPr>
            </w:pPr>
            <w:r>
              <w:rPr>
                <w:rFonts w:ascii="Arial" w:cs="Arial" w:eastAsia="Arial" w:hAnsi="Arial"/>
                <w:sz w:val="18"/>
                <w:szCs w:val="18"/>
                <w:color w:val="auto"/>
              </w:rPr>
              <w:t>Accounts receivable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80" w:type="dxa"/>
            <w:vAlign w:val="bottom"/>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(51,044)</w:t>
            </w:r>
          </w:p>
        </w:tc>
        <w:tc>
          <w:tcPr>
            <w:tcW w:w="0" w:type="dxa"/>
            <w:vAlign w:val="bottom"/>
          </w:tcPr>
          <w:p>
            <w:pPr>
              <w:spacing w:after="0"/>
              <w:rPr>
                <w:sz w:val="1"/>
                <w:szCs w:val="1"/>
                <w:color w:val="auto"/>
              </w:rPr>
            </w:pP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Increase in: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25,002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8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80" w:type="dxa"/>
            <w:vAlign w:val="bottom"/>
          </w:tcPr>
          <w:p>
            <w:pPr>
              <w:ind w:left="1080"/>
              <w:spacing w:after="0"/>
              <w:rPr>
                <w:sz w:val="20"/>
                <w:szCs w:val="20"/>
                <w:color w:val="auto"/>
              </w:rPr>
            </w:pPr>
            <w:r>
              <w:rPr>
                <w:rFonts w:ascii="Arial" w:cs="Arial" w:eastAsia="Arial" w:hAnsi="Arial"/>
                <w:sz w:val="18"/>
                <w:szCs w:val="18"/>
                <w:color w:val="auto"/>
              </w:rPr>
              <w:t>Accrued expenses</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169,335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80" w:type="dxa"/>
            <w:vAlign w:val="bottom"/>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2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(1,326,848</w:t>
            </w:r>
          </w:p>
        </w:tc>
        <w:tc>
          <w:tcPr>
            <w:tcW w:w="20" w:type="dxa"/>
            <w:vAlign w:val="bottom"/>
            <w:tcBorders>
              <w:top w:val="single" w:sz="8" w:color="auto"/>
            </w:tcBorders>
          </w:tcPr>
          <w:p>
            <w:pPr>
              <w:spacing w:after="0"/>
              <w:rPr>
                <w:sz w:val="19"/>
                <w:szCs w:val="19"/>
                <w:color w:val="auto"/>
              </w:rPr>
            </w:pPr>
          </w:p>
        </w:tc>
        <w:tc>
          <w:tcPr>
            <w:tcW w:w="8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9"/>
        </w:trPr>
        <w:tc>
          <w:tcPr>
            <w:tcW w:w="83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vMerge w:val="restart"/>
          </w:tcPr>
          <w:p>
            <w:pPr>
              <w:jc w:val="right"/>
              <w:ind w:right="40"/>
              <w:spacing w:after="0"/>
              <w:rPr>
                <w:sz w:val="20"/>
                <w:szCs w:val="20"/>
                <w:color w:val="auto"/>
              </w:rPr>
            </w:pPr>
            <w:r>
              <w:rPr>
                <w:rFonts w:ascii="Arial" w:cs="Arial" w:eastAsia="Arial" w:hAnsi="Arial"/>
                <w:sz w:val="18"/>
                <w:szCs w:val="18"/>
                <w:b w:val="1"/>
                <w:bCs w:val="1"/>
                <w:color w:val="auto"/>
              </w:rPr>
              <w:t>(65,838)</w:t>
            </w:r>
          </w:p>
        </w:tc>
        <w:tc>
          <w:tcPr>
            <w:tcW w:w="0" w:type="dxa"/>
            <w:vAlign w:val="bottom"/>
          </w:tcPr>
          <w:p>
            <w:pPr>
              <w:spacing w:after="0"/>
              <w:rPr>
                <w:sz w:val="1"/>
                <w:szCs w:val="1"/>
                <w:color w:val="auto"/>
              </w:rPr>
            </w:pP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Payments for purchases of signs and equipment</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8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2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(65,838)</w:t>
            </w:r>
          </w:p>
        </w:tc>
        <w:tc>
          <w:tcPr>
            <w:tcW w:w="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182,352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80" w:type="dxa"/>
            <w:vAlign w:val="bottom"/>
          </w:tcPr>
          <w:p>
            <w:pPr>
              <w:ind w:left="360"/>
              <w:spacing w:after="0"/>
              <w:rPr>
                <w:sz w:val="20"/>
                <w:szCs w:val="20"/>
                <w:color w:val="auto"/>
              </w:rPr>
            </w:pPr>
            <w:r>
              <w:rPr>
                <w:rFonts w:ascii="Arial" w:cs="Arial" w:eastAsia="Arial" w:hAnsi="Arial"/>
                <w:sz w:val="18"/>
                <w:szCs w:val="18"/>
                <w:color w:val="auto"/>
              </w:rPr>
              <w:t>Proceeds from note payable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60"/>
              <w:spacing w:after="0"/>
              <w:rPr>
                <w:sz w:val="20"/>
                <w:szCs w:val="20"/>
                <w:color w:val="auto"/>
              </w:rPr>
            </w:pPr>
            <w:r>
              <w:rPr>
                <w:rFonts w:ascii="Arial" w:cs="Arial" w:eastAsia="Arial" w:hAnsi="Arial"/>
                <w:sz w:val="18"/>
                <w:szCs w:val="18"/>
                <w:color w:val="auto"/>
              </w:rPr>
              <w:t>Repayment on note payable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(183,950)</w:t>
            </w:r>
          </w:p>
        </w:tc>
        <w:tc>
          <w:tcPr>
            <w:tcW w:w="0" w:type="dxa"/>
            <w:vAlign w:val="bottom"/>
          </w:tcPr>
          <w:p>
            <w:pPr>
              <w:spacing w:after="0"/>
              <w:rPr>
                <w:sz w:val="1"/>
                <w:szCs w:val="1"/>
                <w:color w:val="auto"/>
              </w:rPr>
            </w:pPr>
          </w:p>
        </w:tc>
      </w:tr>
      <w:tr>
        <w:trPr>
          <w:trHeight w:val="216"/>
        </w:trPr>
        <w:tc>
          <w:tcPr>
            <w:tcW w:w="8380" w:type="dxa"/>
            <w:vAlign w:val="bottom"/>
          </w:tcPr>
          <w:p>
            <w:pPr>
              <w:ind w:left="360"/>
              <w:spacing w:after="0"/>
              <w:rPr>
                <w:sz w:val="20"/>
                <w:szCs w:val="20"/>
                <w:color w:val="auto"/>
              </w:rPr>
            </w:pPr>
            <w:r>
              <w:rPr>
                <w:rFonts w:ascii="Arial" w:cs="Arial" w:eastAsia="Arial" w:hAnsi="Arial"/>
                <w:sz w:val="18"/>
                <w:szCs w:val="18"/>
                <w:color w:val="auto"/>
              </w:rPr>
              <w:t>Repayment on related party notes payable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3"/>
              </w:rPr>
              <w:t>(8,970,000)</w:t>
            </w:r>
          </w:p>
        </w:tc>
        <w:tc>
          <w:tcPr>
            <w:tcW w:w="0" w:type="dxa"/>
            <w:vAlign w:val="bottom"/>
          </w:tcPr>
          <w:p>
            <w:pPr>
              <w:spacing w:after="0"/>
              <w:rPr>
                <w:sz w:val="1"/>
                <w:szCs w:val="1"/>
                <w:color w:val="auto"/>
              </w:rPr>
            </w:pPr>
          </w:p>
        </w:tc>
      </w:tr>
      <w:tr>
        <w:trPr>
          <w:trHeight w:val="234"/>
        </w:trPr>
        <w:tc>
          <w:tcPr>
            <w:tcW w:w="8380" w:type="dxa"/>
            <w:vAlign w:val="bottom"/>
          </w:tcPr>
          <w:p>
            <w:pPr>
              <w:ind w:left="360"/>
              <w:spacing w:after="0"/>
              <w:rPr>
                <w:sz w:val="20"/>
                <w:szCs w:val="20"/>
                <w:color w:val="auto"/>
              </w:rPr>
            </w:pPr>
            <w:r>
              <w:rPr>
                <w:rFonts w:ascii="Arial" w:cs="Arial" w:eastAsia="Arial" w:hAnsi="Arial"/>
                <w:sz w:val="18"/>
                <w:szCs w:val="18"/>
                <w:color w:val="auto"/>
              </w:rPr>
              <w:t>Proceeds from issuance of preferred stock</w:t>
            </w:r>
          </w:p>
        </w:tc>
        <w:tc>
          <w:tcPr>
            <w:tcW w:w="2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10,604,985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80" w:type="dxa"/>
            <w:vAlign w:val="bottom"/>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1,633,387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380" w:type="dxa"/>
            <w:vAlign w:val="bottom"/>
          </w:tcPr>
          <w:p>
            <w:pPr>
              <w:spacing w:after="0" w:line="205" w:lineRule="exact"/>
              <w:rPr>
                <w:sz w:val="20"/>
                <w:szCs w:val="20"/>
                <w:color w:val="auto"/>
              </w:rPr>
            </w:pPr>
            <w:r>
              <w:rPr>
                <w:rFonts w:ascii="Arial" w:cs="Arial" w:eastAsia="Arial" w:hAnsi="Arial"/>
                <w:sz w:val="18"/>
                <w:szCs w:val="18"/>
                <w:b w:val="1"/>
                <w:bCs w:val="1"/>
                <w:color w:val="auto"/>
              </w:rPr>
              <w:t>Net change in cash</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5" w:lineRule="exact"/>
              <w:rPr>
                <w:sz w:val="20"/>
                <w:szCs w:val="20"/>
                <w:color w:val="auto"/>
              </w:rPr>
            </w:pPr>
            <w:r>
              <w:rPr>
                <w:rFonts w:ascii="Arial" w:cs="Arial" w:eastAsia="Arial" w:hAnsi="Arial"/>
                <w:sz w:val="18"/>
                <w:szCs w:val="18"/>
                <w:b w:val="1"/>
                <w:bCs w:val="1"/>
                <w:color w:val="auto"/>
              </w:rPr>
              <w:t>240,701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8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2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140,572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b w:val="1"/>
                <w:bCs w:val="1"/>
                <w:color w:val="auto"/>
              </w:rPr>
              <w:t>Cash at end of year</w:t>
            </w:r>
          </w:p>
        </w:tc>
        <w:tc>
          <w:tcPr>
            <w:tcW w:w="2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381,273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paid:</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vMerge w:val="continue"/>
          </w:tcPr>
          <w:p>
            <w:pPr>
              <w:spacing w:after="0"/>
              <w:rPr>
                <w:sz w:val="17"/>
                <w:szCs w:val="17"/>
                <w:color w:val="auto"/>
              </w:rPr>
            </w:pPr>
          </w:p>
        </w:tc>
        <w:tc>
          <w:tcPr>
            <w:tcW w:w="2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5,579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Interest</w:t>
            </w:r>
          </w:p>
        </w:tc>
        <w:tc>
          <w:tcPr>
            <w:tcW w:w="2120" w:type="dxa"/>
            <w:vAlign w:val="bottom"/>
            <w:gridSpan w:val="2"/>
            <w:vMerge w:val="continue"/>
          </w:tcPr>
          <w:p>
            <w:pPr>
              <w:spacing w:after="0"/>
              <w:rPr>
                <w:sz w:val="20"/>
                <w:szCs w:val="20"/>
                <w:color w:val="auto"/>
              </w:rPr>
            </w:pPr>
          </w:p>
        </w:tc>
        <w:tc>
          <w:tcPr>
            <w:tcW w:w="86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3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190,928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Mutual release of outstanding payable balance for purchase of signs and equipment</w:t>
            </w:r>
          </w:p>
        </w:tc>
        <w:tc>
          <w:tcPr>
            <w:tcW w:w="2120" w:type="dxa"/>
            <w:vAlign w:val="bottom"/>
            <w:gridSpan w:val="2"/>
            <w:vMerge w:val="continue"/>
          </w:tcPr>
          <w:p>
            <w:pPr>
              <w:spacing w:after="0"/>
              <w:rPr>
                <w:sz w:val="20"/>
                <w:szCs w:val="20"/>
                <w:color w:val="auto"/>
              </w:rPr>
            </w:pPr>
          </w:p>
        </w:tc>
        <w:tc>
          <w:tcPr>
            <w:tcW w:w="86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380" w:type="dxa"/>
            <w:vAlign w:val="bottom"/>
          </w:tcPr>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SUPERIOR DIGITAL DISPLAYS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A - O</w:t>
      </w:r>
      <w:r>
        <w:rPr>
          <w:rFonts w:ascii="Arial" w:cs="Arial" w:eastAsia="Arial" w:hAnsi="Arial"/>
          <w:sz w:val="15"/>
          <w:szCs w:val="15"/>
          <w:b w:val="1"/>
          <w:bCs w:val="1"/>
          <w:color w:val="auto"/>
        </w:rPr>
        <w:t>RGANIZATION AND</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ATURE OF</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PERATIONS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AND</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IQUIDITY</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Superior Digital Displays Holdings, Inc. (“Holdings”) and its wholly-owned subsidiaries, Superior Digital Displays, LLC (“SDD”) and Sign 5, LLC (“Sign 5”) (collectively, referred to as the “Company”) are focused on developing the outdoor advertising business primarily through operating outdoor digital billboard advertising displays.</w:t>
      </w:r>
    </w:p>
    <w:p>
      <w:pPr>
        <w:spacing w:after="0" w:line="18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Holdings was incorporated on November 25, 2013 in the state of Delaware. SDD, a limited liability company, was formed in the state of Florida on September 3, 2009. Sign 5, a limited liability company and wholly-owned subsidiary of SDD, was formed in the state of Delaware on September 21, 2012.</w:t>
      </w:r>
    </w:p>
    <w:p>
      <w:pPr>
        <w:spacing w:after="0" w:line="12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December 30, 2013, the Company entered into a Stockholders’ Agreement with both existing shareholders and new shareholders, as well as a debt financing agreement (see Note D) with one of the new shareholders. In connection therewith, a) the members of SDD exchanged their ownership interests in SDD for 4,950 shares of common stock of Holdings, b) a new shareholder, in exchange for $2,211,000, was issued 4,950 shares in Holdings of which 200 shares were transferred to another entity, and c) Holdings issued 100 shares of common stock to an entity in exchange for financial advisory services. At December 31, 2013, the majority of the Board of Directors of Holdings represented parties that were investors in SDD and Sign 5. Certain decisions require the consent of the shareholder providing the debt financing. As such, although the former owners of SDD were issued 49.5% of Holdings’ common stock, control was not deemed to have changed at the time of formation based on the composition of the Board and the governance structure. Accordingly, the formation of Holdings was treated as a reorganization of SDD, with the investment of the shareholder providing the debt financing being treated as an equity contribution and no change to the carrying value of the assets and liabilities of SDD and Sign 5.</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Through December 31, 2013, the Company had been primarily focused on securing a financing agreement and developing its first digital display, Sign 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located at 3 Times Square, New York, NY, which entered into startup mode in December 2013. During the year ended December 31, 2014,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placed an additional 3 signs, known as the Triple Play and located at 729 Seventh Avenue, New York, NY into operation.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the Company installed 4 additional signs. Three signs, located on 3 Times Square facing west on 42nd Street are known as the Waterfall.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fourth sign, constructed above Sign 5, and in combination with Sign 5, is known as the Crossroads of the World. The construction of the aforementioned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signs, which was finalized during May 2016, marks the completion of the initial build out of SDD’s Times Square network.</w:t>
      </w:r>
    </w:p>
    <w:p>
      <w:pPr>
        <w:spacing w:after="0" w:line="211"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For the year ended September 30, 2018, the Company has net operating losses of approximately $9,255,000 and cash flow deficiencies from operating activities of approximately $1,327,000. Until such time the Company achieves positive cash flows, the Company will be dependent upon its majority stockholder for financial support. The majority stockholder has agreed to provide required financial support through at least December 31, 2019. Refer to Note D and G for additional information regarding the Company’s liquidity and financing arrangements with the majority stockholder.</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year ended September 30, 2018, the Company changed its fiscal year end from December 31 to September 30. The accompanying consolidated financial statements represent 12 months of activity through September 30,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p>
    <w:p>
      <w:pPr>
        <w:spacing w:after="0" w:line="131"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21" w:lineRule="exact"/>
        <w:rPr>
          <w:rFonts w:ascii="Arial" w:cs="Arial" w:eastAsia="Arial" w:hAnsi="Arial"/>
          <w:sz w:val="18"/>
          <w:szCs w:val="18"/>
          <w:b w:val="1"/>
          <w:bCs w:val="1"/>
          <w:color w:val="auto"/>
        </w:rPr>
      </w:pPr>
    </w:p>
    <w:p>
      <w:pPr>
        <w:ind w:left="460" w:right="3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accompanying consolidated financial statements include Superior Digital Displays Holdings, Inc., and its wholly-owned subsidiaries, Superior Digital Displays, LLC and Sign 5, LLC. All inter-company transactions and balances have been eliminated in consolidation.</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SUPERIOR DIGITAL DISPLAYS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jc w:val="both"/>
        <w:ind w:left="460" w:right="2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Actual results could differ from these estimates.</w:t>
      </w:r>
    </w:p>
    <w:p>
      <w:pPr>
        <w:spacing w:after="0" w:line="3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recognizes outdoor advertising revenue on an accrual basis ratably over the term of the contracts.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at times, may maintain cash balances in bank accounts in excess of amounts insured by the Federal Deposit Insurance Corporation (“FDIC”). The Company has not experienced any losses in such accounts as of September 30, 2018, and does not anticipate incurring any such losses in the future.</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 for doubtful accounts:</w:t>
      </w:r>
    </w:p>
    <w:p>
      <w:pPr>
        <w:spacing w:after="0" w:line="121" w:lineRule="exact"/>
        <w:rPr>
          <w:rFonts w:ascii="Arial" w:cs="Arial" w:eastAsia="Arial" w:hAnsi="Arial"/>
          <w:sz w:val="18"/>
          <w:szCs w:val="18"/>
          <w:b w:val="1"/>
          <w:bCs w:val="1"/>
          <w:color w:val="auto"/>
        </w:rPr>
      </w:pPr>
    </w:p>
    <w:p>
      <w:pPr>
        <w:ind w:left="460" w:right="1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reported net of an allowance for doubtful accounts. The Company maintains an allowance for estimated losses resulting from the inability of customers to make required payments as deemed necessary. The collectability of outstanding customer invoices is continuously assessed. In estimating the allowance, the Company considers factors such as historical collections, a customer’s credit-worthiness, age of the receivable balance, both individually and in the aggregate, and general economic conditions that may affect a customer’s ability to pay. Actual customer collections could differ from those estimates, requiring additional adjustments to the allowance for doubtful accounts. There was an allowance for doubtful accounts recorded at September 30, 2018 of $8,932.</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Signs and equipment:</w:t>
      </w:r>
    </w:p>
    <w:p>
      <w:pPr>
        <w:spacing w:after="0" w:line="121" w:lineRule="exact"/>
        <w:rPr>
          <w:rFonts w:ascii="Arial" w:cs="Arial" w:eastAsia="Arial" w:hAnsi="Arial"/>
          <w:sz w:val="18"/>
          <w:szCs w:val="18"/>
          <w:b w:val="1"/>
          <w:bCs w:val="1"/>
          <w:color w:val="auto"/>
        </w:rPr>
      </w:pPr>
    </w:p>
    <w:p>
      <w:pPr>
        <w:ind w:left="4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Signs and equipment are stated at cost, less accumulated depreciation. Expenditures for major additions and betterments are capitalized. Maintenance and repairs are charged to operations as incurred. Upon sale or retirement of signs and equipment, the related cost and accumulated depreciation are removed from the accounts and any gain or loss is reflected in operations.</w:t>
      </w:r>
    </w:p>
    <w:p>
      <w:pPr>
        <w:spacing w:after="0" w:line="73"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recoverability of the investment in long-lived assets on an ongoing basis and recognizes any impairment in the year of determination. Long-lived assets were tested for impairment as of September 30, 2018, and in the opinion of management there was no impairment. It is reasonably possible that relevant conditions could change in the near term and necessitate a change in management’s estimate of the recoverability of these assets.</w:t>
      </w:r>
    </w:p>
    <w:p>
      <w:pPr>
        <w:spacing w:after="0" w:line="78"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Signs and equipment are affixed to the building and become property of the lessor. Depreciation for signs and equipment is calculated using the straight-line method over the lesser of the estimated life of the asset or term of the lease. The Company estimates the signs’ depreciable lives to be 5 years.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SUPERIOR DIGITAL DISPLAYS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58"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connection with the Company’s lease agreement, the Company entered into an escrow agreement for construction and installation related costs. The Company disbursed funds to an escrow account for future construction and installation payments. As of September 30, 2018, the landlord held $20,460 in escrow on behalf of the Company to be held and disbursed in accordance with the terms specified in the lease agreement. Funds held in escrow are disbursed upon receipt of a written request submitted by the Company and to be used for the purpose of paying vendors during the term of the escrow agreement. Upon completion of all construction, any unused funds will be returned to the Company upon satisfaction of all outstanding liabilities.</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Debt issuance costs and original issue discount:</w:t>
      </w:r>
    </w:p>
    <w:p>
      <w:pPr>
        <w:spacing w:after="0" w:line="121" w:lineRule="exact"/>
        <w:rPr>
          <w:rFonts w:ascii="Arial" w:cs="Arial" w:eastAsia="Arial" w:hAnsi="Arial"/>
          <w:sz w:val="18"/>
          <w:szCs w:val="18"/>
          <w:b w:val="1"/>
          <w:bCs w:val="1"/>
          <w:color w:val="auto"/>
        </w:rPr>
      </w:pPr>
    </w:p>
    <w:p>
      <w:pPr>
        <w:jc w:val="both"/>
        <w:ind w:left="460" w:right="3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costs associated with obtaining financing have been capitalized and are being amortized over the term of the financing agreement (see Note D) using the effective interest method. Should the maturity of the debt become accelerated then the unamortized costs will be written off. Amortization expense is included in the accompanying consolidated statement of operations as a component of interest expense.</w:t>
      </w:r>
    </w:p>
    <w:p>
      <w:pPr>
        <w:spacing w:after="0" w:line="57"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Effective January 1, 2014, the Company adopted Financial Accounting Standards Board (“FASB”) Accounting Standards Update (“ASU”) 2015-03, </w:t>
      </w:r>
      <w:r>
        <w:rPr>
          <w:rFonts w:ascii="Arial" w:cs="Arial" w:eastAsia="Arial" w:hAnsi="Arial"/>
          <w:sz w:val="18"/>
          <w:szCs w:val="18"/>
          <w:i w:val="1"/>
          <w:iCs w:val="1"/>
          <w:color w:val="auto"/>
        </w:rPr>
        <w:t xml:space="preserve">“Interest - Imputation of Interest (Subtopic 835-30): Simplifying the Presentation of Debt Issuance Costs” </w:t>
      </w:r>
      <w:r>
        <w:rPr>
          <w:rFonts w:ascii="Arial" w:cs="Arial" w:eastAsia="Arial" w:hAnsi="Arial"/>
          <w:sz w:val="18"/>
          <w:szCs w:val="18"/>
          <w:color w:val="auto"/>
        </w:rPr>
        <w:t>(“ASU 2015-03”) which requires that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related to a recognized debt liability be presented in the balance sheet as a direct deduction from the carrying amount of that debt liability, consistent with debt discounts.</w:t>
      </w:r>
    </w:p>
    <w:p>
      <w:pPr>
        <w:spacing w:after="0" w:line="78"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original issue discount on the related party notes payable is being accreted to interest expense over the term of the loan using the effective interest method. The associated financing agreement was executed on December 30, 2013 and the accretion of the original issue discount commenced on December 31, 2013. At September 30, 2018, unamortized discount approximated $146,000. Subsequent to year end, the First Lien maturity date was extended to December 31, 2019.</w:t>
      </w:r>
    </w:p>
    <w:p>
      <w:pPr>
        <w:spacing w:after="0" w:line="78" w:lineRule="exact"/>
        <w:rPr>
          <w:rFonts w:ascii="Arial" w:cs="Arial" w:eastAsia="Arial" w:hAnsi="Arial"/>
          <w:sz w:val="18"/>
          <w:szCs w:val="18"/>
          <w:b w:val="1"/>
          <w:bCs w:val="1"/>
          <w:color w:val="auto"/>
        </w:rPr>
      </w:pPr>
    </w:p>
    <w:p>
      <w:pPr>
        <w:ind w:left="460" w:right="10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year ended September 30, 2018, amortization of debt issuance costs original issue discount approximated $552,000 and $542,000,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Future amortization of debt issuance costs and original issue discount approximates as follows:</w:t>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b w:val="1"/>
                <w:bCs w:val="1"/>
                <w:color w:val="auto"/>
                <w:w w:val="96"/>
              </w:rPr>
              <w:t>Years Ending</w:t>
            </w:r>
          </w:p>
        </w:tc>
        <w:tc>
          <w:tcPr>
            <w:tcW w:w="508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8"/>
              </w:rPr>
              <w:t>Debt Issuance</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Original Issue</w:t>
            </w:r>
          </w:p>
        </w:tc>
        <w:tc>
          <w:tcPr>
            <w:tcW w:w="280" w:type="dxa"/>
            <w:vAlign w:val="bottom"/>
          </w:tcPr>
          <w:p>
            <w:pPr>
              <w:spacing w:after="0"/>
              <w:rPr>
                <w:sz w:val="14"/>
                <w:szCs w:val="14"/>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September 30,</w:t>
            </w:r>
          </w:p>
        </w:tc>
        <w:tc>
          <w:tcPr>
            <w:tcW w:w="5080" w:type="dxa"/>
            <w:vAlign w:val="bottom"/>
          </w:tcPr>
          <w:p>
            <w:pPr>
              <w:spacing w:after="0"/>
              <w:rPr>
                <w:sz w:val="15"/>
                <w:szCs w:val="15"/>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Discount</w:t>
            </w:r>
          </w:p>
        </w:tc>
        <w:tc>
          <w:tcPr>
            <w:tcW w:w="2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line="189" w:lineRule="exact"/>
              <w:rPr>
                <w:sz w:val="20"/>
                <w:szCs w:val="20"/>
                <w:color w:val="auto"/>
              </w:rPr>
            </w:pPr>
            <w:r>
              <w:rPr>
                <w:rFonts w:ascii="Arial" w:cs="Arial" w:eastAsia="Arial" w:hAnsi="Arial"/>
                <w:sz w:val="18"/>
                <w:szCs w:val="18"/>
                <w:color w:val="auto"/>
              </w:rPr>
              <w:t>2019</w:t>
            </w:r>
          </w:p>
        </w:tc>
        <w:tc>
          <w:tcPr>
            <w:tcW w:w="5080" w:type="dxa"/>
            <w:vAlign w:val="bottom"/>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8"/>
              </w:rPr>
              <w:t>$  118,000</w:t>
            </w:r>
          </w:p>
        </w:tc>
        <w:tc>
          <w:tcPr>
            <w:tcW w:w="58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5"/>
              </w:rPr>
              <w:t>$   116,000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7"/>
              </w:rPr>
              <w:t>$234,000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2020</w:t>
            </w:r>
          </w:p>
        </w:tc>
        <w:tc>
          <w:tcPr>
            <w:tcW w:w="6520" w:type="dxa"/>
            <w:vAlign w:val="bottom"/>
            <w:gridSpan w:val="3"/>
          </w:tcPr>
          <w:p>
            <w:pPr>
              <w:jc w:val="right"/>
              <w:ind w:right="580"/>
              <w:spacing w:after="0"/>
              <w:rPr>
                <w:sz w:val="20"/>
                <w:szCs w:val="20"/>
                <w:color w:val="auto"/>
              </w:rPr>
            </w:pPr>
            <w:r>
              <w:rPr>
                <w:rFonts w:ascii="Arial" w:cs="Arial" w:eastAsia="Arial" w:hAnsi="Arial"/>
                <w:sz w:val="18"/>
                <w:szCs w:val="18"/>
                <w:color w:val="auto"/>
              </w:rPr>
              <w:t>31,000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61,000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costs:</w:t>
      </w:r>
    </w:p>
    <w:p>
      <w:pPr>
        <w:spacing w:after="0" w:line="121"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costs associated with securing certain operating leases have been capitalized and are being amortized over the term of the lease on a straight-line basis. Depreciation and amortization expense is included in the accompanying consolidated statements of operations as a component of operating expenses.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SUPERIOR DIGITAL DISPLAYS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[9]   Deferred costs: (continued)</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220" w:type="dxa"/>
            <w:vAlign w:val="bottom"/>
            <w:gridSpan w:val="3"/>
          </w:tcPr>
          <w:p>
            <w:pPr>
              <w:ind w:left="460"/>
              <w:spacing w:after="0"/>
              <w:rPr>
                <w:sz w:val="20"/>
                <w:szCs w:val="20"/>
                <w:color w:val="auto"/>
              </w:rPr>
            </w:pPr>
            <w:r>
              <w:rPr>
                <w:rFonts w:ascii="Arial" w:cs="Arial" w:eastAsia="Arial" w:hAnsi="Arial"/>
                <w:sz w:val="18"/>
                <w:szCs w:val="18"/>
                <w:color w:val="auto"/>
              </w:rPr>
              <w:t>Deferred costs are approximately as follows at September 30, 2018:</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8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Deferred costs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$ 350,000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(261,000)</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Deferred costs, net of accumulated amortization</w:t>
            </w: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89,000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3"/>
            <w:vMerge w:val="restart"/>
          </w:tcPr>
          <w:p>
            <w:pPr>
              <w:ind w:left="460"/>
              <w:spacing w:after="0"/>
              <w:rPr>
                <w:sz w:val="20"/>
                <w:szCs w:val="20"/>
                <w:color w:val="auto"/>
              </w:rPr>
            </w:pPr>
            <w:r>
              <w:rPr>
                <w:rFonts w:ascii="Arial" w:cs="Arial" w:eastAsia="Arial" w:hAnsi="Arial"/>
                <w:sz w:val="18"/>
                <w:szCs w:val="18"/>
                <w:color w:val="auto"/>
              </w:rPr>
              <w:t>Amortization expense for the year ended September 30, 2018 was $35,000.</w:t>
            </w: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2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20" w:type="dxa"/>
            <w:vAlign w:val="bottom"/>
            <w:gridSpan w:val="3"/>
          </w:tcPr>
          <w:p>
            <w:pPr>
              <w:ind w:left="460"/>
              <w:spacing w:after="0"/>
              <w:rPr>
                <w:sz w:val="20"/>
                <w:szCs w:val="20"/>
                <w:color w:val="auto"/>
              </w:rPr>
            </w:pPr>
            <w:r>
              <w:rPr>
                <w:rFonts w:ascii="Arial" w:cs="Arial" w:eastAsia="Arial" w:hAnsi="Arial"/>
                <w:sz w:val="18"/>
                <w:szCs w:val="18"/>
                <w:color w:val="auto"/>
                <w:w w:val="96"/>
              </w:rPr>
              <w:t>Future amortization expense for each of the years ending September 30 is approximately as follows:</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8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4"/>
                <w:szCs w:val="14"/>
                <w:b w:val="1"/>
                <w:bCs w:val="1"/>
                <w:color w:val="auto"/>
              </w:rPr>
              <w:t>Year Ending</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3"/>
            <w:vMerge w:val="restart"/>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2019</w:t>
            </w:r>
          </w:p>
        </w:tc>
        <w:tc>
          <w:tcPr>
            <w:tcW w:w="550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ind w:left="1840"/>
              <w:spacing w:after="0"/>
              <w:rPr>
                <w:sz w:val="20"/>
                <w:szCs w:val="20"/>
                <w:color w:val="auto"/>
              </w:rPr>
            </w:pPr>
            <w:r>
              <w:rPr>
                <w:rFonts w:ascii="Arial" w:cs="Arial" w:eastAsia="Arial" w:hAnsi="Arial"/>
                <w:sz w:val="18"/>
                <w:szCs w:val="18"/>
                <w:color w:val="auto"/>
              </w:rPr>
              <w:t>2020</w:t>
            </w:r>
          </w:p>
        </w:tc>
        <w:tc>
          <w:tcPr>
            <w:tcW w:w="55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30"/>
        </w:trPr>
        <w:tc>
          <w:tcPr>
            <w:tcW w:w="2720" w:type="dxa"/>
            <w:vAlign w:val="bottom"/>
            <w:gridSpan w:val="2"/>
          </w:tcPr>
          <w:p>
            <w:pPr>
              <w:ind w:left="1840"/>
              <w:spacing w:after="0"/>
              <w:rPr>
                <w:sz w:val="20"/>
                <w:szCs w:val="20"/>
                <w:color w:val="auto"/>
              </w:rPr>
            </w:pPr>
            <w:r>
              <w:rPr>
                <w:rFonts w:ascii="Arial" w:cs="Arial" w:eastAsia="Arial" w:hAnsi="Arial"/>
                <w:sz w:val="18"/>
                <w:szCs w:val="18"/>
                <w:color w:val="auto"/>
              </w:rPr>
              <w:t>2021</w:t>
            </w:r>
          </w:p>
        </w:tc>
        <w:tc>
          <w:tcPr>
            <w:tcW w:w="55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Prior to December 30, 2013, SDD and Sign 5 were limited liability companies that had elected to be taxed as partnerships for federal and state income tax purposes. All income or losses were included in the members’ tax returns. On December 30, 2013, members of SDD and Sign 5 transferred their membership interest in SDD and Sign 5 to Holdings in exchange for shares of the Holdings stock. SDD and Sign 5 effectively became single member LLCs and disregarded entities for income tax purposes. All income and losses incurred for the year ended September 30, 2018 were included in Holdings’ tax returns. Holdings is taxed as a C Corporation for federal and state income tax purposes.</w:t>
      </w:r>
    </w:p>
    <w:p>
      <w:pPr>
        <w:spacing w:after="0" w:line="64"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applies the elements of FASB ASC 740-10 </w:t>
      </w:r>
      <w:r>
        <w:rPr>
          <w:rFonts w:ascii="Arial" w:cs="Arial" w:eastAsia="Arial" w:hAnsi="Arial"/>
          <w:sz w:val="18"/>
          <w:szCs w:val="18"/>
          <w:i w:val="1"/>
          <w:iCs w:val="1"/>
          <w:color w:val="auto"/>
        </w:rPr>
        <w:t>“Income Taxes – Overall”</w:t>
      </w:r>
      <w:r>
        <w:rPr>
          <w:rFonts w:ascii="Arial" w:cs="Arial" w:eastAsia="Arial" w:hAnsi="Arial"/>
          <w:sz w:val="18"/>
          <w:szCs w:val="18"/>
          <w:color w:val="auto"/>
        </w:rPr>
        <w:t xml:space="preserve"> regarding accounting for uncertainty in income taxes. This clarifies the accounting for uncertainty in income taxes recognized in financial statements and required impact of a tax position to be recognized in the financial statements if that position is more likely than not of being sustained by the taxing authority. As of December 31, 2015 the company did not have any unrecognized tax benefits and has not accrued any interest or penalties through 2015. The Company does not expect to have any unrecognized tax benefits within the next twelve months. The Company’s policy is to recognize interest and penalties related to tax matters within the income tax provision. The Company was organized 2013 and began operations in 2014. Tax years beginning in 2013 are generally subject to examination by taxing authorities, although net operating losses from all years are subject to examinations and adjustments for at least three years following the year in which the attributes are used.</w:t>
      </w:r>
    </w:p>
    <w:p>
      <w:pPr>
        <w:spacing w:after="0" w:line="336" w:lineRule="exact"/>
        <w:rPr>
          <w:rFonts w:ascii="Arial" w:cs="Arial" w:eastAsia="Arial" w:hAnsi="Arial"/>
          <w:sz w:val="18"/>
          <w:szCs w:val="18"/>
          <w:b w:val="1"/>
          <w:bCs w:val="1"/>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right="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events subsequent to September 30, 2018 through November 13, 2018, the date that these consolidated financial statements were available to be issued.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SUPERIOR DIGITAL DISPLAYS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58"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21" w:lineRule="exact"/>
        <w:rPr>
          <w:rFonts w:ascii="Arial" w:cs="Arial" w:eastAsia="Arial" w:hAnsi="Arial"/>
          <w:sz w:val="18"/>
          <w:szCs w:val="18"/>
          <w:b w:val="1"/>
          <w:bCs w:val="1"/>
          <w:color w:val="auto"/>
        </w:rPr>
      </w:pPr>
    </w:p>
    <w:p>
      <w:pPr>
        <w:jc w:val="both"/>
        <w:ind w:left="460" w:right="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 xml:space="preserve">In May 2014, the Financial Accounting Standards Board (“FASB”) issued Accounting Standards Codification (“ASC”)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which requires that an entity recognize the amount of revenue to which it expects to be entitled for the transfer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its customers. In order to achieve this core principle, an entity should apply the following steps: (1) identify the contract(s) with a customer;</w:t>
      </w:r>
    </w:p>
    <w:p>
      <w:pPr>
        <w:ind w:left="460" w:right="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(2) identify the performance obligations in the contract; (3) determine the transaction price; (4) allocate the transaction price to the performance obligations in the contract; and (5) recognize revenue when (or as) the entity satisfies a performance obligation. This update will replace existing revenue recognition guidance under U.S. GAAP when it becomes effective for annual reporting periods beginning after December 15, 2018, with early adoption permitted as of the original effective date. The updated standard will permit the use of either the retrospective or cumulative effect transition method. The Company is currently evaluating the impact of this update on its consolidated financial statements, which will be effective for the Company for the fiscal year commencing on December 30, 2018.</w:t>
      </w:r>
    </w:p>
    <w:p>
      <w:pPr>
        <w:spacing w:after="0" w:line="86"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 xml:space="preserve">January of 2016, the FASB issued ASU No. 2016-01, </w:t>
      </w:r>
      <w:r>
        <w:rPr>
          <w:rFonts w:ascii="Arial" w:cs="Arial" w:eastAsia="Arial" w:hAnsi="Arial"/>
          <w:sz w:val="18"/>
          <w:szCs w:val="18"/>
          <w:i w:val="1"/>
          <w:iCs w:val="1"/>
          <w:color w:val="auto"/>
        </w:rPr>
        <w:t>“Financial Instruments - Overall (Subtopic 825-10):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and Financial Liabilities.” </w:t>
      </w:r>
      <w:r>
        <w:rPr>
          <w:rFonts w:ascii="Arial" w:cs="Arial" w:eastAsia="Arial" w:hAnsi="Arial"/>
          <w:sz w:val="18"/>
          <w:szCs w:val="18"/>
          <w:color w:val="auto"/>
        </w:rPr>
        <w:t>ASU 2016-01 generally requires companies to measure investments in equity securities, except those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equity method, at fair value and recognize any changes in fair value in net income. The new guidance must be applied using a modified-retrospective approach and is effective for periods beginning after December 15, 2018 and early adoption is not permitted. The Company is currently evaluating the impact on the consolidated financial statements.</w:t>
      </w:r>
    </w:p>
    <w:p>
      <w:pPr>
        <w:spacing w:after="0" w:line="80"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 xml:space="preserve">In February of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Under ASU 2016-02, an entity will be required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For private companies, ASU 2016-02 is effective for annual reporting periods beginning after December 15, 2019, and interim periods within fiscal years beginning after December 15, 2020. Early adoption is permitted. The Company is in the process of evaluating the future impact of ASU 2016-02 on the consolidated financial statements.</w:t>
      </w:r>
    </w:p>
    <w:p>
      <w:pPr>
        <w:spacing w:after="0" w:line="81" w:lineRule="exact"/>
        <w:rPr>
          <w:sz w:val="20"/>
          <w:szCs w:val="20"/>
          <w:color w:val="auto"/>
        </w:rPr>
      </w:pPr>
    </w:p>
    <w:p>
      <w:pPr>
        <w:ind w:left="460" w:right="140"/>
        <w:spacing w:after="0" w:line="257" w:lineRule="auto"/>
        <w:rPr>
          <w:sz w:val="20"/>
          <w:szCs w:val="20"/>
          <w:color w:val="auto"/>
        </w:rPr>
      </w:pPr>
      <w:r>
        <w:rPr>
          <w:rFonts w:ascii="Arial" w:cs="Arial" w:eastAsia="Arial" w:hAnsi="Arial"/>
          <w:sz w:val="18"/>
          <w:szCs w:val="18"/>
          <w:color w:val="auto"/>
        </w:rPr>
        <w:t>In June of 2016, the FASB issued ASU No. 2016-13</w:t>
      </w:r>
      <w:r>
        <w:rPr>
          <w:rFonts w:ascii="Arial" w:cs="Arial" w:eastAsia="Arial" w:hAnsi="Arial"/>
          <w:sz w:val="18"/>
          <w:szCs w:val="18"/>
          <w:i w:val="1"/>
          <w:iCs w:val="1"/>
          <w:color w:val="auto"/>
        </w:rPr>
        <w:t>, “Financial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replaces the incurred loss impairment methodology in current GAAP with a methodology that reflects expected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requires consideration of a broader range of reasonable and supportable information to inform credit loss estimates. The new guidance is effective for fiscal years beginning after December 15, 2020. The Company is in the process of evaluating the future impact of ASU 2016-13 on the consolidated financial statements.</w:t>
      </w:r>
    </w:p>
    <w:p>
      <w:pPr>
        <w:spacing w:after="0" w:line="80"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 xml:space="preserve">In August of 2016, the FASB issued ASU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ASU 2016-15 clarifies how certain cash receipts and payments should be presented in the statement of cash flows. The guidance is effective for fiscal years beginning after December 15, 2018 with early adoption permitted. The Company is in the process of evaluating the future impact of ASU 2016-15 on the consolidated financial statements.</w:t>
      </w:r>
    </w:p>
    <w:p>
      <w:pPr>
        <w:spacing w:after="0" w:line="79" w:lineRule="exact"/>
        <w:rPr>
          <w:sz w:val="20"/>
          <w:szCs w:val="20"/>
          <w:color w:val="auto"/>
        </w:rPr>
      </w:pPr>
    </w:p>
    <w:p>
      <w:pPr>
        <w:jc w:val="both"/>
        <w:ind w:left="460" w:right="280"/>
        <w:spacing w:after="0" w:line="312"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which provides guidance on the presentation of restricted cash or restricted cash equivalents in the statement of cash flows. ASU 2016-18 is effective for fiscal years beginning after December 15, 2018. The Company is in the process of evaluating the future impact of ASU 2016-18 on the consolidated financial statements.</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SUPERIOR DIGITAL DISPLAYS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C - S</w:t>
      </w:r>
      <w:r>
        <w:rPr>
          <w:rFonts w:ascii="Arial" w:cs="Arial" w:eastAsia="Arial" w:hAnsi="Arial"/>
          <w:sz w:val="15"/>
          <w:szCs w:val="15"/>
          <w:b w:val="1"/>
          <w:bCs w:val="1"/>
          <w:color w:val="auto"/>
        </w:rPr>
        <w:t>IGNS AND</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signs and equipment approximated as follows:</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Signs and equipment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20,050,000</w:t>
            </w:r>
          </w:p>
        </w:tc>
        <w:tc>
          <w:tcPr>
            <w:tcW w:w="60" w:type="dxa"/>
            <w:vAlign w:val="bottom"/>
          </w:tcPr>
          <w:p>
            <w:pPr>
              <w:spacing w:after="0"/>
              <w:rPr>
                <w:sz w:val="18"/>
                <w:szCs w:val="18"/>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(13,476,000)</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Signs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6,574,000</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 ended September 30, 2018 approximated $4,047,000.</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Through December 31, 2013, the Company placed its first digital display, Sign 5, located at 3 Times Square, into startup mode. During the year ended December 31, 2014, the Company placed an additional 3 signs, known as the Triple Play, and located at 729 Seventh Avenue into operation. During the year ended December 31, 2015, the Company installed 4 additional signs. Three signs, located on 3 Times Square facing west on 42nd Street are known as the Waterfall. The fourth sign, constructed above Sign 5, and in combination with Sign 5, is known as the Crossroads of the World. The construction of the aforementioned signs, which was finalized during May 2016, marks the completion of the initial build out of SDD’s Times Square network.</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year ended September 30, 2018, in connection with the execution of a Settlement Agreement and Mutual Release with a supplier of the Company’s signs and equipment, outstanding obligations previously recorded under accounts payable on the accompanying consolidated balance sheet were released in the amount of approximately $191,000.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D - R</w:t>
      </w:r>
      <w:r>
        <w:rPr>
          <w:rFonts w:ascii="Arial" w:cs="Arial" w:eastAsia="Arial" w:hAnsi="Arial"/>
          <w:sz w:val="15"/>
          <w:szCs w:val="15"/>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RANSACTIONS</w:t>
      </w:r>
    </w:p>
    <w:p>
      <w:pPr>
        <w:spacing w:after="0" w:line="131"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notes payable:</w:t>
      </w:r>
    </w:p>
    <w:p>
      <w:pPr>
        <w:spacing w:after="0" w:line="121"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December 30, 2013, the Company entered into a First Lien Credit Agreement (the “First Lien”) with aggregate borrowings of $25,000,000 available for draw through February of 2015. As of February 2015, all available borrowings under the agreement were fully drawn, accruing interest at LIBOR plus 12.5% compounded quarterly, allowing the Company, in its discretion, to pay interest in kind at a rate of LIBOR plus 13%. In June of 2017 and March of 2018, the applicable margin was reduced to 9.00% and 5.50%, respectively, through amendments to the First Lien.</w:t>
      </w:r>
    </w:p>
    <w:p>
      <w:pPr>
        <w:spacing w:after="0" w:line="63"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Principal borrowings were scheduled to be repaid in consecutive quarterly installments, plus accrued interest, consistent with the terms of the agreement commencing June of 2016. The Company executed waivers and amendments to the First Lien, waiving all quarterly covenant violations and delaying required quarterly payments through December 31, 2018. In conjunction with an amendment executed in October of 2018, all quarterly debt covenant requirements were removed from the agreement and all remaining principal and interest is due upon maturity on December 31, 2019.</w:t>
      </w:r>
    </w:p>
    <w:p>
      <w:pPr>
        <w:spacing w:after="0" w:line="46" w:lineRule="exact"/>
        <w:rPr>
          <w:rFonts w:ascii="Arial" w:cs="Arial" w:eastAsia="Arial" w:hAnsi="Arial"/>
          <w:sz w:val="18"/>
          <w:szCs w:val="18"/>
          <w:b w:val="1"/>
          <w:bCs w:val="1"/>
          <w:color w:val="auto"/>
        </w:rPr>
      </w:pPr>
    </w:p>
    <w:p>
      <w:pPr>
        <w:ind w:left="4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March and June of 2018, the Company utilized proceeds of approximately $6,970,000 and $2,000,000, respectively, from the issuance of Series B Preferred Stock to repay principal and accrued interest on the First Lien.</w:t>
      </w:r>
    </w:p>
    <w:p>
      <w:pPr>
        <w:spacing w:after="0" w:line="62" w:lineRule="exact"/>
        <w:rPr>
          <w:rFonts w:ascii="Arial" w:cs="Arial" w:eastAsia="Arial" w:hAnsi="Arial"/>
          <w:sz w:val="18"/>
          <w:szCs w:val="18"/>
          <w:b w:val="1"/>
          <w:bCs w:val="1"/>
          <w:color w:val="auto"/>
        </w:rPr>
      </w:pPr>
    </w:p>
    <w:p>
      <w:pPr>
        <w:ind w:left="46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at its discretion, may pay interest in kind accrued at the applicable margin on a quarterly basis. During the year ended September 30, 2018, approximately $2,822,000 of interest was paid in kind of which $2,479,000 was expensed during the year ended September 30, 2018. As of September 30, 2018, approximately $460,000 of interest was accrued and included in accrued expenses and other current liabilities on the accompanying consolidated balance sheet.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SUPERIOR DIGITAL DISPLAYS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D - R</w:t>
            </w:r>
            <w:r>
              <w:rPr>
                <w:rFonts w:ascii="Arial" w:cs="Arial" w:eastAsia="Arial" w:hAnsi="Arial"/>
                <w:sz w:val="15"/>
                <w:szCs w:val="15"/>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8580" w:type="dxa"/>
            <w:vAlign w:val="bottom"/>
          </w:tcPr>
          <w:p>
            <w:pPr>
              <w:spacing w:after="0"/>
              <w:rPr>
                <w:sz w:val="20"/>
                <w:szCs w:val="20"/>
                <w:color w:val="auto"/>
              </w:rPr>
            </w:pPr>
            <w:r>
              <w:rPr>
                <w:rFonts w:ascii="Arial" w:cs="Arial" w:eastAsia="Arial" w:hAnsi="Arial"/>
                <w:sz w:val="18"/>
                <w:szCs w:val="18"/>
                <w:b w:val="1"/>
                <w:bCs w:val="1"/>
                <w:color w:val="auto"/>
              </w:rPr>
              <w:t>[1]   Related party notes payable: (continued)</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8580" w:type="dxa"/>
            <w:vAlign w:val="bottom"/>
          </w:tcPr>
          <w:p>
            <w:pPr>
              <w:ind w:left="460"/>
              <w:spacing w:after="0"/>
              <w:rPr>
                <w:sz w:val="20"/>
                <w:szCs w:val="20"/>
                <w:color w:val="auto"/>
              </w:rPr>
            </w:pPr>
            <w:r>
              <w:rPr>
                <w:rFonts w:ascii="Arial" w:cs="Arial" w:eastAsia="Arial" w:hAnsi="Arial"/>
                <w:sz w:val="18"/>
                <w:szCs w:val="18"/>
                <w:color w:val="auto"/>
              </w:rPr>
              <w:t>Related party notes payable at September 30, 2018 approximated as follows:</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8580" w:type="dxa"/>
            <w:vAlign w:val="bottom"/>
          </w:tcPr>
          <w:p>
            <w:pPr>
              <w:ind w:left="1840"/>
              <w:spacing w:after="0"/>
              <w:rPr>
                <w:sz w:val="20"/>
                <w:szCs w:val="20"/>
                <w:color w:val="auto"/>
              </w:rPr>
            </w:pPr>
            <w:r>
              <w:rPr>
                <w:rFonts w:ascii="Arial" w:cs="Arial" w:eastAsia="Arial" w:hAnsi="Arial"/>
                <w:sz w:val="18"/>
                <w:szCs w:val="18"/>
                <w:color w:val="auto"/>
              </w:rPr>
              <w:t>Principal borrowings:</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580" w:type="dxa"/>
            <w:vAlign w:val="bottom"/>
          </w:tcPr>
          <w:p>
            <w:pPr>
              <w:ind w:left="2200"/>
              <w:spacing w:after="0"/>
              <w:rPr>
                <w:sz w:val="20"/>
                <w:szCs w:val="20"/>
                <w:color w:val="auto"/>
              </w:rPr>
            </w:pPr>
            <w:r>
              <w:rPr>
                <w:rFonts w:ascii="Arial" w:cs="Arial" w:eastAsia="Arial" w:hAnsi="Arial"/>
                <w:sz w:val="18"/>
                <w:szCs w:val="18"/>
                <w:color w:val="auto"/>
              </w:rPr>
              <w:t>First lien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7"/>
              </w:rPr>
              <w:t>$23,209,000</w:t>
            </w:r>
          </w:p>
        </w:tc>
        <w:tc>
          <w:tcPr>
            <w:tcW w:w="60" w:type="dxa"/>
            <w:vAlign w:val="bottom"/>
          </w:tcPr>
          <w:p>
            <w:pPr>
              <w:spacing w:after="0"/>
              <w:rPr>
                <w:sz w:val="18"/>
                <w:szCs w:val="18"/>
                <w:color w:val="auto"/>
              </w:rPr>
            </w:pPr>
          </w:p>
        </w:tc>
      </w:tr>
      <w:tr>
        <w:trPr>
          <w:trHeight w:val="216"/>
        </w:trPr>
        <w:tc>
          <w:tcPr>
            <w:tcW w:w="8580" w:type="dxa"/>
            <w:vAlign w:val="bottom"/>
          </w:tcPr>
          <w:p>
            <w:pPr>
              <w:ind w:left="1840"/>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80" w:type="dxa"/>
            <w:vAlign w:val="bottom"/>
          </w:tcPr>
          <w:p>
            <w:pPr>
              <w:ind w:left="2200"/>
              <w:spacing w:after="0"/>
              <w:rPr>
                <w:sz w:val="20"/>
                <w:szCs w:val="20"/>
                <w:color w:val="auto"/>
              </w:rPr>
            </w:pPr>
            <w:r>
              <w:rPr>
                <w:rFonts w:ascii="Arial" w:cs="Arial" w:eastAsia="Arial" w:hAnsi="Arial"/>
                <w:sz w:val="18"/>
                <w:szCs w:val="18"/>
                <w:color w:val="auto"/>
              </w:rPr>
              <w:t>Unamortized original issue discount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(146,000)</w:t>
            </w:r>
          </w:p>
        </w:tc>
      </w:tr>
      <w:tr>
        <w:trPr>
          <w:trHeight w:val="230"/>
        </w:trPr>
        <w:tc>
          <w:tcPr>
            <w:tcW w:w="8580" w:type="dxa"/>
            <w:vAlign w:val="bottom"/>
          </w:tcPr>
          <w:p>
            <w:pPr>
              <w:ind w:left="2200"/>
              <w:spacing w:after="0"/>
              <w:rPr>
                <w:sz w:val="20"/>
                <w:szCs w:val="20"/>
                <w:color w:val="auto"/>
              </w:rPr>
            </w:pPr>
            <w:r>
              <w:rPr>
                <w:rFonts w:ascii="Arial" w:cs="Arial" w:eastAsia="Arial" w:hAnsi="Arial"/>
                <w:sz w:val="18"/>
                <w:szCs w:val="18"/>
                <w:color w:val="auto"/>
              </w:rPr>
              <w:t>Unamortized debt issuance costs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(149,000)</w:t>
            </w:r>
          </w:p>
        </w:tc>
      </w:tr>
      <w:tr>
        <w:trPr>
          <w:trHeight w:val="209"/>
        </w:trPr>
        <w:tc>
          <w:tcPr>
            <w:tcW w:w="8580" w:type="dxa"/>
            <w:vAlign w:val="bottom"/>
          </w:tcPr>
          <w:p>
            <w:pPr>
              <w:ind w:left="1840"/>
              <w:spacing w:after="0"/>
              <w:rPr>
                <w:sz w:val="20"/>
                <w:szCs w:val="20"/>
                <w:color w:val="auto"/>
              </w:rPr>
            </w:pPr>
            <w:r>
              <w:rPr>
                <w:rFonts w:ascii="Arial" w:cs="Arial" w:eastAsia="Arial" w:hAnsi="Arial"/>
                <w:sz w:val="18"/>
                <w:szCs w:val="18"/>
                <w:color w:val="auto"/>
              </w:rPr>
              <w:t>Related party notes payable less unamortized discount and debt issuance costs</w:t>
            </w:r>
          </w:p>
        </w:tc>
        <w:tc>
          <w:tcPr>
            <w:tcW w:w="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22,914,000</w:t>
            </w:r>
          </w:p>
        </w:tc>
        <w:tc>
          <w:tcPr>
            <w:tcW w:w="60" w:type="dxa"/>
            <w:vAlign w:val="bottom"/>
          </w:tcPr>
          <w:p>
            <w:pPr>
              <w:spacing w:after="0"/>
              <w:rPr>
                <w:sz w:val="18"/>
                <w:szCs w:val="18"/>
                <w:color w:val="auto"/>
              </w:rPr>
            </w:pPr>
          </w:p>
        </w:tc>
      </w:tr>
      <w:tr>
        <w:trPr>
          <w:trHeight w:val="230"/>
        </w:trPr>
        <w:tc>
          <w:tcPr>
            <w:tcW w:w="8580" w:type="dxa"/>
            <w:vAlign w:val="bottom"/>
          </w:tcPr>
          <w:p>
            <w:pPr>
              <w:ind w:left="1840"/>
              <w:spacing w:after="0"/>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580" w:type="dxa"/>
            <w:vAlign w:val="bottom"/>
          </w:tcPr>
          <w:p>
            <w:pPr>
              <w:ind w:left="1840"/>
              <w:spacing w:after="0"/>
              <w:rPr>
                <w:sz w:val="20"/>
                <w:szCs w:val="20"/>
                <w:color w:val="auto"/>
              </w:rPr>
            </w:pPr>
            <w:r>
              <w:rPr>
                <w:rFonts w:ascii="Arial" w:cs="Arial" w:eastAsia="Arial" w:hAnsi="Arial"/>
                <w:sz w:val="18"/>
                <w:szCs w:val="18"/>
                <w:color w:val="auto"/>
              </w:rPr>
              <w:t>Related party notes payable, net of current portion</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22,914,000</w:t>
            </w:r>
          </w:p>
        </w:tc>
        <w:tc>
          <w:tcPr>
            <w:tcW w:w="6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540"/>
        <w:spacing w:after="0" w:line="277" w:lineRule="auto"/>
        <w:rPr>
          <w:sz w:val="20"/>
          <w:szCs w:val="20"/>
          <w:color w:val="auto"/>
        </w:rPr>
      </w:pPr>
      <w:r>
        <w:rPr>
          <w:rFonts w:ascii="Arial" w:cs="Arial" w:eastAsia="Arial" w:hAnsi="Arial"/>
          <w:sz w:val="18"/>
          <w:szCs w:val="18"/>
          <w:color w:val="auto"/>
        </w:rPr>
        <w:t>Based on principal advanced under the First Lien facility, as of September 30, 2018, future principal payments on related party notes payable are approximately as follows:</w:t>
      </w:r>
    </w:p>
    <w:p>
      <w:pPr>
        <w:spacing w:after="0" w:line="189"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Year Ending</w:t>
      </w:r>
    </w:p>
    <w:p>
      <w:pPr>
        <w:ind w:left="18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195"/>
        </w:trPr>
        <w:tc>
          <w:tcPr>
            <w:tcW w:w="88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w w:val="84"/>
              </w:rPr>
              <w:t>2019</w:t>
            </w:r>
          </w:p>
        </w:tc>
        <w:tc>
          <w:tcPr>
            <w:tcW w:w="60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jc w:val="right"/>
              <w:ind w:right="430"/>
              <w:spacing w:after="0"/>
              <w:rPr>
                <w:sz w:val="20"/>
                <w:szCs w:val="20"/>
                <w:color w:val="auto"/>
              </w:rPr>
            </w:pPr>
            <w:r>
              <w:rPr>
                <w:rFonts w:ascii="Arial" w:cs="Arial" w:eastAsia="Arial" w:hAnsi="Arial"/>
                <w:sz w:val="18"/>
                <w:szCs w:val="18"/>
                <w:color w:val="auto"/>
                <w:w w:val="84"/>
              </w:rPr>
              <w:t>2020</w:t>
            </w:r>
          </w:p>
        </w:tc>
        <w:tc>
          <w:tcPr>
            <w:tcW w:w="60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23,209,000</w:t>
            </w:r>
          </w:p>
        </w:tc>
      </w:tr>
    </w:tbl>
    <w:p>
      <w:pPr>
        <w:spacing w:after="0" w:line="346"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Company entered into an Amended and Restated Management Agreement (the “Agreement”) with a shareholder during the year ended</w:t>
      </w:r>
    </w:p>
    <w:p>
      <w:pPr>
        <w:spacing w:after="0" w:line="34" w:lineRule="exact"/>
        <w:rPr>
          <w:rFonts w:ascii="Arial" w:cs="Arial" w:eastAsia="Arial" w:hAnsi="Arial"/>
          <w:sz w:val="18"/>
          <w:szCs w:val="18"/>
          <w:b w:val="1"/>
          <w:bCs w:val="1"/>
          <w:color w:val="auto"/>
        </w:rPr>
      </w:pPr>
    </w:p>
    <w:p>
      <w:pPr>
        <w:ind w:left="460" w:right="4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December 31, 2013. This Agreement assigns the right to a monthly fee equal to the total of 1.5% of the Company’s gross revenues generated from each of the five commercial signs to be erected in the Company’s Times Square location. This amended agreement became effective during the first full month for which each sign was installed and operated and expires December 31, 2023. For the year ended September 30, 2018, management expense approximated $16,000 and is recorded under operating expenses on the accompanying consolidated statement of operations. As of September 30, 2018, approximately $25,000 is included under accrued expenses and other current liabilities on the accompanying consolidated balance sheet.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E - 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AYABLE</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year ended September 30, 2018, the Company entered into an agreement to finance the cost of certain insurance policies. The financing required 10 monthly installments of principal and interest in the amount of $18,905 and had an effective rate of interest of 7.93%. Final payment was made September 4, 2018.</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SUPERIOR DIGITAL DISPLAYS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F - I</w:t>
      </w:r>
      <w:r>
        <w:rPr>
          <w:rFonts w:ascii="Arial" w:cs="Arial" w:eastAsia="Arial" w:hAnsi="Arial"/>
          <w:sz w:val="15"/>
          <w:szCs w:val="15"/>
          <w:b w:val="1"/>
          <w:bCs w:val="1"/>
          <w:color w:val="auto"/>
        </w:rPr>
        <w:t>NTEREST</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as follows for the year ended September 30, 2018:</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Related party notes payable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$2,479,000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Original issue discount amortization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542,000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Debt issuance costs amortization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552,000</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Other, net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6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3,578,000</w:t>
            </w: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G - S</w:t>
      </w:r>
      <w:r>
        <w:rPr>
          <w:rFonts w:ascii="Arial" w:cs="Arial" w:eastAsia="Arial" w:hAnsi="Arial"/>
          <w:sz w:val="15"/>
          <w:szCs w:val="15"/>
          <w:b w:val="1"/>
          <w:bCs w:val="1"/>
          <w:color w:val="auto"/>
        </w:rPr>
        <w:t>TOCKHOLDERS</w:t>
      </w:r>
      <w:r>
        <w:rPr>
          <w:rFonts w:ascii="Arial" w:cs="Arial" w:eastAsia="Arial" w:hAnsi="Arial"/>
          <w:sz w:val="18"/>
          <w:szCs w:val="18"/>
          <w:b w:val="1"/>
          <w:bCs w:val="1"/>
          <w:color w:val="auto"/>
        </w:rPr>
        <w:t>’ D</w:t>
      </w:r>
      <w:r>
        <w:rPr>
          <w:rFonts w:ascii="Arial" w:cs="Arial" w:eastAsia="Arial" w:hAnsi="Arial"/>
          <w:sz w:val="15"/>
          <w:szCs w:val="15"/>
          <w:b w:val="1"/>
          <w:bCs w:val="1"/>
          <w:color w:val="auto"/>
        </w:rPr>
        <w:t>EFICIT</w:t>
      </w:r>
    </w:p>
    <w:p>
      <w:pPr>
        <w:spacing w:after="0" w:line="12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On June 12, 2017, the Board approved an amendment to the Certificate of Incorporation of Holdings increasing the number of authorized shares to a total of 678,775 shares of common stock with a par value of $0.01 per share and 648,775 shares of a convertible preferred stock with a par value of $0.01 per share, of which 38,000 are designated as Series A Convertible Preferred Stock and 610,775 shares designated as Series B Convertible Preferred Stock.</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March 15, 2018, the Board approved an amendment to the Certificate of Incorporation of Holdings increasing the number of authorized shares to a total of 1,078,775 shares of common stock with a par value of $0.01 per share and 1,048,775 shares of a convertible preferred stock with a par value of $0.01 per share, of which 38,000 are designated as Series A Preferred Stock and 1,010,775 shares designated as Series B Preferred Stock.</w:t>
      </w:r>
    </w:p>
    <w:p>
      <w:pPr>
        <w:spacing w:after="0" w:line="16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Series A Convertible Preferred Stock and Series B Convertible Preferred Stock accrue dividends annually at a rate of 15% whether or not declared by the Board and shall be cumulative and compounded annually. There were no dividends declared by the Board for the year ended September 30, 2018. Each share of preferred stock shall be convertible at the option of the holder at any time to pro-rated shares of Common Stock based on original issue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October 2, 2017, 25,076 Series B Convertible Preferred Stock shares were sold for approximately $750,000.</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March and June of 2018, the Company issued 250,762 and 80,244 Series B Convertible Preferred Stock shares, respectively, for approximately $7,500,000 and $2,430,000, respectively, for working capital needs and partial repayment of accrued interest and outstanding principal on the Company’s First Lien.</w:t>
      </w:r>
    </w:p>
    <w:p>
      <w:pPr>
        <w:spacing w:after="0" w:line="12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September 30, 2018, the issued and outstanding common stock represented 2.2%, the issued and outstanding Series A Convertible Preferred Stock represent 4.1% and the Series B Convertible Preferred Stock represented 92.5% of the fully diluted stock of the Company. The remaining 1.2% represents shares reserved for the Management Employee Incentive Program.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H - M</w:t>
      </w:r>
      <w:r>
        <w:rPr>
          <w:rFonts w:ascii="Arial" w:cs="Arial" w:eastAsia="Arial" w:hAnsi="Arial"/>
          <w:sz w:val="15"/>
          <w:szCs w:val="15"/>
          <w:b w:val="1"/>
          <w:bCs w:val="1"/>
          <w:color w:val="auto"/>
        </w:rPr>
        <w:t>ANAGEMENT</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ROGRAM</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March of 2015, an Equity Incentive Plan was approved by the Board of Directors and existing stockholders. A maximum of 10,030 shares are available under the Equity Incentive Plan. At September 30, 2018, a total of 10,030 shares were reserved under the Equity Incentive Plan. At September 30, 2018, a total of 3,343 shares were vested and issued under the Plan and all remaining shares were forfeited. The purchase of the forfeited shares will be refunded by the Company for a total of $2,500. Such amounts are accrued as of September 30, 2018 on the accompanying consolidated Balance Sheet.</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SUPERIOR DIGITAL DISPLAYS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I - I</w:t>
      </w:r>
      <w:r>
        <w:rPr>
          <w:rFonts w:ascii="Arial" w:cs="Arial" w:eastAsia="Arial" w:hAnsi="Arial"/>
          <w:sz w:val="15"/>
          <w:szCs w:val="15"/>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Company’s deferred tax assets and liabilities at September 30, 2018 are approximately as follows:</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(75,000)</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(1,080,000)</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49,000</w:t>
            </w:r>
          </w:p>
        </w:tc>
        <w:tc>
          <w:tcPr>
            <w:tcW w:w="6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705,000</w:t>
            </w:r>
          </w:p>
        </w:tc>
        <w:tc>
          <w:tcPr>
            <w:tcW w:w="6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72,000</w:t>
            </w:r>
          </w:p>
        </w:tc>
        <w:tc>
          <w:tcPr>
            <w:tcW w:w="6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Federal net operating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9,929,000</w:t>
            </w:r>
          </w:p>
        </w:tc>
        <w:tc>
          <w:tcPr>
            <w:tcW w:w="60" w:type="dxa"/>
            <w:vAlign w:val="bottom"/>
          </w:tcPr>
          <w:p>
            <w:pPr>
              <w:spacing w:after="0"/>
              <w:rPr>
                <w:sz w:val="18"/>
                <w:szCs w:val="18"/>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State net operating losses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5,136,000</w:t>
            </w:r>
          </w:p>
        </w:tc>
        <w:tc>
          <w:tcPr>
            <w:tcW w:w="60" w:type="dxa"/>
            <w:vAlign w:val="bottom"/>
          </w:tcPr>
          <w:p>
            <w:pPr>
              <w:spacing w:after="0"/>
              <w:rPr>
                <w:sz w:val="20"/>
                <w:szCs w:val="20"/>
                <w:color w:val="auto"/>
              </w:rPr>
            </w:pPr>
          </w:p>
        </w:tc>
      </w:tr>
      <w:tr>
        <w:trPr>
          <w:trHeight w:val="209"/>
        </w:trPr>
        <w:tc>
          <w:tcPr>
            <w:tcW w:w="6660" w:type="dxa"/>
            <w:vAlign w:val="bottom"/>
          </w:tcPr>
          <w:p>
            <w:pPr>
              <w:spacing w:after="0"/>
              <w:rPr>
                <w:sz w:val="20"/>
                <w:szCs w:val="20"/>
                <w:color w:val="auto"/>
              </w:rPr>
            </w:pPr>
            <w:r>
              <w:rPr>
                <w:rFonts w:ascii="Arial" w:cs="Arial" w:eastAsia="Arial" w:hAnsi="Arial"/>
                <w:sz w:val="18"/>
                <w:szCs w:val="18"/>
                <w:color w:val="auto"/>
              </w:rPr>
              <w:t>Total gross 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14,736,000</w:t>
            </w:r>
          </w:p>
        </w:tc>
        <w:tc>
          <w:tcPr>
            <w:tcW w:w="60" w:type="dxa"/>
            <w:vAlign w:val="bottom"/>
          </w:tcPr>
          <w:p>
            <w:pPr>
              <w:spacing w:after="0"/>
              <w:rPr>
                <w:sz w:val="18"/>
                <w:szCs w:val="18"/>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(14,736,000)</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September 30, 2018, the Company has recorded a full valuation allowance against its net deferred tax assets of approximately $14,736,000. A full valuation allowance has been recorded since, in the judgment of management, these assets are not more likely than not to be realized. The ultimate realization of deferred tax assets is dependent upon the generation of future taxable income during periods in which those temporary differences and carryforwards become deductible or are utilized.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2018, the Company has approximately $47,284,000 and $46,559,000 of federal and state net operating loss carryforwards,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federal and state net operating loss carryforwards begin to expire in 2034.</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22, 2017, H.R. 1 (also, known as the Tax Cuts and Jobs Act (the “Act”)) was signed into law. Among its numerous changes to the Internal Revenue Code, the Act reduces U.S. federal corporate tax rate from 34% to 21% and implemented an interest limitation. As a result, the Company has revalued their deferred tax assets as of December 31, 2017 at the 21% rate. In addition, the interest expense incurred by the Company has been disallowed from the period of January 1, 2018 to September 30, 2018. The interest will be carried forward indefinitely until the Company has enough income to incur the loss.</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income tax benefit for the year ended September 30, 2018 differed from the amounts computed by applying the U.S. federal income tax rate of 21% to loss before tax benefit as a result of nondeductible expenses, tax credits generated, utilization of net operating loss carryforwards, and increases in the Company’s valuation allowance.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J - C</w:t>
      </w:r>
      <w:r>
        <w:rPr>
          <w:rFonts w:ascii="Arial" w:cs="Arial" w:eastAsia="Arial" w:hAnsi="Arial"/>
          <w:sz w:val="15"/>
          <w:szCs w:val="15"/>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ONTINGENCIES</w:t>
      </w:r>
    </w:p>
    <w:p>
      <w:pPr>
        <w:spacing w:after="0" w:line="131"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ind w:left="46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a lease agreement during April of 2011, as periodically amended, with respect to certain portions of the exterior of a building suitable for construction of five digital displays. The lease calls for fixed monthly rental payments in the amount of $5,000 per month for a term of 10 years for each active sign location.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SUPERIOR DIGITAL DISPLAYS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J - C</w:t>
      </w:r>
      <w:r>
        <w:rPr>
          <w:rFonts w:ascii="Arial" w:cs="Arial" w:eastAsia="Arial" w:hAnsi="Arial"/>
          <w:sz w:val="15"/>
          <w:szCs w:val="15"/>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ONTINGENCIES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58"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 (continued)</w:t>
      </w:r>
    </w:p>
    <w:p>
      <w:pPr>
        <w:spacing w:after="0" w:line="121"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lease has two five-year options to renew. In addition to fixed rent, the Company is required to make percentage rent payments equal to an agreed-upon percentage of the gross revenues generated by each sign area.</w:t>
      </w:r>
    </w:p>
    <w:p>
      <w:pPr>
        <w:spacing w:after="0" w:line="62"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November of 2012, the lease was amended, segregating sign areas 1 through 4 to a new lease with terms consistent with the original lease. Rent payments per this agreement are $5,000 per month for each active sign area. The Company paid contingent rent based on total revenues generated by Sign 5 equal to 50% of monthly revenue with a minimum monthly guaranteed rent share on Sign 5 equal to $62,500 per month payable to the landlord in addition to the $5,000 per month base rent.</w:t>
      </w:r>
    </w:p>
    <w:p>
      <w:pPr>
        <w:spacing w:after="0" w:line="78"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Effective May 1, 2017, the leases were amended transferring Sign 4 from the Sign 1 - 4 lease to the Sign 5 lease. This transfer allows the revenue share from Signs 4 and 5 to be applied against the minimum revenue share of $62,500 per month as contingent rent. The Company also has a minimum monthly guaranteed rent share on Signs 1 - 3 equal to 50% of monthly revenue payable to the landlord in addition to the $5,000 per month base rent per sign.</w:t>
      </w:r>
    </w:p>
    <w:p>
      <w:pPr>
        <w:spacing w:after="0" w:line="78"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December of 2012, the Company entered into an additional lease agreement for a second advertising location. The lease commenced on January 1, 2013 and continues for a twenty-year period expiring on December 31, 2032. The lease terms contain one ten-year renewal option. The lease contains escalating rent provisions and certain rent holidays accounted for on a straight-line basis over the term of the lease. In addition to scheduled monthly rental payments, the Company is required to make percentage rental payments equal to the agreed-upon formula contained in the lease agreement.</w:t>
      </w:r>
    </w:p>
    <w:p>
      <w:pPr>
        <w:spacing w:after="0" w:line="80"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Future minimum rental payments required under operating leases for sign space that have initial or remaining non-cancelable lease terms in excess of one year and are fixed and determinable as of September 30, 2018 are approximately:</w:t>
      </w:r>
    </w:p>
    <w:p>
      <w:pPr>
        <w:spacing w:after="0" w:line="189"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Year Ending</w:t>
      </w:r>
    </w:p>
    <w:p>
      <w:pPr>
        <w:ind w:left="18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2019</w:t>
            </w:r>
          </w:p>
        </w:tc>
        <w:tc>
          <w:tcPr>
            <w:tcW w:w="6000" w:type="dxa"/>
            <w:vAlign w:val="bottom"/>
          </w:tcPr>
          <w:p>
            <w:pPr>
              <w:spacing w:after="0"/>
              <w:rPr>
                <w:sz w:val="16"/>
                <w:szCs w:val="16"/>
                <w:color w:val="auto"/>
              </w:rPr>
            </w:pPr>
          </w:p>
        </w:tc>
        <w:tc>
          <w:tcPr>
            <w:tcW w:w="82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88"/>
              </w:rPr>
              <w:t>$1,290,000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2020</w:t>
            </w:r>
          </w:p>
        </w:tc>
        <w:tc>
          <w:tcPr>
            <w:tcW w:w="60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1,290,000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2021</w:t>
            </w:r>
          </w:p>
        </w:tc>
        <w:tc>
          <w:tcPr>
            <w:tcW w:w="60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765,000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2022</w:t>
            </w:r>
          </w:p>
        </w:tc>
        <w:tc>
          <w:tcPr>
            <w:tcW w:w="60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240,000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2023</w:t>
            </w:r>
          </w:p>
        </w:tc>
        <w:tc>
          <w:tcPr>
            <w:tcW w:w="60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240,000</w:t>
            </w: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2,664,000</w:t>
            </w: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Total minimum rentals</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6,489,000</w:t>
            </w:r>
          </w:p>
        </w:tc>
      </w:tr>
      <w:tr>
        <w:trPr>
          <w:trHeight w:val="20"/>
        </w:trPr>
        <w:tc>
          <w:tcPr>
            <w:tcW w:w="8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color w:val="auto"/>
        </w:rPr>
        <w:t>Rent expense for the year ended September 30, 2018 was approximately $1,590,000 and is included in operating expenses on the accompanying consolidated statement of operations.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SUPERIOR DIGITAL DISPLAYS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J - C</w:t>
      </w:r>
      <w:r>
        <w:rPr>
          <w:rFonts w:ascii="Arial" w:cs="Arial" w:eastAsia="Arial" w:hAnsi="Arial"/>
          <w:sz w:val="15"/>
          <w:szCs w:val="15"/>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ONTINGENCIES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58"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agreements:</w:t>
      </w:r>
    </w:p>
    <w:p>
      <w:pPr>
        <w:spacing w:after="0" w:line="121" w:lineRule="exact"/>
        <w:rPr>
          <w:rFonts w:ascii="Arial" w:cs="Arial" w:eastAsia="Arial" w:hAnsi="Arial"/>
          <w:sz w:val="18"/>
          <w:szCs w:val="18"/>
          <w:b w:val="1"/>
          <w:bCs w:val="1"/>
          <w:color w:val="auto"/>
        </w:rPr>
      </w:pPr>
    </w:p>
    <w:p>
      <w:pPr>
        <w:ind w:left="460" w:righ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employment agreements with certain executive officers. As applicable, the agreements include an annual compensation amount, sales commissions, and the terms of an annual incentive bonus under the Company’s Management Bonus Plan as further defined in the agreements.</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On January 31, 2017, the Company entered into a separation agreement that calls for continuation of compensation as severance pay for 12 months.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K - M</w:t>
      </w:r>
      <w:r>
        <w:rPr>
          <w:rFonts w:ascii="Arial" w:cs="Arial" w:eastAsia="Arial" w:hAnsi="Arial"/>
          <w:sz w:val="15"/>
          <w:szCs w:val="15"/>
          <w:b w:val="1"/>
          <w:bCs w:val="1"/>
          <w:color w:val="auto"/>
        </w:rPr>
        <w:t>AJOR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USTOMERS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year ended September 30, 2018, two customers accounted for approximately 54% of the Company’s total revenues. These same customers accounted for approximately 43% of accounts receivable as of September 30, 2018.</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1)"/>
      <w:numFmt w:val="decimal"/>
      <w:start w:val="1"/>
    </w:lvl>
  </w:abstractNum>
  <w:abstractNum w:abstractNumId="2">
    <w:nsid w:val="7BD3EE7B"/>
    <w:multiLevelType w:val="hybridMultilevel"/>
    <w:lvl w:ilvl="0">
      <w:lvlJc w:val="left"/>
      <w:lvlText w:val="(%1)"/>
      <w:numFmt w:val="decimal"/>
      <w:start w:val="1"/>
    </w:lvl>
  </w:abstractNum>
  <w:abstractNum w:abstractNumId="3">
    <w:nsid w:val="51D9C564"/>
    <w:multiLevelType w:val="hybridMultilevel"/>
    <w:lvl w:ilvl="0">
      <w:lvlJc w:val="left"/>
      <w:lvlText w:val="(%1)"/>
      <w:numFmt w:val="decimal"/>
      <w:start w:val="7"/>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1)"/>
      <w:numFmt w:val="decimal"/>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1."/>
      <w:numFmt w:val="decimal"/>
      <w:start w:val="1"/>
    </w:lvl>
  </w:abstractNum>
  <w:abstractNum w:abstractNumId="10">
    <w:nsid w:val="1A32234B"/>
    <w:multiLevelType w:val="hybridMultilevel"/>
    <w:lvl w:ilvl="0">
      <w:lvlJc w:val="left"/>
      <w:lvlText w:val="%1."/>
      <w:numFmt w:val="decimal"/>
      <w:start w:val="2"/>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1)"/>
      <w:numFmt w:val="upperLetter"/>
      <w:start w:val="2"/>
    </w:lvl>
  </w:abstractNum>
  <w:abstractNum w:abstractNumId="19">
    <w:nsid w:val="71EA1109"/>
    <w:multiLevelType w:val="hybridMultilevel"/>
    <w:lvl w:ilvl="0">
      <w:lvlJc w:val="left"/>
      <w:lvlText w:val="(%1)"/>
      <w:numFmt w:val="decimal"/>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1)"/>
      <w:numFmt w:val="decimal"/>
      <w:start w:val="1"/>
    </w:lvl>
  </w:abstractNum>
  <w:abstractNum w:abstractNumId="24">
    <w:nsid w:val="94211F2"/>
    <w:multiLevelType w:val="hybridMultilevel"/>
    <w:lvl w:ilvl="0">
      <w:lvlJc w:val="left"/>
      <w:lvlText w:val="(%1)"/>
      <w:numFmt w:val="decimal"/>
      <w:start w:val="4"/>
    </w:lvl>
  </w:abstractNum>
  <w:abstractNum w:abstractNumId="25">
    <w:nsid w:val="885E1B"/>
    <w:multiLevelType w:val="hybridMultilevel"/>
    <w:lvl w:ilvl="0">
      <w:lvlJc w:val="left"/>
      <w:lvlText w:val="(%1)"/>
      <w:numFmt w:val="decimal"/>
      <w:start w:val="1"/>
    </w:lvl>
  </w:abstractNum>
  <w:abstractNum w:abstractNumId="26">
    <w:nsid w:val="76272110"/>
    <w:multiLevelType w:val="hybridMultilevel"/>
    <w:lvl w:ilvl="0">
      <w:lvlJc w:val="left"/>
      <w:lvlText w:val="%1."/>
      <w:numFmt w:val="decimal"/>
      <w:start w:val="1"/>
    </w:lvl>
  </w:abstractNum>
  <w:abstractNum w:abstractNumId="27">
    <w:nsid w:val="4C04A8AF"/>
    <w:multiLevelType w:val="hybridMultilevel"/>
    <w:lvl w:ilvl="0">
      <w:lvlJc w:val="left"/>
      <w:lvlText w:val="(%1)"/>
      <w:numFmt w:val="decimal"/>
      <w:start w:val="1"/>
    </w:lvl>
  </w:abstractNum>
  <w:abstractNum w:abstractNumId="28">
    <w:nsid w:val="1716703B"/>
    <w:multiLevelType w:val="hybridMultilevel"/>
    <w:lvl w:ilvl="0">
      <w:lvlJc w:val="left"/>
      <w:lvlText w:val="(%1)"/>
      <w:numFmt w:val="decimal"/>
      <w:start w:val="1"/>
    </w:lvl>
  </w:abstractNum>
  <w:abstractNum w:abstractNumId="29">
    <w:nsid w:val="14E17E33"/>
    <w:multiLevelType w:val="hybridMultilevel"/>
    <w:lvl w:ilvl="0">
      <w:lvlJc w:val="left"/>
      <w:lvlText w:val="(%1)"/>
      <w:numFmt w:val="decimal"/>
      <w:start w:val="1"/>
    </w:lvl>
  </w:abstractNum>
  <w:abstractNum w:abstractNumId="30">
    <w:nsid w:val="3222E7CD"/>
    <w:multiLevelType w:val="hybridMultilevel"/>
    <w:lvl w:ilvl="0">
      <w:lvlJc w:val="left"/>
      <w:lvlText w:val="(%1)"/>
      <w:numFmt w:val="decimal"/>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1)"/>
      <w:numFmt w:val="lowerLetter"/>
      <w:start w:val="2"/>
    </w:lvl>
    <w:lvl w:ilvl="1">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1)"/>
      <w:numFmt w:val="decimal"/>
      <w:start w:val="1"/>
    </w:lvl>
  </w:abstractNum>
  <w:abstractNum w:abstractNumId="40">
    <w:nsid w:val="60EF0119"/>
    <w:multiLevelType w:val="hybridMultilevel"/>
    <w:lvl w:ilvl="0">
      <w:lvlJc w:val="left"/>
      <w:lvlText w:val="(%1)"/>
      <w:numFmt w:val="decimal"/>
      <w:start w:val="1"/>
    </w:lvl>
  </w:abstractNum>
  <w:abstractNum w:abstractNumId="41">
    <w:nsid w:val="26F324BA"/>
    <w:multiLevelType w:val="hybridMultilevel"/>
    <w:lvl w:ilvl="0">
      <w:lvlJc w:val="left"/>
      <w:lvlText w:val="(%1)"/>
      <w:numFmt w:val="decimal"/>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1)"/>
      <w:numFmt w:val="decimal"/>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lvl w:ilvl="1">
      <w:lvlJc w:val="left"/>
      <w:lvlText w:val="="/>
      <w:numFmt w:val="bullet"/>
      <w:start w:val="1"/>
    </w:lvl>
  </w:abstractNum>
  <w:abstractNum w:abstractNumId="47">
    <w:nsid w:val="488AC1A"/>
    <w:multiLevelType w:val="hybridMultilevel"/>
    <w:lvl w:ilvl="0">
      <w:lvlJc w:val="left"/>
      <w:lvlText w:val="(%1)"/>
      <w:numFmt w:val="decimal"/>
      <w:start w:val="1"/>
    </w:lvl>
  </w:abstractNum>
  <w:abstractNum w:abstractNumId="48">
    <w:nsid w:val="5FB8011C"/>
    <w:multiLevelType w:val="hybridMultilevel"/>
    <w:lvl w:ilvl="0">
      <w:lvlJc w:val="left"/>
      <w:lvlText w:val="(%1)"/>
      <w:numFmt w:val="decimal"/>
      <w:start w:val="1"/>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
      <w:numFmt w:val="bullet"/>
      <w:start w:val="1"/>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
      <w:numFmt w:val="bullet"/>
      <w:start w:val="1"/>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
      <w:numFmt w:val="bullet"/>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1)"/>
      <w:numFmt w:val="decimal"/>
      <w:start w:val="3"/>
    </w:lvl>
  </w:abstractNum>
  <w:abstractNum w:abstractNumId="77">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8">
    <w:nsid w:val="45E6D486"/>
    <w:multiLevelType w:val="hybridMultilevel"/>
    <w:lvl w:ilvl="0">
      <w:lvlJc w:val="left"/>
      <w:lvlText w:val="(%1)"/>
      <w:numFmt w:val="decimal"/>
      <w:start w:val="2"/>
    </w:lvl>
  </w:abstractNum>
  <w:abstractNum w:abstractNumId="79">
    <w:nsid w:val="5C10FE21"/>
    <w:multiLevelType w:val="hybridMultilevel"/>
    <w:lvl w:ilvl="0">
      <w:lvlJc w:val="left"/>
      <w:lvlText w:val="•"/>
      <w:numFmt w:val="bullet"/>
      <w:start w:val="1"/>
    </w:lvl>
  </w:abstractNum>
  <w:abstractNum w:abstractNumId="80">
    <w:nsid w:val="E7FFA2B"/>
    <w:multiLevelType w:val="hybridMultilevel"/>
    <w:lvl w:ilvl="0">
      <w:lvlJc w:val="left"/>
      <w:lvlText w:val="•"/>
      <w:numFmt w:val="bullet"/>
      <w:start w:val="1"/>
    </w:lvl>
  </w:abstractNum>
  <w:abstractNum w:abstractNumId="81">
    <w:nsid w:val="3C5991AA"/>
    <w:multiLevelType w:val="hybridMultilevel"/>
    <w:lvl w:ilvl="0">
      <w:lvlJc w:val="left"/>
      <w:lvlText w:val="•"/>
      <w:numFmt w:val="bullet"/>
      <w:start w:val="1"/>
    </w:lvl>
  </w:abstractNum>
  <w:abstractNum w:abstractNumId="82">
    <w:nsid w:val="4BD8591A"/>
    <w:multiLevelType w:val="hybridMultilevel"/>
    <w:lvl w:ilvl="0">
      <w:lvlJc w:val="left"/>
      <w:lvlText w:val="•"/>
      <w:numFmt w:val="bullet"/>
      <w:start w:val="1"/>
    </w:lvl>
    <w:lvl w:ilvl="1">
      <w:lvlJc w:val="left"/>
      <w:lvlText w:val="%2)"/>
      <w:numFmt w:val="decimal"/>
      <w:start w:val="1"/>
    </w:lvl>
  </w:abstractNum>
  <w:abstractNum w:abstractNumId="83">
    <w:nsid w:val="78DF6A55"/>
    <w:multiLevelType w:val="hybridMultilevel"/>
    <w:lvl w:ilvl="0">
      <w:lvlJc w:val="left"/>
      <w:lvlText w:val="•"/>
      <w:numFmt w:val="bullet"/>
      <w:start w:val="1"/>
    </w:lvl>
  </w:abstractNum>
  <w:abstractNum w:abstractNumId="84">
    <w:nsid w:val="39B7AAA2"/>
    <w:multiLevelType w:val="hybridMultilevel"/>
    <w:lvl w:ilvl="0">
      <w:lvlJc w:val="left"/>
      <w:lvlText w:val="(%1)"/>
      <w:numFmt w:val="decimal"/>
      <w:start w:val="1"/>
    </w:lvl>
  </w:abstractNum>
  <w:abstractNum w:abstractNumId="85">
    <w:nsid w:val="2B0D8DBE"/>
    <w:multiLevelType w:val="hybridMultilevel"/>
    <w:lvl w:ilvl="0">
      <w:lvlJc w:val="left"/>
      <w:lvlText w:val="(%1)"/>
      <w:numFmt w:val="decimal"/>
      <w:start w:val="1"/>
    </w:lvl>
  </w:abstractNum>
  <w:abstractNum w:abstractNumId="86">
    <w:nsid w:val="6C80EC70"/>
    <w:multiLevelType w:val="hybridMultilevel"/>
    <w:lvl w:ilvl="0">
      <w:lvlJc w:val="left"/>
      <w:lvlText w:val="(%1)"/>
      <w:numFmt w:val="decimal"/>
      <w:start w:val="7"/>
    </w:lvl>
  </w:abstractNum>
  <w:abstractNum w:abstractNumId="87">
    <w:nsid w:val="379E21B5"/>
    <w:multiLevelType w:val="hybridMultilevel"/>
    <w:lvl w:ilvl="0">
      <w:lvlJc w:val="left"/>
      <w:lvlText w:val="(%1)"/>
      <w:numFmt w:val="decimal"/>
      <w:start w:val="1"/>
    </w:lvl>
  </w:abstractNum>
  <w:abstractNum w:abstractNumId="88">
    <w:nsid w:val="69E373"/>
    <w:multiLevelType w:val="hybridMultilevel"/>
    <w:lvl w:ilvl="0">
      <w:lvlJc w:val="left"/>
      <w:lvlText w:val="%1."/>
      <w:numFmt w:val="decimal"/>
      <w:start w:val="1"/>
    </w:lvl>
  </w:abstractNum>
  <w:abstractNum w:abstractNumId="89">
    <w:nsid w:val="2C27173B"/>
    <w:multiLevelType w:val="hybridMultilevel"/>
    <w:lvl w:ilvl="0">
      <w:lvlJc w:val="left"/>
      <w:lvlText w:val="(%1)"/>
      <w:numFmt w:val="decimal"/>
      <w:start w:val="1"/>
    </w:lvl>
  </w:abstractNum>
  <w:abstractNum w:abstractNumId="90">
    <w:nsid w:val="4C9B0904"/>
    <w:multiLevelType w:val="hybridMultilevel"/>
    <w:lvl w:ilvl="0">
      <w:lvlJc w:val="left"/>
      <w:lvlText w:val="(%1)"/>
      <w:numFmt w:val="decimal"/>
      <w:start w:val="1"/>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1)"/>
      <w:numFmt w:val="decimal"/>
      <w:start w:val="1"/>
    </w:lvl>
  </w:abstractNum>
  <w:abstractNum w:abstractNumId="93">
    <w:nsid w:val="5675FF36"/>
    <w:multiLevelType w:val="hybridMultilevel"/>
    <w:lvl w:ilvl="0">
      <w:lvlJc w:val="left"/>
      <w:lvlText w:val="(%1)"/>
      <w:numFmt w:val="decimal"/>
      <w:start w:val="1"/>
    </w:lvl>
  </w:abstractNum>
  <w:abstractNum w:abstractNumId="94">
    <w:nsid w:val="3DD15094"/>
    <w:multiLevelType w:val="hybridMultilevel"/>
    <w:lvl w:ilvl="0">
      <w:lvlJc w:val="left"/>
      <w:lvlText w:val="(%1)"/>
      <w:numFmt w:val="decimal"/>
      <w:start w:val="1"/>
    </w:lvl>
  </w:abstractNum>
  <w:abstractNum w:abstractNumId="95">
    <w:nsid w:val="3DB012B3"/>
    <w:multiLevelType w:val="hybridMultilevel"/>
    <w:lvl w:ilvl="0">
      <w:lvlJc w:val="left"/>
      <w:lvlText w:val="(%1)"/>
      <w:numFmt w:val="decimal"/>
      <w:start w:val="7"/>
    </w:lvl>
  </w:abstractNum>
  <w:abstractNum w:abstractNumId="96">
    <w:nsid w:val="2708C9AF"/>
    <w:multiLevelType w:val="hybridMultilevel"/>
    <w:lvl w:ilvl="0">
      <w:lvlJc w:val="left"/>
      <w:lvlText w:val="(%1)"/>
      <w:numFmt w:val="decimal"/>
      <w:start w:val="1"/>
    </w:lvl>
  </w:abstractNum>
  <w:abstractNum w:abstractNumId="97">
    <w:nsid w:val="5B25ACE2"/>
    <w:multiLevelType w:val="hybridMultilevel"/>
    <w:lvl w:ilvl="0">
      <w:lvlJc w:val="left"/>
      <w:lvlText w:val="(%1)"/>
      <w:numFmt w:val="decimal"/>
      <w:start w:val="11"/>
    </w:lvl>
  </w:abstractNum>
  <w:abstractNum w:abstractNumId="98">
    <w:nsid w:val="175DFCF0"/>
    <w:multiLevelType w:val="hybridMultilevel"/>
    <w:lvl w:ilvl="0">
      <w:lvlJc w:val="left"/>
      <w:lvlText w:val="(%1)"/>
      <w:numFmt w:val="decimal"/>
      <w:start w:val="1"/>
    </w:lvl>
  </w:abstractNum>
  <w:abstractNum w:abstractNumId="99">
    <w:nsid w:val="4F97E3E4"/>
    <w:multiLevelType w:val="hybridMultilevel"/>
    <w:lvl w:ilvl="0">
      <w:lvlJc w:val="left"/>
      <w:lvlText w:val="%1."/>
      <w:numFmt w:val="decimal"/>
      <w:start w:val="1"/>
    </w:lvl>
  </w:abstractNum>
  <w:abstractNum w:abstractNumId="100">
    <w:nsid w:val="53B0A9E"/>
    <w:multiLevelType w:val="hybridMultilevel"/>
    <w:lvl w:ilvl="0">
      <w:lvlJc w:val="left"/>
      <w:lvlText w:val="(%1)"/>
      <w:numFmt w:val="decimal"/>
      <w:start w:val="1"/>
    </w:lvl>
  </w:abstractNum>
  <w:abstractNum w:abstractNumId="101">
    <w:nsid w:val="34FD6B4F"/>
    <w:multiLevelType w:val="hybridMultilevel"/>
    <w:lvl w:ilvl="0">
      <w:lvlJc w:val="left"/>
      <w:lvlText w:val="(%1)"/>
      <w:numFmt w:val="decimal"/>
      <w:start w:val="1"/>
    </w:lvl>
  </w:abstractNum>
  <w:abstractNum w:abstractNumId="102">
    <w:nsid w:val="5915FF32"/>
    <w:multiLevelType w:val="hybridMultilevel"/>
    <w:lvl w:ilvl="0">
      <w:lvlJc w:val="left"/>
      <w:lvlText w:val="(%1)"/>
      <w:numFmt w:val="decimal"/>
      <w:start w:val="1"/>
    </w:lvl>
  </w:abstractNum>
  <w:abstractNum w:abstractNumId="103">
    <w:nsid w:val="56438D15"/>
    <w:multiLevelType w:val="hybridMultilevel"/>
    <w:lvl w:ilvl="0">
      <w:lvlJc w:val="left"/>
      <w:lvlText w:val="(%1)"/>
      <w:numFmt w:val="decimal"/>
      <w:start w:val="8"/>
    </w:lvl>
  </w:abstractNum>
  <w:abstractNum w:abstractNumId="104">
    <w:nsid w:val="519E3149"/>
    <w:multiLevelType w:val="hybridMultilevel"/>
    <w:lvl w:ilvl="0">
      <w:lvlJc w:val="left"/>
      <w:lvlText w:val="(%1)"/>
      <w:numFmt w:val="decimal"/>
      <w:start w:val="1"/>
    </w:lvl>
  </w:abstractNum>
  <w:abstractNum w:abstractNumId="105">
    <w:nsid w:val="2C6E4AFD"/>
    <w:multiLevelType w:val="hybridMultilevel"/>
    <w:lvl w:ilvl="0">
      <w:lvlJc w:val="left"/>
      <w:lvlText w:val="(%1)"/>
      <w:numFmt w:val="decimal"/>
      <w:start w:val="1"/>
    </w:lvl>
  </w:abstractNum>
  <w:abstractNum w:abstractNumId="106">
    <w:nsid w:val="17A1B582"/>
    <w:multiLevelType w:val="hybridMultilevel"/>
    <w:lvl w:ilvl="0">
      <w:lvlJc w:val="left"/>
      <w:lvlText w:val="1"/>
      <w:numFmt w:val="bullet"/>
      <w:start w:val="1"/>
    </w:lvl>
  </w:abstractNum>
  <w:abstractNum w:abstractNumId="107">
    <w:nsid w:val="4DF72E4E"/>
    <w:multiLevelType w:val="hybridMultilevel"/>
    <w:lvl w:ilvl="0">
      <w:lvlJc w:val="left"/>
      <w:lvlText w:val="2"/>
      <w:numFmt w:val="bullet"/>
      <w:start w:val="1"/>
    </w:lvl>
  </w:abstractNum>
  <w:abstractNum w:abstractNumId="108">
    <w:nsid w:val="5046B5A9"/>
    <w:multiLevelType w:val="hybridMultilevel"/>
    <w:lvl w:ilvl="0">
      <w:lvlJc w:val="left"/>
      <w:lvlText w:val="(%1)"/>
      <w:numFmt w:val="lowerLetter"/>
      <w:start w:val="1"/>
    </w:lvl>
  </w:abstractNum>
  <w:abstractNum w:abstractNumId="109">
    <w:nsid w:val="5D888A08"/>
    <w:multiLevelType w:val="hybridMultilevel"/>
    <w:lvl w:ilvl="0">
      <w:lvlJc w:val="left"/>
      <w:lvlText w:val="(%1)"/>
      <w:numFmt w:val="lowerLetter"/>
      <w:start w:val="5"/>
    </w:lvl>
  </w:abstractNum>
  <w:abstractNum w:abstractNumId="110">
    <w:nsid w:val="2A082C70"/>
    <w:multiLevelType w:val="hybridMultilevel"/>
    <w:lvl w:ilvl="0">
      <w:lvlJc w:val="left"/>
      <w:lvlText w:val="(%1)"/>
      <w:numFmt w:val="lowerLetter"/>
      <w:start w:val="10"/>
    </w:lvl>
  </w:abstractNum>
  <w:abstractNum w:abstractNumId="111">
    <w:nsid w:val="5EC6AFD4"/>
    <w:multiLevelType w:val="hybridMultilevel"/>
    <w:lvl w:ilvl="0">
      <w:lvlJc w:val="left"/>
      <w:lvlText w:val="2"/>
      <w:numFmt w:val="bullet"/>
      <w:start w:val="1"/>
    </w:lvl>
  </w:abstractNum>
  <w:abstractNum w:abstractNumId="112">
    <w:nsid w:val="19E21BB2"/>
    <w:multiLevelType w:val="hybridMultilevel"/>
    <w:lvl w:ilvl="0">
      <w:lvlJc w:val="left"/>
      <w:lvlText w:val="(%1)"/>
      <w:numFmt w:val="lowerLetter"/>
      <w:start w:val="18"/>
    </w:lvl>
  </w:abstractNum>
  <w:abstractNum w:abstractNumId="113">
    <w:nsid w:val="75E0858A"/>
    <w:multiLevelType w:val="hybridMultilevel"/>
    <w:lvl w:ilvl="0">
      <w:lvlJc w:val="left"/>
      <w:lvlText w:val="2"/>
      <w:numFmt w:val="bullet"/>
      <w:start w:val="1"/>
    </w:lvl>
  </w:abstractNum>
  <w:abstractNum w:abstractNumId="114">
    <w:nsid w:val="57A61A29"/>
    <w:multiLevelType w:val="hybridMultilevel"/>
    <w:lvl w:ilvl="0">
      <w:lvlJc w:val="left"/>
      <w:lvlText w:val="$"/>
      <w:numFmt w:val="bullet"/>
      <w:start w:val="1"/>
    </w:lvl>
  </w:abstractNum>
  <w:abstractNum w:abstractNumId="115">
    <w:nsid w:val="5399C654"/>
    <w:multiLevelType w:val="hybridMultilevel"/>
    <w:lvl w:ilvl="0">
      <w:lvlJc w:val="left"/>
      <w:lvlText w:val="$"/>
      <w:numFmt w:val="bullet"/>
      <w:start w:val="1"/>
    </w:lvl>
  </w:abstractNum>
  <w:abstractNum w:abstractNumId="116">
    <w:nsid w:val="20EE1348"/>
    <w:multiLevelType w:val="hybridMultilevel"/>
    <w:lvl w:ilvl="0">
      <w:lvlJc w:val="left"/>
      <w:lvlText w:val="*"/>
      <w:numFmt w:val="bullet"/>
      <w:start w:val="1"/>
    </w:lvl>
  </w:abstractNum>
  <w:abstractNum w:abstractNumId="117">
    <w:nsid w:val="4427069A"/>
    <w:multiLevelType w:val="hybridMultilevel"/>
    <w:lvl w:ilvl="0">
      <w:lvlJc w:val="left"/>
      <w:lvlText w:val="(%1)"/>
      <w:numFmt w:val="decimal"/>
      <w:start w:val="1"/>
    </w:lvl>
  </w:abstractNum>
  <w:abstractNum w:abstractNumId="118">
    <w:nsid w:val="B37E80A"/>
    <w:multiLevelType w:val="hybridMultilevel"/>
    <w:lvl w:ilvl="0">
      <w:lvlJc w:val="left"/>
      <w:lvlText w:val="(%1)"/>
      <w:numFmt w:val="decimal"/>
      <w:start w:val="1"/>
    </w:lvl>
    <w:lvl w:ilvl="1">
      <w:lvlJc w:val="left"/>
      <w:lvlText w:val="(%2)"/>
      <w:numFmt w:val="decimal"/>
      <w:start w:val="3"/>
    </w:lvl>
  </w:abstractNum>
  <w:abstractNum w:abstractNumId="119">
    <w:nsid w:val="2157F6BC"/>
    <w:multiLevelType w:val="hybridMultilevel"/>
    <w:lvl w:ilvl="0">
      <w:lvlJc w:val="left"/>
      <w:lvlText w:val="(%1)"/>
      <w:numFmt w:val="decimal"/>
      <w:start w:val="1"/>
    </w:lvl>
  </w:abstractNum>
  <w:abstractNum w:abstractNumId="120">
    <w:nsid w:val="704E1DD5"/>
    <w:multiLevelType w:val="hybridMultilevel"/>
    <w:lvl w:ilvl="0">
      <w:lvlJc w:val="left"/>
      <w:lvlText w:val="(%1)"/>
      <w:numFmt w:val="lowerRoman"/>
      <w:start w:val="1"/>
    </w:lvl>
  </w:abstractNum>
  <w:abstractNum w:abstractNumId="121">
    <w:nsid w:val="57D2F10E"/>
    <w:multiLevelType w:val="hybridMultilevel"/>
    <w:lvl w:ilvl="0">
      <w:lvlJc w:val="left"/>
      <w:lvlText w:val="(%1)"/>
      <w:numFmt w:val="lowerRoman"/>
      <w:start w:val="3"/>
    </w:lvl>
  </w:abstractNum>
  <w:abstractNum w:abstractNumId="122">
    <w:nsid w:val="BFFAE1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3">
    <w:nsid w:val="E3E47A8"/>
    <w:multiLevelType w:val="hybridMultilevel"/>
    <w:lvl w:ilvl="0">
      <w:lvlJc w:val="left"/>
      <w:lvlText w:val="(%1)"/>
      <w:numFmt w:val="lowerRoman"/>
      <w:start w:val="1"/>
    </w:lvl>
  </w:abstractNum>
  <w:abstractNum w:abstractNumId="124">
    <w:nsid w:val="2E48F044"/>
    <w:multiLevelType w:val="hybridMultilevel"/>
    <w:lvl w:ilvl="0">
      <w:lvlJc w:val="left"/>
      <w:lvlText w:val="%1"/>
      <w:numFmt w:val="decimal"/>
      <w:start w:val="1"/>
    </w:lvl>
    <w:lvl w:ilvl="1">
      <w:lvlJc w:val="left"/>
      <w:lvlText w:val="(%2)"/>
      <w:numFmt w:val="lowerLetter"/>
      <w:start w:val="2"/>
    </w:lvl>
  </w:abstractNum>
  <w:abstractNum w:abstractNumId="125">
    <w:nsid w:val="49D0FEAC"/>
    <w:multiLevelType w:val="hybridMultilevel"/>
    <w:lvl w:ilvl="0">
      <w:lvlJc w:val="left"/>
      <w:lvlText w:val="(%1)"/>
      <w:numFmt w:val="decimal"/>
      <w:start w:val="6"/>
    </w:lvl>
    <w:lvl w:ilvl="1">
      <w:lvlJc w:val="left"/>
      <w:lvlText w:val="%2"/>
      <w:numFmt w:val="lowerLetter"/>
      <w:start w:val="1"/>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1."/>
      <w:numFmt w:val="decimal"/>
      <w:start w:val="1"/>
    </w:lvl>
  </w:abstractNum>
  <w:abstractNum w:abstractNumId="128">
    <w:nsid w:val="24F6AB8E"/>
    <w:multiLevelType w:val="hybridMultilevel"/>
    <w:lvl w:ilvl="0">
      <w:lvlJc w:val="left"/>
      <w:lvlText w:val="(%1)"/>
      <w:numFmt w:val="lowerLetter"/>
      <w:start w:val="1"/>
    </w:lvl>
  </w:abstractNum>
  <w:abstractNum w:abstractNumId="129">
    <w:nsid w:val="634C574C"/>
    <w:multiLevelType w:val="hybridMultilevel"/>
    <w:lvl w:ilvl="0">
      <w:lvlJc w:val="left"/>
      <w:lvlText w:val="(%1)"/>
      <w:numFmt w:val="lowerLetter"/>
      <w:start w:val="2"/>
    </w:lvl>
  </w:abstractNum>
  <w:abstractNum w:abstractNumId="130">
    <w:nsid w:val="24E99DD7"/>
    <w:multiLevelType w:val="hybridMultilevel"/>
    <w:lvl w:ilvl="0">
      <w:lvlJc w:val="left"/>
      <w:lvlText w:val="%1."/>
      <w:numFmt w:val="decimal"/>
      <w:start w:val="2"/>
    </w:lvl>
  </w:abstractNum>
  <w:abstractNum w:abstractNumId="131">
    <w:nsid w:val="2A31B62D"/>
    <w:multiLevelType w:val="hybridMultilevel"/>
    <w:lvl w:ilvl="0">
      <w:lvlJc w:val="left"/>
      <w:lvlText w:val="%1."/>
      <w:numFmt w:val="decimal"/>
      <w:start w:val="3"/>
    </w:lvl>
  </w:abstractNum>
  <w:abstractNum w:abstractNumId="132">
    <w:nsid w:val="1849C29B"/>
    <w:multiLevelType w:val="hybridMultilevel"/>
    <w:lvl w:ilvl="0">
      <w:lvlJc w:val="left"/>
      <w:lvlText w:val="(%1)"/>
      <w:numFmt w:val="lowerLetter"/>
      <w:start w:val="1"/>
    </w:lvl>
    <w:lvl w:ilvl="1">
      <w:lvlJc w:val="left"/>
      <w:lvlText w:val="(%2)"/>
      <w:numFmt w:val="lowerRoman"/>
      <w:start w:val="1"/>
    </w:lvl>
  </w:abstractNum>
  <w:abstractNum w:abstractNumId="133">
    <w:nsid w:val="7DFF9D09"/>
    <w:multiLevelType w:val="hybridMultilevel"/>
    <w:lvl w:ilvl="0">
      <w:lvlJc w:val="left"/>
      <w:lvlText w:val="%1."/>
      <w:numFmt w:val="decimal"/>
      <w:start w:val="4"/>
    </w:lvl>
  </w:abstractNum>
  <w:abstractNum w:abstractNumId="134">
    <w:nsid w:val="754342"/>
    <w:multiLevelType w:val="hybridMultilevel"/>
    <w:lvl w:ilvl="0">
      <w:lvlJc w:val="left"/>
      <w:lvlText w:val="%1"/>
      <w:numFmt w:val="lowerLetter"/>
      <w:start w:val="1"/>
    </w:lvl>
    <w:lvl w:ilvl="1">
      <w:lvlJc w:val="left"/>
      <w:lvlText w:val="%2."/>
      <w:numFmt w:val="decimal"/>
      <w:start w:val="9"/>
    </w:lvl>
  </w:abstractNum>
  <w:abstractNum w:abstractNumId="135">
    <w:nsid w:val="69E7F3E5"/>
    <w:multiLevelType w:val="hybridMultilevel"/>
    <w:lvl w:ilvl="0">
      <w:lvlJc w:val="left"/>
      <w:lvlText w:val="(%1)"/>
      <w:numFmt w:val="lowerLetter"/>
      <w:start w:val="1"/>
    </w:lvl>
    <w:lvl w:ilvl="1">
      <w:lvlJc w:val="left"/>
      <w:lvlText w:val="%2."/>
      <w:numFmt w:val="decimal"/>
      <w:start w:val="10"/>
    </w:lvl>
  </w:abstractNum>
  <w:abstractNum w:abstractNumId="136">
    <w:nsid w:val="2A6DE806"/>
    <w:multiLevelType w:val="hybridMultilevel"/>
    <w:lvl w:ilvl="0">
      <w:lvlJc w:val="left"/>
      <w:lvlText w:val="[%1]"/>
      <w:numFmt w:val="decimal"/>
      <w:start w:val="1"/>
    </w:lvl>
  </w:abstractNum>
  <w:abstractNum w:abstractNumId="137">
    <w:nsid w:val="1816F8C4"/>
    <w:multiLevelType w:val="hybridMultilevel"/>
    <w:lvl w:ilvl="0">
      <w:lvlJc w:val="left"/>
      <w:lvlText w:val="[%1]"/>
      <w:numFmt w:val="decimal"/>
      <w:start w:val="2"/>
    </w:lvl>
  </w:abstractNum>
  <w:abstractNum w:abstractNumId="138">
    <w:nsid w:val="37DF2233"/>
    <w:multiLevelType w:val="hybridMultilevel"/>
    <w:lvl w:ilvl="0">
      <w:lvlJc w:val="left"/>
      <w:lvlText w:val="[%1]"/>
      <w:numFmt w:val="decimal"/>
      <w:start w:val="7"/>
    </w:lvl>
  </w:abstractNum>
  <w:abstractNum w:abstractNumId="139">
    <w:nsid w:val="7AB49DAF"/>
    <w:multiLevelType w:val="hybridMultilevel"/>
    <w:lvl w:ilvl="0">
      <w:lvlJc w:val="left"/>
      <w:lvlText w:val="[%1]"/>
      <w:numFmt w:val="decimal"/>
      <w:start w:val="9"/>
    </w:lvl>
  </w:abstractNum>
  <w:abstractNum w:abstractNumId="140">
    <w:nsid w:val="759F82CD"/>
    <w:multiLevelType w:val="hybridMultilevel"/>
    <w:lvl w:ilvl="0">
      <w:lvlJc w:val="left"/>
      <w:lvlText w:val="[%1]"/>
      <w:numFmt w:val="decimal"/>
      <w:start w:val="10"/>
    </w:lvl>
  </w:abstractNum>
  <w:abstractNum w:abstractNumId="141">
    <w:nsid w:val="61E74EA3"/>
    <w:multiLevelType w:val="hybridMultilevel"/>
    <w:lvl w:ilvl="0">
      <w:lvlJc w:val="left"/>
      <w:lvlText w:val="[%1]"/>
      <w:numFmt w:val="decimal"/>
      <w:start w:val="12"/>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decimal"/>
      <w:start w:val="2"/>
    </w:lvl>
  </w:abstractNum>
  <w:abstractNum w:abstractNumId="144">
    <w:nsid w:val="57C7D42D"/>
    <w:multiLevelType w:val="hybridMultilevel"/>
    <w:lvl w:ilvl="0">
      <w:lvlJc w:val="left"/>
      <w:lvlText w:val="[%1]"/>
      <w:numFmt w:val="decimal"/>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2019-12-03T12:42:00Z</dcterms:created>
  <dcterms:modified xsi:type="dcterms:W3CDTF">2019-12-03T12:42:00Z</dcterms:modified>
</cp:coreProperties>
</file>