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Date of Report: May 8, 2008</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500"/>
        <w:spacing w:after="0"/>
        <w:rPr>
          <w:sz w:val="20"/>
          <w:szCs w:val="20"/>
          <w:color w:val="auto"/>
        </w:rPr>
      </w:pPr>
      <w:r>
        <w:rPr>
          <w:rFonts w:ascii="Arial" w:cs="Arial" w:eastAsia="Arial" w:hAnsi="Arial"/>
          <w:sz w:val="22"/>
          <w:szCs w:val="22"/>
          <w:color w:val="auto"/>
        </w:rPr>
        <w:t>On May 8, 2008, PennantPark Investment Corporation issued a press release announcing its financial results for the quarter ended March 31, 2008. A copy of the press release is furnished as exhibit 99.1 to this report pursuant to Item 2.02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200" w:lineRule="exact"/>
        <w:rPr>
          <w:sz w:val="24"/>
          <w:szCs w:val="24"/>
          <w:color w:val="auto"/>
        </w:rPr>
      </w:pPr>
    </w:p>
    <w:p>
      <w:pPr>
        <w:spacing w:after="0" w:line="23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8,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144145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84"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320" w:type="dxa"/>
            <w:vAlign w:val="bottom"/>
          </w:tcPr>
          <w:p>
            <w:pPr>
              <w:spacing w:after="0"/>
              <w:rPr>
                <w:sz w:val="20"/>
                <w:szCs w:val="20"/>
                <w:color w:val="auto"/>
              </w:rPr>
            </w:pPr>
            <w:r>
              <w:rPr>
                <w:rFonts w:ascii="Arial" w:cs="Arial" w:eastAsia="Arial" w:hAnsi="Arial"/>
                <w:sz w:val="22"/>
                <w:szCs w:val="22"/>
                <w:color w:val="auto"/>
              </w:rPr>
              <w:t>Dated: May 8, 2008</w:t>
            </w:r>
          </w:p>
        </w:tc>
        <w:tc>
          <w:tcPr>
            <w:tcW w:w="6400" w:type="dxa"/>
            <w:vAlign w:val="bottom"/>
            <w:gridSpan w:val="3"/>
          </w:tcPr>
          <w:p>
            <w:pPr>
              <w:ind w:left="15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320" w:type="dxa"/>
            <w:vAlign w:val="bottom"/>
          </w:tcPr>
          <w:p>
            <w:pPr>
              <w:spacing w:after="0"/>
              <w:rPr>
                <w:sz w:val="24"/>
                <w:szCs w:val="24"/>
                <w:color w:val="auto"/>
              </w:rPr>
            </w:pPr>
          </w:p>
        </w:tc>
        <w:tc>
          <w:tcPr>
            <w:tcW w:w="6400" w:type="dxa"/>
            <w:vAlign w:val="bottom"/>
            <w:gridSpan w:val="3"/>
          </w:tcPr>
          <w:p>
            <w:pPr>
              <w:ind w:left="1580"/>
              <w:spacing w:after="0"/>
              <w:rPr>
                <w:sz w:val="20"/>
                <w:szCs w:val="20"/>
                <w:color w:val="auto"/>
              </w:rPr>
            </w:pPr>
            <w:r>
              <w:rPr>
                <w:rFonts w:ascii="Arial" w:cs="Arial" w:eastAsia="Arial" w:hAnsi="Arial"/>
                <w:sz w:val="22"/>
                <w:szCs w:val="22"/>
                <w:color w:val="auto"/>
              </w:rPr>
              <w:t>By: /s/ Aviv Efrat</w:t>
            </w:r>
          </w:p>
        </w:tc>
      </w:tr>
      <w:tr>
        <w:trPr>
          <w:trHeight w:val="20"/>
        </w:trPr>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320" w:type="dxa"/>
            <w:vAlign w:val="bottom"/>
          </w:tcPr>
          <w:p>
            <w:pPr>
              <w:spacing w:after="0"/>
              <w:rPr>
                <w:sz w:val="21"/>
                <w:szCs w:val="21"/>
                <w:color w:val="auto"/>
              </w:rPr>
            </w:pPr>
          </w:p>
        </w:tc>
        <w:tc>
          <w:tcPr>
            <w:tcW w:w="6400" w:type="dxa"/>
            <w:vAlign w:val="bottom"/>
            <w:gridSpan w:val="3"/>
          </w:tcPr>
          <w:p>
            <w:pPr>
              <w:ind w:left="18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320" w:type="dxa"/>
            <w:vAlign w:val="bottom"/>
          </w:tcPr>
          <w:p>
            <w:pPr>
              <w:spacing w:after="0"/>
              <w:rPr>
                <w:sz w:val="23"/>
                <w:szCs w:val="23"/>
                <w:color w:val="auto"/>
              </w:rPr>
            </w:pPr>
          </w:p>
        </w:tc>
        <w:tc>
          <w:tcPr>
            <w:tcW w:w="6400" w:type="dxa"/>
            <w:vAlign w:val="bottom"/>
            <w:gridSpan w:val="3"/>
          </w:tcPr>
          <w:p>
            <w:pPr>
              <w:ind w:left="18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May 8, 2008</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396" w:right="559" w:bottom="1440" w:gutter="0" w:footer="0" w:header="0"/>
        </w:sectPr>
      </w:pPr>
    </w:p>
    <w:bookmarkStart w:id="2" w:name="page3"/>
    <w:bookmarkEnd w:id="2"/>
    <w:p>
      <w:pPr>
        <w:ind w:left="700"/>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March 31, 2008</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9"/>
          <w:szCs w:val="19"/>
          <w:color w:val="auto"/>
        </w:rPr>
        <w:t>NEW YORK, NY -- 05/08/2008 -- PennantPark Investment Corporation (the "Company") (NASDAQ: PNNT) today announces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financial results for its second fiscal quarter ended March 31, 2008.</w:t>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HIGHLIGHTS</w:t>
      </w:r>
    </w:p>
    <w:p>
      <w:pPr>
        <w:jc w:val="center"/>
        <w:spacing w:after="0" w:line="238" w:lineRule="auto"/>
        <w:rPr>
          <w:sz w:val="20"/>
          <w:szCs w:val="20"/>
          <w:color w:val="auto"/>
        </w:rPr>
      </w:pPr>
      <w:r>
        <w:rPr>
          <w:rFonts w:ascii="Courier New" w:cs="Courier New" w:eastAsia="Courier New" w:hAnsi="Courier New"/>
          <w:sz w:val="18"/>
          <w:szCs w:val="18"/>
          <w:color w:val="auto"/>
        </w:rPr>
        <w:t>Quarter Ended March 31, 2008</w:t>
      </w:r>
    </w:p>
    <w:p>
      <w:pPr>
        <w:jc w:val="cente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204"/>
        </w:trPr>
        <w:tc>
          <w:tcPr>
            <w:tcW w:w="654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335.9</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w:t>
            </w:r>
          </w:p>
        </w:tc>
      </w:tr>
      <w:tr>
        <w:trPr>
          <w:trHeight w:val="405"/>
        </w:trPr>
        <w:tc>
          <w:tcPr>
            <w:tcW w:w="654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7"/>
              </w:rPr>
              <w:t>Amount drawn under credit facility (excluding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temporary draw)</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114.5</w:t>
            </w:r>
          </w:p>
        </w:tc>
      </w:tr>
      <w:tr>
        <w:trPr>
          <w:trHeight w:val="405"/>
        </w:trPr>
        <w:tc>
          <w:tcPr>
            <w:tcW w:w="6540" w:type="dxa"/>
            <w:vAlign w:val="bottom"/>
          </w:tcPr>
          <w:p>
            <w:pPr>
              <w:jc w:val="center"/>
              <w:ind w:left="852"/>
              <w:spacing w:after="0"/>
              <w:rPr>
                <w:sz w:val="20"/>
                <w:szCs w:val="20"/>
                <w:color w:val="auto"/>
              </w:rPr>
            </w:pPr>
            <w:r>
              <w:rPr>
                <w:rFonts w:ascii="Courier New" w:cs="Courier New" w:eastAsia="Courier New" w:hAnsi="Courier New"/>
                <w:sz w:val="18"/>
                <w:szCs w:val="18"/>
                <w:color w:val="auto"/>
                <w:w w:val="97"/>
              </w:rPr>
              <w:t>Investment portfolio composition and yield: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6540" w:type="dxa"/>
            <w:vAlign w:val="bottom"/>
          </w:tcPr>
          <w:p>
            <w:pPr>
              <w:ind w:left="1420"/>
              <w:spacing w:after="0"/>
              <w:rPr>
                <w:sz w:val="20"/>
                <w:szCs w:val="20"/>
                <w:color w:val="auto"/>
              </w:rPr>
            </w:pPr>
            <w:r>
              <w:rPr>
                <w:rFonts w:ascii="Courier New" w:cs="Courier New" w:eastAsia="Courier New" w:hAnsi="Courier New"/>
                <w:sz w:val="18"/>
                <w:szCs w:val="18"/>
                <w:color w:val="auto"/>
                <w:w w:val="98"/>
              </w:rPr>
              <w:t>Subordinated debt, second lien secured debt, and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201.8</w:t>
            </w: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First lien secured debt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134.1</w:t>
            </w:r>
          </w:p>
        </w:tc>
      </w:tr>
      <w:tr>
        <w:trPr>
          <w:trHeight w:val="203"/>
        </w:trPr>
        <w:tc>
          <w:tcPr>
            <w:tcW w:w="6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65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w w:val="97"/>
              </w:rPr>
              <w:t>Weighted average yield on subordinated and second</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lien secured debt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6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first lien secured debt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608"/>
        </w:trPr>
        <w:tc>
          <w:tcPr>
            <w:tcW w:w="654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7"/>
              </w:rPr>
              <w:t>Operating Results: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to stockholders per share</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405"/>
        </w:trPr>
        <w:tc>
          <w:tcPr>
            <w:tcW w:w="6540" w:type="dxa"/>
            <w:vAlign w:val="bottom"/>
          </w:tcPr>
          <w:p>
            <w:pPr>
              <w:jc w:val="center"/>
              <w:ind w:left="852"/>
              <w:spacing w:after="0"/>
              <w:rPr>
                <w:sz w:val="20"/>
                <w:szCs w:val="20"/>
                <w:color w:val="auto"/>
              </w:rPr>
            </w:pPr>
            <w:r>
              <w:rPr>
                <w:rFonts w:ascii="Courier New" w:cs="Courier New" w:eastAsia="Courier New" w:hAnsi="Courier New"/>
                <w:sz w:val="18"/>
                <w:szCs w:val="18"/>
                <w:color w:val="auto"/>
                <w:w w:val="97"/>
              </w:rPr>
              <w:t>Portfolio Activity:</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long term investments</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405"/>
        </w:trPr>
        <w:tc>
          <w:tcPr>
            <w:tcW w:w="6540" w:type="dxa"/>
            <w:vAlign w:val="bottom"/>
          </w:tcPr>
          <w:p>
            <w:pPr>
              <w:ind w:left="4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CONFERENCE CALL AT 10:00 A.M. ET ON MAY 9, 2008</w:t>
      </w:r>
    </w:p>
    <w:p>
      <w:pPr>
        <w:spacing w:after="0" w:line="206"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PennantPark Investment Corporation, (the "Company") will host a conference call at 10:00 a.m. (Eastern Time) on Friday, May 9, 2008 to discuss the quarterly results. All interested parties are welcome to participate. You may access the conference call by dialing (866) 225-6564 approximately 5-10 minutes prior to the call. International callers should dial (416) 641-6136. All callers should reference "PennantPark Investment Corporation." An archived replay of the call will be available through May 23, 2008 by calling (800) 408-3053. International callers please dial (416) 695-5800. For all replays, please reference conference ID #3260084.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jc w:val="center"/>
        <w:spacing w:after="0" w:line="273" w:lineRule="auto"/>
        <w:rPr>
          <w:sz w:val="20"/>
          <w:szCs w:val="20"/>
          <w:color w:val="auto"/>
        </w:rPr>
      </w:pPr>
      <w:r>
        <w:rPr>
          <w:rFonts w:ascii="Arial" w:cs="Arial" w:eastAsia="Arial" w:hAnsi="Arial"/>
          <w:sz w:val="19"/>
          <w:szCs w:val="19"/>
          <w:color w:val="auto"/>
        </w:rPr>
        <w:t>On March 31, 2008, our portfolio consisted of $92.6 million of subordinated debt, $100.6 million of second lien secured debt, $8.6 million of equity investments and $134.1 million of senior secured loans. Our core assets, which include subordinated debt, second lien secured debt and equity investments, totaled $201.8 million and consisted of investments in 14 different companies with an average investment size of $14.4 million per company and a weighted average yield of 11.7 % on the debt investments. On March 31, 2008, our senior secured loan portfolio totaled $134.1 million and consisted of 28 different companies (including two companies also in our core portfolio) with an average investment size of $4.8 million, and a weighted average yield of 5.3%. The overall portfolio had a weighted average yield on debt investments of 9.2%. Due to continued erosion in quoted prices of leveraged finance instruments, the portfolio had unrealized depreciation of $77.7 million at quarter-end. On March 31, 2008, our portfolio consisted of 40 companies and was invested 28% in subordinated debt, 30% in second lien secured debt, 2% in equity investments and 40% in senior secured loans.</w:t>
      </w:r>
    </w:p>
    <w:p>
      <w:pPr>
        <w:spacing w:after="0" w:line="161" w:lineRule="exact"/>
        <w:rPr>
          <w:sz w:val="20"/>
          <w:szCs w:val="20"/>
          <w:color w:val="auto"/>
        </w:rPr>
      </w:pPr>
    </w:p>
    <w:p>
      <w:pPr>
        <w:jc w:val="center"/>
        <w:spacing w:after="0" w:line="236" w:lineRule="auto"/>
        <w:rPr>
          <w:sz w:val="20"/>
          <w:szCs w:val="20"/>
          <w:color w:val="auto"/>
        </w:rPr>
      </w:pPr>
      <w:r>
        <w:rPr>
          <w:rFonts w:ascii="Arial" w:cs="Arial" w:eastAsia="Arial" w:hAnsi="Arial"/>
          <w:sz w:val="22"/>
          <w:szCs w:val="22"/>
          <w:color w:val="auto"/>
        </w:rPr>
        <w:t>For the three months ended March 31, 2008, we invested $31.5 million in two new companies with an average yield of 14.4% on the debt investments. Sales and repayments of long-term investments for the three months ended March 31, 2008 totaled $0.9 million. For the six months ended March 31, 2008, we invested $102.5 million across five new and two existing portfolio companies with an average yield of 13.3% on the debt investments. Sales and repayments of long-term investments for the six months ended March 31, 2008 totaled $5.2 million.</w:t>
      </w:r>
    </w:p>
    <w:p>
      <w:pPr>
        <w:spacing w:after="0" w:line="187"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"Because we have the capital resources to make long term investment decisions based on fundamental value, PennantPark is uniquely positioned to take advantage of the market correction," said Arthur Penn, Chairman and Chief Executive Officer. "The investments we are making in this market environment have lower leverage, higher yields and better covenants than we have seen in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RESULTS OF OPERATIONS</w:t>
      </w:r>
    </w:p>
    <w:p>
      <w:pPr>
        <w:sectPr>
          <w:pgSz w:w="11900" w:h="16838" w:orient="portrait"/>
          <w:cols w:equalWidth="0" w:num="1">
            <w:col w:w="11240"/>
          </w:cols>
          <w:pgMar w:left="320" w:top="111" w:right="339" w:bottom="0" w:gutter="0" w:footer="0" w:header="0"/>
        </w:sectPr>
      </w:pPr>
    </w:p>
    <w:bookmarkStart w:id="3" w:name="page4"/>
    <w:bookmarkEnd w:id="3"/>
    <w:p>
      <w:pPr>
        <w:spacing w:after="0" w:line="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Set forth below are the results of operations for the three and six months ended March 31,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jc w:val="center"/>
        <w:ind w:right="20"/>
        <w:spacing w:after="0" w:line="238" w:lineRule="auto"/>
        <w:rPr>
          <w:sz w:val="20"/>
          <w:szCs w:val="20"/>
          <w:color w:val="auto"/>
        </w:rPr>
      </w:pPr>
      <w:r>
        <w:rPr>
          <w:rFonts w:ascii="Arial" w:cs="Arial" w:eastAsia="Arial" w:hAnsi="Arial"/>
          <w:sz w:val="22"/>
          <w:szCs w:val="22"/>
          <w:color w:val="auto"/>
        </w:rPr>
        <w:t>Investment income was $9.7 million and $18.7 million, respectively, for the three and six months ended March 31, 2008. Investment income was primarily attributed to interest income from debt investments. Origination and commitment fees associated with investments in portfolio companies are accreted into interest income over the respective terms of the applicable loans, and are accelerated into interest income upon exit, if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Net expenses totaled $5.3 million and $9.5 million, respectively, for the three and six months ended March 31, 2008. Of these totals, $1.7 million and $2.8 million were attributable to credit facility related expenses, and $1.1 million and $2.4 million to general and administrative expenses, respectively, for the three and six months ended March 31, 2008. Net base management fee totaled $1.5 million and $2.9 million, and performance-based incentive fee totaled $1.0 million and $1.4 million, respectively, for the same periods.</w:t>
      </w:r>
    </w:p>
    <w:p>
      <w:pPr>
        <w:spacing w:after="0" w:line="18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Net investment income totaled $4.4 million and $9.2 million or $0.21 and $0.44 per share, respectively, for the three and six</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months ended March 31, 2008.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jc w:val="both"/>
        <w:ind w:left="180" w:right="120" w:hanging="59"/>
        <w:spacing w:after="0" w:line="328" w:lineRule="auto"/>
        <w:rPr>
          <w:sz w:val="20"/>
          <w:szCs w:val="20"/>
          <w:color w:val="auto"/>
        </w:rPr>
      </w:pPr>
      <w:r>
        <w:rPr>
          <w:rFonts w:ascii="Arial" w:cs="Arial" w:eastAsia="Arial" w:hAnsi="Arial"/>
          <w:sz w:val="19"/>
          <w:szCs w:val="19"/>
          <w:color w:val="auto"/>
        </w:rPr>
        <w:t>Sales and repayments of long-term investments totaled $0.9 million and $5.2 million, respectively, for the three and six months ended March 31, 2008, and net realized losses totaled approximately $8,500 and $219,000, respectively, for the same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Unrealized Depreciation on Investments and Cash Equivalents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Company's investments and cash equivalents had a net increase in depreciation of $37.8 million and $53.8 million,</w:t>
      </w:r>
    </w:p>
    <w:p>
      <w:pPr>
        <w:spacing w:after="0" w:line="20"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color w:val="auto"/>
        </w:rPr>
        <w:t>respectively, for the three and six months ended March 31, 2008. On March 31, 2008, net unrealized depreciation on investments and cash equivalents totaled $77.7 million, primarily due to the continued downturn in the leveraged finance credit market which began during the second half of 2007.</w:t>
      </w:r>
    </w:p>
    <w:p>
      <w:pPr>
        <w:spacing w:after="0" w:line="187"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Net Decrease in Net Assets From Operations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Net decrease in net assets resulting from operations totaled $33.3 million and $44.9 million, or $1.58 and $2.13 per share,</w:t>
      </w:r>
    </w:p>
    <w:p>
      <w:pPr>
        <w:spacing w:after="0" w:line="43"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respectively, for the three and six months ended March 31, 2008.</w:t>
      </w:r>
    </w:p>
    <w:p>
      <w:pPr>
        <w:spacing w:after="0" w:line="18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jc w:val="center"/>
        <w:spacing w:after="0" w:line="273" w:lineRule="auto"/>
        <w:rPr>
          <w:sz w:val="20"/>
          <w:szCs w:val="20"/>
          <w:color w:val="auto"/>
        </w:rPr>
      </w:pPr>
      <w:r>
        <w:rPr>
          <w:rFonts w:ascii="Arial" w:cs="Arial" w:eastAsia="Arial" w:hAnsi="Arial"/>
          <w:sz w:val="19"/>
          <w:szCs w:val="19"/>
          <w:color w:val="auto"/>
        </w:rPr>
        <w:t>The Company's liquidity and capital resources are generated primarily through its senior secured, multi-currency, $300 million, five-year revolving credit facility maturing in June 2012 as well as from cash flows from operations, investment sales and prepayments, and income earned from investments and cash equivalents. On March 31, 2008, the Company had $194.5 million in</w:t>
      </w:r>
    </w:p>
    <w:p>
      <w:pPr>
        <w:spacing w:after="0" w:line="1" w:lineRule="exact"/>
        <w:rPr>
          <w:sz w:val="20"/>
          <w:szCs w:val="20"/>
          <w:color w:val="auto"/>
        </w:rPr>
      </w:pPr>
    </w:p>
    <w:p>
      <w:pPr>
        <w:jc w:val="center"/>
        <w:ind w:right="20"/>
        <w:spacing w:after="0" w:line="233" w:lineRule="auto"/>
        <w:rPr>
          <w:sz w:val="20"/>
          <w:szCs w:val="20"/>
          <w:color w:val="auto"/>
        </w:rPr>
      </w:pPr>
      <w:r>
        <w:rPr>
          <w:rFonts w:ascii="Arial" w:cs="Arial" w:eastAsia="Arial" w:hAnsi="Arial"/>
          <w:sz w:val="22"/>
          <w:szCs w:val="22"/>
          <w:color w:val="auto"/>
        </w:rPr>
        <w:t>borrowings outstanding; including $80.0 million of temporary draws invested in cash equivalents. Our operating activities resulted in a net use of cash of $98.9 million and $351.9 million, respectively, for the three and six months ended March 31, 2008, and our financing activities resulted in a net inflow of cash of $98.3 million and $175.2 million, respectively, for the same periods, primarily from net borrowings under our credit facility.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DIVIDENDS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Dividends paid to stockholders totaled $4.6 million and $9.3 million, or $0.22 and $0.44 per share, respectively, for the three and six months ended March 31, 2008. Tax characteristics of all dividends will be reported to stockholders on form 1099-DIV after the end of the calendar year.</w:t>
      </w:r>
    </w:p>
    <w:p>
      <w:pPr>
        <w:spacing w:after="0" w:line="204" w:lineRule="exact"/>
        <w:rPr>
          <w:sz w:val="20"/>
          <w:szCs w:val="20"/>
          <w:color w:val="auto"/>
        </w:rPr>
      </w:pPr>
    </w:p>
    <w:p>
      <w:pPr>
        <w:jc w:val="center"/>
        <w:ind w:left="146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left="146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2"/>
        </w:trPr>
        <w:tc>
          <w:tcPr>
            <w:tcW w:w="3540" w:type="dxa"/>
            <w:vAlign w:val="bottom"/>
          </w:tcPr>
          <w:p>
            <w:pPr>
              <w:spacing w:after="0"/>
              <w:rPr>
                <w:sz w:val="17"/>
                <w:szCs w:val="17"/>
                <w:color w:val="auto"/>
              </w:rPr>
            </w:pPr>
          </w:p>
        </w:tc>
        <w:tc>
          <w:tcPr>
            <w:tcW w:w="2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3540" w:type="dxa"/>
            <w:vAlign w:val="bottom"/>
          </w:tcPr>
          <w:p>
            <w:pPr>
              <w:spacing w:after="0"/>
              <w:rPr>
                <w:sz w:val="17"/>
                <w:szCs w:val="17"/>
                <w:color w:val="auto"/>
              </w:rPr>
            </w:pPr>
          </w:p>
        </w:tc>
        <w:tc>
          <w:tcPr>
            <w:tcW w:w="4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2"/>
        </w:trPr>
        <w:tc>
          <w:tcPr>
            <w:tcW w:w="3540" w:type="dxa"/>
            <w:vAlign w:val="bottom"/>
          </w:tcPr>
          <w:p>
            <w:pPr>
              <w:spacing w:after="0"/>
              <w:rPr>
                <w:sz w:val="17"/>
                <w:szCs w:val="17"/>
                <w:color w:val="auto"/>
              </w:rPr>
            </w:pP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780" w:type="dxa"/>
            <w:vAlign w:val="bottom"/>
          </w:tcPr>
          <w:p>
            <w:pPr>
              <w:jc w:val="center"/>
              <w:ind w:right="1972"/>
              <w:spacing w:after="0" w:line="203" w:lineRule="exact"/>
              <w:rPr>
                <w:sz w:val="20"/>
                <w:szCs w:val="20"/>
                <w:color w:val="auto"/>
              </w:rPr>
            </w:pPr>
            <w:r>
              <w:rPr>
                <w:rFonts w:ascii="Courier New" w:cs="Courier New" w:eastAsia="Courier New" w:hAnsi="Courier New"/>
                <w:sz w:val="18"/>
                <w:szCs w:val="18"/>
                <w:color w:val="auto"/>
                <w:w w:val="98"/>
              </w:rPr>
              <w:t>Assets</w:t>
            </w:r>
          </w:p>
        </w:tc>
        <w:tc>
          <w:tcPr>
            <w:tcW w:w="1480" w:type="dxa"/>
            <w:vAlign w:val="bottom"/>
          </w:tcPr>
          <w:p>
            <w:pPr>
              <w:spacing w:after="0"/>
              <w:rPr>
                <w:sz w:val="17"/>
                <w:szCs w:val="17"/>
                <w:color w:val="auto"/>
              </w:rPr>
            </w:pPr>
          </w:p>
        </w:tc>
      </w:tr>
      <w:tr>
        <w:trPr>
          <w:trHeight w:val="203"/>
        </w:trPr>
        <w:tc>
          <w:tcPr>
            <w:tcW w:w="6320" w:type="dxa"/>
            <w:vAlign w:val="bottom"/>
            <w:gridSpan w:val="2"/>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Investments, at fair value (cost--</w:t>
            </w:r>
          </w:p>
        </w:tc>
        <w:tc>
          <w:tcPr>
            <w:tcW w:w="1480" w:type="dxa"/>
            <w:vAlign w:val="bottom"/>
          </w:tcPr>
          <w:p>
            <w:pPr>
              <w:spacing w:after="0"/>
              <w:rPr>
                <w:sz w:val="17"/>
                <w:szCs w:val="17"/>
                <w:color w:val="auto"/>
              </w:rPr>
            </w:pPr>
          </w:p>
        </w:tc>
      </w:tr>
      <w:tr>
        <w:trPr>
          <w:trHeight w:val="203"/>
        </w:trPr>
        <w:tc>
          <w:tcPr>
            <w:tcW w:w="6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$413,632,567 and $314,881,870</w:t>
            </w:r>
          </w:p>
        </w:tc>
        <w:tc>
          <w:tcPr>
            <w:tcW w:w="1480" w:type="dxa"/>
            <w:vAlign w:val="bottom"/>
          </w:tcPr>
          <w:p>
            <w:pPr>
              <w:spacing w:after="0"/>
              <w:rPr>
                <w:sz w:val="17"/>
                <w:szCs w:val="17"/>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respectively)(1)</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$ 335,883,881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$ 291,016,608</w:t>
            </w:r>
          </w:p>
        </w:tc>
      </w:tr>
      <w:tr>
        <w:trPr>
          <w:trHeight w:val="202"/>
        </w:trPr>
        <w:tc>
          <w:tcPr>
            <w:tcW w:w="6320" w:type="dxa"/>
            <w:vAlign w:val="bottom"/>
            <w:gridSpan w:val="2"/>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Cash equivalents (cost--$81,249,903 and</w:t>
            </w:r>
          </w:p>
        </w:tc>
        <w:tc>
          <w:tcPr>
            <w:tcW w:w="1480" w:type="dxa"/>
            <w:vAlign w:val="bottom"/>
          </w:tcPr>
          <w:p>
            <w:pPr>
              <w:spacing w:after="0"/>
              <w:rPr>
                <w:sz w:val="17"/>
                <w:szCs w:val="17"/>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$258,016,351 respectively)</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81,249,903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257,959,635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5,070,891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4,517,850</w:t>
            </w:r>
          </w:p>
        </w:tc>
      </w:tr>
      <w:tr>
        <w:trPr>
          <w:trHeight w:val="202"/>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Prepaid expenses and other assets</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1,494,991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1,513,583</w:t>
            </w:r>
          </w:p>
        </w:tc>
      </w:tr>
      <w:tr>
        <w:trPr>
          <w:trHeight w:val="202"/>
        </w:trPr>
        <w:tc>
          <w:tcPr>
            <w:tcW w:w="3540" w:type="dxa"/>
            <w:vAlign w:val="bottom"/>
          </w:tcPr>
          <w:p>
            <w:pPr>
              <w:spacing w:after="0"/>
              <w:rPr>
                <w:sz w:val="17"/>
                <w:szCs w:val="17"/>
                <w:color w:val="auto"/>
              </w:rPr>
            </w:pP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89" w:orient="portrait"/>
          <w:cols w:equalWidth="0" w:num="1">
            <w:col w:w="11220"/>
          </w:cols>
          <w:pgMar w:left="340" w:top="118" w:right="339" w:bottom="0" w:gutter="0" w:footer="0" w:header="0"/>
        </w:sectPr>
      </w:pPr>
    </w:p>
    <w:bookmarkStart w:id="4" w:name="page5"/>
    <w:bookmarkEnd w:id="4"/>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17"/>
                <w:szCs w:val="17"/>
                <w:color w:val="auto"/>
              </w:rPr>
            </w:pP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423,699,666</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555,007,676</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jc w:val="center"/>
              <w:ind w:left="3092"/>
              <w:spacing w:after="0"/>
              <w:rPr>
                <w:sz w:val="20"/>
                <w:szCs w:val="20"/>
                <w:color w:val="auto"/>
              </w:rPr>
            </w:pPr>
            <w:r>
              <w:rPr>
                <w:rFonts w:ascii="Courier New" w:cs="Courier New" w:eastAsia="Courier New" w:hAnsi="Courier New"/>
                <w:sz w:val="18"/>
                <w:szCs w:val="18"/>
                <w:color w:val="auto"/>
                <w:w w:val="97"/>
              </w:rPr>
              <w:t>Liabilities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for cash equivalents purchased</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252,759,931</w:t>
            </w:r>
          </w:p>
        </w:tc>
      </w:tr>
      <w:tr>
        <w:trPr>
          <w:trHeight w:val="202"/>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8,620,000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16,583,921</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2,607,264</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3,989,948</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Credit facility payable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194,500,000</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 payable</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765,233</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170,989</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949,664</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1,109,793</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207,442,161</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284,614,582</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jc w:val="center"/>
              <w:ind w:left="3112"/>
              <w:spacing w:after="0"/>
              <w:rPr>
                <w:sz w:val="20"/>
                <w:szCs w:val="20"/>
                <w:color w:val="auto"/>
              </w:rPr>
            </w:pPr>
            <w:r>
              <w:rPr>
                <w:rFonts w:ascii="Courier New" w:cs="Courier New" w:eastAsia="Courier New" w:hAnsi="Courier New"/>
                <w:sz w:val="18"/>
                <w:szCs w:val="18"/>
                <w:color w:val="auto"/>
                <w:w w:val="98"/>
              </w:rPr>
              <w:t>Net Assets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Common stock, par value $.001 per share,</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4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100,000,000 shares authorized and 21,068,772</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21,069</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47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320" w:type="dxa"/>
            <w:vAlign w:val="bottom"/>
          </w:tcPr>
          <w:p>
            <w:pPr>
              <w:spacing w:after="0"/>
              <w:rPr>
                <w:sz w:val="17"/>
                <w:szCs w:val="17"/>
                <w:color w:val="auto"/>
              </w:rPr>
            </w:pPr>
          </w:p>
        </w:tc>
        <w:tc>
          <w:tcPr>
            <w:tcW w:w="13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294,586,604</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6400" w:type="dxa"/>
            <w:vAlign w:val="bottom"/>
            <w:gridSpan w:val="3"/>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Distributions in excess of net investment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(286,276)</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(196,769)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(315,206)</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(95,832)</w:t>
            </w:r>
          </w:p>
        </w:tc>
      </w:tr>
      <w:tr>
        <w:trPr>
          <w:trHeight w:val="203"/>
        </w:trPr>
        <w:tc>
          <w:tcPr>
            <w:tcW w:w="6400" w:type="dxa"/>
            <w:vAlign w:val="bottom"/>
            <w:gridSpan w:val="3"/>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Net unrealized depreciation on investments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(77,748,686)</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(23,921,978)</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net assets</w:t>
            </w:r>
          </w:p>
        </w:tc>
        <w:tc>
          <w:tcPr>
            <w:tcW w:w="17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$ 216,257,505</w:t>
            </w:r>
          </w:p>
        </w:tc>
        <w:tc>
          <w:tcPr>
            <w:tcW w:w="15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$ 270,393,094</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60"/>
              <w:spacing w:after="0"/>
              <w:rPr>
                <w:sz w:val="20"/>
                <w:szCs w:val="20"/>
                <w:color w:val="auto"/>
              </w:rPr>
            </w:pPr>
            <w:r>
              <w:rPr>
                <w:rFonts w:ascii="Courier New" w:cs="Courier New" w:eastAsia="Courier New" w:hAnsi="Courier New"/>
                <w:sz w:val="18"/>
                <w:szCs w:val="18"/>
                <w:color w:val="auto"/>
              </w:rPr>
              <w:t>Total liabilities and net assets</w:t>
            </w:r>
          </w:p>
        </w:tc>
        <w:tc>
          <w:tcPr>
            <w:tcW w:w="17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$ 423,699,666</w:t>
            </w:r>
          </w:p>
        </w:tc>
        <w:tc>
          <w:tcPr>
            <w:tcW w:w="15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$ 555,007,676</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40"/>
              <w:spacing w:after="0"/>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10.26</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12.83</w:t>
            </w:r>
          </w:p>
        </w:tc>
      </w:tr>
      <w:tr>
        <w:trPr>
          <w:trHeight w:val="203"/>
        </w:trPr>
        <w:tc>
          <w:tcPr>
            <w:tcW w:w="4700" w:type="dxa"/>
            <w:vAlign w:val="bottom"/>
          </w:tcPr>
          <w:p>
            <w:pPr>
              <w:spacing w:after="0"/>
              <w:rPr>
                <w:sz w:val="17"/>
                <w:szCs w:val="17"/>
                <w:color w:val="auto"/>
              </w:rPr>
            </w:pPr>
          </w:p>
        </w:tc>
        <w:tc>
          <w:tcPr>
            <w:tcW w:w="17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980" w:right="559" w:hanging="373"/>
        <w:spacing w:after="0" w:line="268" w:lineRule="auto"/>
        <w:tabs>
          <w:tab w:leader="none" w:pos="103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our portfolio companies are controlled by, or affiliated with, PennantPark Investment Corporation as defined by the Investment Company</w:t>
      </w:r>
    </w:p>
    <w:p>
      <w:pPr>
        <w:ind w:left="3460"/>
        <w:spacing w:after="0" w:line="233" w:lineRule="auto"/>
        <w:rPr>
          <w:sz w:val="20"/>
          <w:szCs w:val="20"/>
          <w:color w:val="auto"/>
        </w:rPr>
      </w:pPr>
      <w:r>
        <w:rPr>
          <w:rFonts w:ascii="Courier New" w:cs="Courier New" w:eastAsia="Courier New" w:hAnsi="Courier New"/>
          <w:sz w:val="18"/>
          <w:szCs w:val="18"/>
          <w:color w:val="auto"/>
        </w:rPr>
        <w:t>Act of 1940, as amended.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60"/>
        <w:spacing w:after="0"/>
        <w:rPr>
          <w:sz w:val="20"/>
          <w:szCs w:val="20"/>
          <w:color w:val="auto"/>
        </w:rPr>
      </w:pPr>
      <w:r>
        <w:rPr>
          <w:rFonts w:ascii="Courier New" w:cs="Courier New" w:eastAsia="Courier New" w:hAnsi="Courier New"/>
          <w:sz w:val="18"/>
          <w:szCs w:val="18"/>
          <w:color w:val="auto"/>
        </w:rPr>
        <w:t>PENNANTPARK INVESTMENT CORPORATION</w:t>
      </w:r>
    </w:p>
    <w:p>
      <w:pPr>
        <w:ind w:left="4340"/>
        <w:spacing w:after="0" w:line="238" w:lineRule="auto"/>
        <w:rPr>
          <w:sz w:val="20"/>
          <w:szCs w:val="20"/>
          <w:color w:val="auto"/>
        </w:rPr>
      </w:pPr>
      <w:r>
        <w:rPr>
          <w:rFonts w:ascii="Courier New" w:cs="Courier New" w:eastAsia="Courier New" w:hAnsi="Courier New"/>
          <w:sz w:val="18"/>
          <w:szCs w:val="18"/>
          <w:color w:val="auto"/>
        </w:rPr>
        <w:t>STATEMENT OF OPERATIONS</w:t>
      </w:r>
    </w:p>
    <w:tbl>
      <w:tblPr>
        <w:tblLayout w:type="fixed"/>
        <w:tblInd w:w="98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314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r>
      <w:tr>
        <w:trPr>
          <w:trHeight w:val="405"/>
        </w:trPr>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Period from</w:t>
            </w:r>
          </w:p>
        </w:tc>
      </w:tr>
      <w:tr>
        <w:trPr>
          <w:trHeight w:val="203"/>
        </w:trPr>
        <w:tc>
          <w:tcPr>
            <w:tcW w:w="2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January 11,</w:t>
            </w:r>
          </w:p>
        </w:tc>
      </w:tr>
      <w:tr>
        <w:trPr>
          <w:trHeight w:val="203"/>
        </w:trPr>
        <w:tc>
          <w:tcPr>
            <w:tcW w:w="2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Three months</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(inception)</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Six months</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ended</w:t>
            </w:r>
          </w:p>
        </w:tc>
        <w:tc>
          <w:tcPr>
            <w:tcW w:w="14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through</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March 31,</w:t>
            </w:r>
          </w:p>
        </w:tc>
        <w:tc>
          <w:tcPr>
            <w:tcW w:w="14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2008</w:t>
            </w:r>
          </w:p>
        </w:tc>
        <w:tc>
          <w:tcPr>
            <w:tcW w:w="14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9,678,012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772,983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18,661,648</w:t>
            </w:r>
          </w:p>
        </w:tc>
      </w:tr>
      <w:tr>
        <w:trPr>
          <w:trHeight w:val="203"/>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35,910</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55,882</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Total investment income</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9,713,922</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772,983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18,717,530</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60" w:type="dxa"/>
            <w:vAlign w:val="bottom"/>
          </w:tcPr>
          <w:p>
            <w:pPr>
              <w:spacing w:after="0"/>
              <w:rPr>
                <w:sz w:val="24"/>
                <w:szCs w:val="24"/>
                <w:color w:val="auto"/>
              </w:rPr>
            </w:pPr>
          </w:p>
        </w:tc>
        <w:tc>
          <w:tcPr>
            <w:tcW w:w="17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Expenses: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1,725,466</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3,365,841</w:t>
            </w:r>
          </w:p>
        </w:tc>
      </w:tr>
      <w:tr>
        <w:trPr>
          <w:trHeight w:val="203"/>
        </w:trPr>
        <w:tc>
          <w:tcPr>
            <w:tcW w:w="2760" w:type="dxa"/>
            <w:vAlign w:val="bottom"/>
          </w:tcPr>
          <w:p>
            <w:pPr>
              <w:spacing w:after="0"/>
              <w:rPr>
                <w:sz w:val="17"/>
                <w:szCs w:val="17"/>
                <w:color w:val="auto"/>
              </w:rPr>
            </w:pPr>
          </w:p>
        </w:tc>
        <w:tc>
          <w:tcPr>
            <w:tcW w:w="18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Performance-based</w:t>
            </w: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incentive fee</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1,000,725</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1,448,107</w:t>
            </w:r>
          </w:p>
        </w:tc>
      </w:tr>
      <w:tr>
        <w:trPr>
          <w:trHeight w:val="203"/>
        </w:trPr>
        <w:tc>
          <w:tcPr>
            <w:tcW w:w="5900" w:type="dxa"/>
            <w:vAlign w:val="bottom"/>
            <w:gridSpan w:val="4"/>
          </w:tcPr>
          <w:p>
            <w:pPr>
              <w:jc w:val="center"/>
              <w:ind w:left="1492"/>
              <w:spacing w:after="0" w:line="203" w:lineRule="exact"/>
              <w:rPr>
                <w:sz w:val="20"/>
                <w:szCs w:val="20"/>
                <w:color w:val="auto"/>
              </w:rPr>
            </w:pPr>
            <w:r>
              <w:rPr>
                <w:rFonts w:ascii="Courier New" w:cs="Courier New" w:eastAsia="Courier New" w:hAnsi="Courier New"/>
                <w:sz w:val="18"/>
                <w:szCs w:val="18"/>
                <w:color w:val="auto"/>
                <w:w w:val="97"/>
              </w:rPr>
              <w:t>Interest and other credit</w:t>
            </w:r>
          </w:p>
        </w:tc>
        <w:tc>
          <w:tcPr>
            <w:tcW w:w="1580" w:type="dxa"/>
            <w:vAlign w:val="bottom"/>
          </w:tcPr>
          <w:p>
            <w:pPr>
              <w:spacing w:after="0"/>
              <w:rPr>
                <w:sz w:val="17"/>
                <w:szCs w:val="17"/>
                <w:color w:val="auto"/>
              </w:rPr>
            </w:pPr>
          </w:p>
        </w:tc>
      </w:tr>
      <w:tr>
        <w:trPr>
          <w:trHeight w:val="202"/>
        </w:trPr>
        <w:tc>
          <w:tcPr>
            <w:tcW w:w="27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facility expenses</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1,669,296</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740,975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2,766,403</w:t>
            </w:r>
          </w:p>
        </w:tc>
      </w:tr>
      <w:tr>
        <w:trPr>
          <w:trHeight w:val="203"/>
        </w:trPr>
        <w:tc>
          <w:tcPr>
            <w:tcW w:w="5900" w:type="dxa"/>
            <w:vAlign w:val="bottom"/>
            <w:gridSpan w:val="4"/>
          </w:tcPr>
          <w:p>
            <w:pPr>
              <w:jc w:val="center"/>
              <w:ind w:left="1472"/>
              <w:spacing w:after="0" w:line="203" w:lineRule="exact"/>
              <w:rPr>
                <w:sz w:val="20"/>
                <w:szCs w:val="20"/>
                <w:color w:val="auto"/>
              </w:rPr>
            </w:pPr>
            <w:r>
              <w:rPr>
                <w:rFonts w:ascii="Courier New" w:cs="Courier New" w:eastAsia="Courier New" w:hAnsi="Courier New"/>
                <w:sz w:val="18"/>
                <w:szCs w:val="18"/>
                <w:color w:val="auto"/>
                <w:w w:val="97"/>
              </w:rPr>
              <w:t>Administrative services</w:t>
            </w:r>
          </w:p>
        </w:tc>
        <w:tc>
          <w:tcPr>
            <w:tcW w:w="1580" w:type="dxa"/>
            <w:vAlign w:val="bottom"/>
          </w:tcPr>
          <w:p>
            <w:pPr>
              <w:spacing w:after="0"/>
              <w:rPr>
                <w:sz w:val="17"/>
                <w:szCs w:val="17"/>
                <w:color w:val="auto"/>
              </w:rPr>
            </w:pPr>
          </w:p>
        </w:tc>
      </w:tr>
      <w:tr>
        <w:trPr>
          <w:trHeight w:val="203"/>
        </w:trPr>
        <w:tc>
          <w:tcPr>
            <w:tcW w:w="27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expenses</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548,631</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1,212,321</w:t>
            </w:r>
          </w:p>
        </w:tc>
      </w:tr>
      <w:tr>
        <w:trPr>
          <w:trHeight w:val="202"/>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Professional fees</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227,571</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522,411</w:t>
            </w:r>
          </w:p>
        </w:tc>
      </w:tr>
      <w:tr>
        <w:trPr>
          <w:trHeight w:val="203"/>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Directors' fees</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116,257</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272,015</w:t>
            </w:r>
          </w:p>
        </w:tc>
      </w:tr>
      <w:tr>
        <w:trPr>
          <w:trHeight w:val="203"/>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Organizational expenses</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283,228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Insurance</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89,813</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180,593</w:t>
            </w:r>
          </w:p>
        </w:tc>
      </w:tr>
      <w:tr>
        <w:trPr>
          <w:trHeight w:val="203"/>
        </w:trPr>
        <w:tc>
          <w:tcPr>
            <w:tcW w:w="2760" w:type="dxa"/>
            <w:vAlign w:val="bottom"/>
          </w:tcPr>
          <w:p>
            <w:pPr>
              <w:spacing w:after="0"/>
              <w:rPr>
                <w:sz w:val="17"/>
                <w:szCs w:val="17"/>
                <w:color w:val="auto"/>
              </w:rPr>
            </w:pPr>
          </w:p>
        </w:tc>
        <w:tc>
          <w:tcPr>
            <w:tcW w:w="18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 general and</w:t>
            </w: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102,973</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189,817</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760" w:type="dxa"/>
            <w:vAlign w:val="bottom"/>
          </w:tcPr>
          <w:p>
            <w:pPr>
              <w:spacing w:after="0"/>
              <w:rPr>
                <w:sz w:val="17"/>
                <w:szCs w:val="17"/>
                <w:color w:val="auto"/>
              </w:rPr>
            </w:pPr>
          </w:p>
        </w:tc>
        <w:tc>
          <w:tcPr>
            <w:tcW w:w="314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w w:val="98"/>
              </w:rPr>
              <w:t>Expenses before base</w:t>
            </w:r>
          </w:p>
        </w:tc>
        <w:tc>
          <w:tcPr>
            <w:tcW w:w="1580" w:type="dxa"/>
            <w:vAlign w:val="bottom"/>
          </w:tcPr>
          <w:p>
            <w:pPr>
              <w:spacing w:after="0"/>
              <w:rPr>
                <w:sz w:val="17"/>
                <w:szCs w:val="17"/>
                <w:color w:val="auto"/>
              </w:rPr>
            </w:pPr>
          </w:p>
        </w:tc>
      </w:tr>
      <w:tr>
        <w:trPr>
          <w:trHeight w:val="203"/>
        </w:trPr>
        <w:tc>
          <w:tcPr>
            <w:tcW w:w="27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management fee waiver</w:t>
            </w: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5,480,732</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1,024,203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9,957,508</w:t>
            </w:r>
          </w:p>
        </w:tc>
      </w:tr>
      <w:tr>
        <w:trPr>
          <w:trHeight w:val="202"/>
        </w:trPr>
        <w:tc>
          <w:tcPr>
            <w:tcW w:w="2760" w:type="dxa"/>
            <w:vAlign w:val="bottom"/>
          </w:tcPr>
          <w:p>
            <w:pPr>
              <w:spacing w:after="0"/>
              <w:rPr>
                <w:sz w:val="17"/>
                <w:szCs w:val="17"/>
                <w:color w:val="auto"/>
              </w:rPr>
            </w:pP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Base management fee waiver</w:t>
            </w:r>
          </w:p>
        </w:tc>
        <w:tc>
          <w:tcPr>
            <w:tcW w:w="1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(215,684)</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(420,731)</w:t>
            </w:r>
          </w:p>
        </w:tc>
      </w:tr>
      <w:tr>
        <w:trPr>
          <w:trHeight w:val="203"/>
        </w:trPr>
        <w:tc>
          <w:tcPr>
            <w:tcW w:w="2760" w:type="dxa"/>
            <w:vAlign w:val="bottom"/>
          </w:tcPr>
          <w:p>
            <w:pPr>
              <w:spacing w:after="0"/>
              <w:rPr>
                <w:sz w:val="17"/>
                <w:szCs w:val="17"/>
                <w:color w:val="auto"/>
              </w:rPr>
            </w:pPr>
          </w:p>
        </w:tc>
        <w:tc>
          <w:tcPr>
            <w:tcW w:w="17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019"/>
          </w:cols>
          <w:pgMar w:left="1440" w:top="339" w:right="1440" w:bottom="0" w:gutter="0" w:footer="0" w:header="0"/>
        </w:sectPr>
      </w:pPr>
    </w:p>
    <w:bookmarkStart w:id="5" w:name="page6"/>
    <w:bookmarkEnd w:id="5"/>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04"/>
        </w:trPr>
        <w:tc>
          <w:tcPr>
            <w:tcW w:w="27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Net expenses</w:t>
            </w:r>
          </w:p>
        </w:tc>
        <w:tc>
          <w:tcPr>
            <w:tcW w:w="6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8"/>
                <w:szCs w:val="18"/>
                <w:color w:val="auto"/>
              </w:rPr>
              <w:t>5,265,048</w:t>
            </w:r>
          </w:p>
        </w:tc>
        <w:tc>
          <w:tcPr>
            <w:tcW w:w="164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1,024,203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9,536,777</w:t>
            </w:r>
          </w:p>
        </w:tc>
      </w:tr>
      <w:tr>
        <w:trPr>
          <w:trHeight w:val="203"/>
        </w:trPr>
        <w:tc>
          <w:tcPr>
            <w:tcW w:w="27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60" w:type="dxa"/>
            <w:vAlign w:val="bottom"/>
          </w:tcPr>
          <w:p>
            <w:pPr>
              <w:spacing w:after="0"/>
              <w:rPr>
                <w:sz w:val="17"/>
                <w:szCs w:val="17"/>
                <w:color w:val="auto"/>
              </w:rPr>
            </w:pPr>
          </w:p>
        </w:tc>
        <w:tc>
          <w:tcPr>
            <w:tcW w:w="2600" w:type="dxa"/>
            <w:vAlign w:val="bottom"/>
            <w:gridSpan w:val="3"/>
          </w:tcPr>
          <w:p>
            <w:pPr>
              <w:ind w:left="400"/>
              <w:spacing w:after="0" w:line="203" w:lineRule="exact"/>
              <w:rPr>
                <w:sz w:val="20"/>
                <w:szCs w:val="20"/>
                <w:color w:val="auto"/>
              </w:rPr>
            </w:pPr>
            <w:r>
              <w:rPr>
                <w:rFonts w:ascii="Courier New" w:cs="Courier New" w:eastAsia="Courier New" w:hAnsi="Courier New"/>
                <w:sz w:val="18"/>
                <w:szCs w:val="18"/>
                <w:color w:val="auto"/>
                <w:w w:val="96"/>
              </w:rPr>
              <w:t>Net investment income</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(loss)</w:t>
            </w:r>
          </w:p>
        </w:tc>
        <w:tc>
          <w:tcPr>
            <w:tcW w:w="6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4,448,874</w:t>
            </w:r>
          </w:p>
        </w:tc>
        <w:tc>
          <w:tcPr>
            <w:tcW w:w="6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(251,220)</w:t>
            </w: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9,180,753</w:t>
            </w:r>
          </w:p>
        </w:tc>
      </w:tr>
      <w:tr>
        <w:trPr>
          <w:trHeight w:val="203"/>
        </w:trPr>
        <w:tc>
          <w:tcPr>
            <w:tcW w:w="27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0" w:type="dxa"/>
            <w:vAlign w:val="bottom"/>
            <w:gridSpan w:val="5"/>
          </w:tcPr>
          <w:p>
            <w:pPr>
              <w:jc w:val="right"/>
              <w:ind w:right="892"/>
              <w:spacing w:after="0"/>
              <w:rPr>
                <w:sz w:val="20"/>
                <w:szCs w:val="20"/>
                <w:color w:val="auto"/>
              </w:rPr>
            </w:pPr>
            <w:r>
              <w:rPr>
                <w:rFonts w:ascii="Courier New" w:cs="Courier New" w:eastAsia="Courier New" w:hAnsi="Courier New"/>
                <w:sz w:val="18"/>
                <w:szCs w:val="18"/>
                <w:color w:val="auto"/>
              </w:rPr>
              <w:t>Realized and unrealized loss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760" w:type="dxa"/>
            <w:vAlign w:val="bottom"/>
          </w:tcPr>
          <w:p>
            <w:pPr>
              <w:spacing w:after="0"/>
              <w:rPr>
                <w:sz w:val="17"/>
                <w:szCs w:val="17"/>
                <w:color w:val="auto"/>
              </w:rPr>
            </w:pPr>
          </w:p>
        </w:tc>
        <w:tc>
          <w:tcPr>
            <w:tcW w:w="26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on investments and cash</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equivalents: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26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Net realized loss on</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2600" w:type="dxa"/>
            <w:vAlign w:val="bottom"/>
            <w:gridSpan w:val="3"/>
          </w:tcPr>
          <w:p>
            <w:pPr>
              <w:ind w:left="400"/>
              <w:spacing w:after="0" w:line="203" w:lineRule="exact"/>
              <w:rPr>
                <w:sz w:val="20"/>
                <w:szCs w:val="20"/>
                <w:color w:val="auto"/>
              </w:rPr>
            </w:pPr>
            <w:r>
              <w:rPr>
                <w:rFonts w:ascii="Courier New" w:cs="Courier New" w:eastAsia="Courier New" w:hAnsi="Courier New"/>
                <w:sz w:val="18"/>
                <w:szCs w:val="18"/>
                <w:color w:val="auto"/>
              </w:rPr>
              <w:t>investments and cash</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equivalents</w:t>
            </w:r>
          </w:p>
        </w:tc>
        <w:tc>
          <w:tcPr>
            <w:tcW w:w="6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(8,483)</w:t>
            </w:r>
          </w:p>
        </w:tc>
        <w:tc>
          <w:tcPr>
            <w:tcW w:w="60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19,375</w:t>
            </w: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(219,374)</w:t>
            </w:r>
          </w:p>
        </w:tc>
      </w:tr>
      <w:tr>
        <w:trPr>
          <w:trHeight w:val="203"/>
        </w:trPr>
        <w:tc>
          <w:tcPr>
            <w:tcW w:w="2760" w:type="dxa"/>
            <w:vAlign w:val="bottom"/>
          </w:tcPr>
          <w:p>
            <w:pPr>
              <w:spacing w:after="0"/>
              <w:rPr>
                <w:sz w:val="17"/>
                <w:szCs w:val="17"/>
                <w:color w:val="auto"/>
              </w:rPr>
            </w:pPr>
          </w:p>
        </w:tc>
        <w:tc>
          <w:tcPr>
            <w:tcW w:w="3640" w:type="dxa"/>
            <w:vAlign w:val="bottom"/>
            <w:gridSpan w:val="4"/>
          </w:tcPr>
          <w:p>
            <w:pPr>
              <w:jc w:val="right"/>
              <w:ind w:right="892"/>
              <w:spacing w:after="0" w:line="203" w:lineRule="exact"/>
              <w:rPr>
                <w:sz w:val="20"/>
                <w:szCs w:val="20"/>
                <w:color w:val="auto"/>
              </w:rPr>
            </w:pPr>
            <w:r>
              <w:rPr>
                <w:rFonts w:ascii="Courier New" w:cs="Courier New" w:eastAsia="Courier New" w:hAnsi="Courier New"/>
                <w:sz w:val="18"/>
                <w:szCs w:val="18"/>
                <w:color w:val="auto"/>
              </w:rPr>
              <w:t>Change in net unrealized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depreciation</w:t>
            </w:r>
          </w:p>
        </w:tc>
        <w:tc>
          <w:tcPr>
            <w:tcW w:w="6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rPr>
              <w:t>on</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2600" w:type="dxa"/>
            <w:vAlign w:val="bottom"/>
            <w:gridSpan w:val="3"/>
          </w:tcPr>
          <w:p>
            <w:pPr>
              <w:ind w:left="400"/>
              <w:spacing w:after="0" w:line="203" w:lineRule="exact"/>
              <w:rPr>
                <w:sz w:val="20"/>
                <w:szCs w:val="20"/>
                <w:color w:val="auto"/>
              </w:rPr>
            </w:pPr>
            <w:r>
              <w:rPr>
                <w:rFonts w:ascii="Courier New" w:cs="Courier New" w:eastAsia="Courier New" w:hAnsi="Courier New"/>
                <w:sz w:val="18"/>
                <w:szCs w:val="18"/>
                <w:color w:val="auto"/>
              </w:rPr>
              <w:t>investments and cash</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equivalents</w:t>
            </w:r>
          </w:p>
        </w:tc>
        <w:tc>
          <w:tcPr>
            <w:tcW w:w="6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(37,769,064)</w:t>
            </w:r>
          </w:p>
        </w:tc>
        <w:tc>
          <w:tcPr>
            <w:tcW w:w="6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(1,701)</w:t>
            </w: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(53,826,708)</w:t>
            </w:r>
          </w:p>
        </w:tc>
      </w:tr>
      <w:tr>
        <w:trPr>
          <w:trHeight w:val="203"/>
        </w:trPr>
        <w:tc>
          <w:tcPr>
            <w:tcW w:w="27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Net realized and</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2600" w:type="dxa"/>
            <w:vAlign w:val="bottom"/>
            <w:gridSpan w:val="3"/>
          </w:tcPr>
          <w:p>
            <w:pPr>
              <w:ind w:left="500"/>
              <w:spacing w:after="0" w:line="203" w:lineRule="exact"/>
              <w:rPr>
                <w:sz w:val="20"/>
                <w:szCs w:val="20"/>
                <w:color w:val="auto"/>
              </w:rPr>
            </w:pPr>
            <w:r>
              <w:rPr>
                <w:rFonts w:ascii="Courier New" w:cs="Courier New" w:eastAsia="Courier New" w:hAnsi="Courier New"/>
                <w:sz w:val="18"/>
                <w:szCs w:val="18"/>
                <w:color w:val="auto"/>
                <w:w w:val="96"/>
              </w:rPr>
              <w:t>unrealized loss from</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2600" w:type="dxa"/>
            <w:vAlign w:val="bottom"/>
            <w:gridSpan w:val="3"/>
          </w:tcPr>
          <w:p>
            <w:pPr>
              <w:ind w:left="500"/>
              <w:spacing w:after="0" w:line="203" w:lineRule="exact"/>
              <w:rPr>
                <w:sz w:val="20"/>
                <w:szCs w:val="20"/>
                <w:color w:val="auto"/>
              </w:rPr>
            </w:pPr>
            <w:r>
              <w:rPr>
                <w:rFonts w:ascii="Courier New" w:cs="Courier New" w:eastAsia="Courier New" w:hAnsi="Courier New"/>
                <w:sz w:val="18"/>
                <w:szCs w:val="18"/>
                <w:color w:val="auto"/>
                <w:w w:val="96"/>
              </w:rPr>
              <w:t>investments and cash</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equivalents</w:t>
            </w:r>
          </w:p>
        </w:tc>
        <w:tc>
          <w:tcPr>
            <w:tcW w:w="6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(37,777,547)</w:t>
            </w:r>
          </w:p>
        </w:tc>
        <w:tc>
          <w:tcPr>
            <w:tcW w:w="60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17,764</w:t>
            </w: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(54,046,082)</w:t>
            </w:r>
          </w:p>
        </w:tc>
      </w:tr>
      <w:tr>
        <w:trPr>
          <w:trHeight w:val="203"/>
        </w:trPr>
        <w:tc>
          <w:tcPr>
            <w:tcW w:w="27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Net decrease in net assets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resulting from operations</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(33,328,673)</w:t>
            </w:r>
          </w:p>
        </w:tc>
        <w:tc>
          <w:tcPr>
            <w:tcW w:w="6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(233,546)</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(44,865,329)</w:t>
            </w:r>
          </w:p>
        </w:tc>
      </w:tr>
      <w:tr>
        <w:trPr>
          <w:trHeight w:val="203"/>
        </w:trPr>
        <w:tc>
          <w:tcPr>
            <w:tcW w:w="27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6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Loss per common share</w:t>
            </w:r>
          </w:p>
        </w:tc>
        <w:tc>
          <w:tcPr>
            <w:tcW w:w="600" w:type="dxa"/>
            <w:vAlign w:val="bottom"/>
          </w:tcPr>
          <w:p>
            <w:pPr>
              <w:ind w:left="500"/>
              <w:spacing w:after="0" w:line="203" w:lineRule="exact"/>
              <w:rPr>
                <w:sz w:val="20"/>
                <w:szCs w:val="20"/>
                <w:color w:val="auto"/>
              </w:rPr>
            </w:pPr>
            <w:r>
              <w:rPr>
                <w:rFonts w:ascii="Courier New" w:cs="Courier New" w:eastAsia="Courier New" w:hAnsi="Courier New"/>
                <w:sz w:val="18"/>
                <w:szCs w:val="18"/>
                <w:color w:val="auto"/>
                <w:w w:val="73"/>
              </w:rPr>
              <w:t>$</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6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r>
        <w:trPr>
          <w:trHeight w:val="203"/>
        </w:trPr>
        <w:tc>
          <w:tcPr>
            <w:tcW w:w="27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2020-05-05T15:06:46Z</dcterms:created>
  <dcterms:modified xsi:type="dcterms:W3CDTF">2020-05-05T15:06:46Z</dcterms:modified>
</cp:coreProperties>
</file>