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74"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38"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129" w:lineRule="exact"/>
        <w:rPr>
          <w:sz w:val="24"/>
          <w:szCs w:val="24"/>
          <w:color w:val="auto"/>
        </w:rPr>
      </w:pPr>
    </w:p>
    <w:p>
      <w:pPr>
        <w:ind w:right="6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7, 2018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DECEMBER 31, 2017</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97"/>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2017 (unaudited) and September 30, 2017</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2017 and 2016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2017 and 2016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2017 and 2016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2017 (unaudited) and September 30, 2017</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38"/>
        </w:trPr>
        <w:tc>
          <w:tcPr>
            <w:tcW w:w="9200" w:type="dxa"/>
            <w:vAlign w:val="bottom"/>
          </w:tcPr>
          <w:p>
            <w:pPr>
              <w:ind w:left="430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337"/>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661"/>
        </w:trPr>
        <w:tc>
          <w:tcPr>
            <w:tcW w:w="92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r>
        <w:trPr>
          <w:trHeight w:val="100"/>
        </w:trPr>
        <w:tc>
          <w:tcPr>
            <w:tcW w:w="92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notes due 2025; “2019 Notes” refers to our 4.50% notes due 2019;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00" w:type="dxa"/>
            <w:vAlign w:val="bottom"/>
          </w:tcPr>
          <w:p>
            <w:pPr>
              <w:spacing w:after="0"/>
              <w:rPr>
                <w:sz w:val="22"/>
                <w:szCs w:val="22"/>
                <w:color w:val="auto"/>
              </w:rPr>
            </w:pPr>
          </w:p>
        </w:tc>
        <w:tc>
          <w:tcPr>
            <w:tcW w:w="8800" w:type="dxa"/>
            <w:vAlign w:val="bottom"/>
            <w:gridSpan w:val="4"/>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3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(cost—$774,071,408 and $824,106,322, respectively)</w:t>
            </w: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801,023,017</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849,351,548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(cost—$186,604,156 and $185,799,943, respectively)</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192,144,595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189,674,977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(cost—$203,199,235 and $200,120,407, respectively)</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107,453,444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114,550,983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(cost—$1,163,874,799 and $1,210,026,672, respectively)</w:t>
            </w:r>
          </w:p>
        </w:tc>
        <w:tc>
          <w:tcPr>
            <w:tcW w:w="12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1,100,621,056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(cost—$72,781,092 and $38,182,373, respectively)</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72,832,675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7,759,810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5,906,976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2,979,549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4,509,289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1,184,193,090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12,790,950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12,790,950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2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1,014,000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Credit Facility payable (cost—$79,392,900 and $79,392,900,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76,578,075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10)</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253,997,500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SBA debentures payable, net (par—$184,000,000 and $199,000,000,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179,739,718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194,364,653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4,817,516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4,845,237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2,675,573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2,270,008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5,507,033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6,876,756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1,773,807</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1,523,425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CECFF"/>
          </w:tcPr>
          <w:p>
            <w:pPr>
              <w:spacing w:after="0"/>
              <w:rPr>
                <w:sz w:val="13"/>
                <w:szCs w:val="13"/>
                <w:color w:val="auto"/>
              </w:rPr>
            </w:pP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537,880,172</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555,387,370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71,060,836 shares issued and outstanding</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71,061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818,737,784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818,737,784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Undistributed net investment income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4,710,289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3,333,195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Accumulated net realized loss on investments</w:t>
            </w:r>
          </w:p>
        </w:tc>
        <w:tc>
          <w:tcPr>
            <w:tcW w:w="12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(112,824,872)</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(116,598,355)</w:t>
            </w: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Net unrealized depreciation on investments</w:t>
            </w:r>
          </w:p>
        </w:tc>
        <w:tc>
          <w:tcPr>
            <w:tcW w:w="12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(63,198,669)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(56,425,773)</w:t>
            </w: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appreciation on debt</w:t>
            </w:r>
          </w:p>
        </w:tc>
        <w:tc>
          <w:tcPr>
            <w:tcW w:w="12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(1,182,675)</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(2,309,441)</w:t>
            </w:r>
          </w:p>
        </w:tc>
        <w:tc>
          <w:tcPr>
            <w:tcW w:w="0" w:type="dxa"/>
            <w:vAlign w:val="bottom"/>
          </w:tcPr>
          <w:p>
            <w:pPr>
              <w:spacing w:after="0"/>
              <w:rPr>
                <w:sz w:val="1"/>
                <w:szCs w:val="1"/>
                <w:color w:val="auto"/>
              </w:rPr>
            </w:pPr>
          </w:p>
        </w:tc>
      </w:tr>
      <w:tr>
        <w:trPr>
          <w:trHeight w:val="156"/>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646,312,918</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646,808,471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shd w:val="clear" w:color="auto" w:fill="CCECFF"/>
          </w:tcPr>
          <w:p>
            <w:pPr>
              <w:spacing w:after="0"/>
              <w:rPr>
                <w:sz w:val="13"/>
                <w:szCs w:val="13"/>
                <w:color w:val="auto"/>
              </w:rPr>
            </w:pPr>
          </w:p>
        </w:tc>
        <w:tc>
          <w:tcPr>
            <w:tcW w:w="702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1,184,193,090</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gridSpan w:val="2"/>
            <w:vMerge w:val="continue"/>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9.10</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21,383,219</w:t>
            </w:r>
          </w:p>
        </w:tc>
        <w:tc>
          <w:tcPr>
            <w:tcW w:w="28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214"/>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21,651,426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1,284,909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1,586,642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2,102,536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1,215,834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2,790,932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1,573,306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1,434,749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480,430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179,735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1,144,085</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3,466,329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28,668,425</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31,868,911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5,735,137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6,274,782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3,185,204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3,374,210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5,857,378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6,735,574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521,625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894,000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628,290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668,507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15,927,634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17,947,073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(1,427,253)</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(1,543,839)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24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14,500,381</w:t>
            </w: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16,828,234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14,168,044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15,040,677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Net realized gain (loss) on investments on:</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1,793,043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(22,195,334)</w:t>
            </w: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1,980,440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1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240" w:type="dxa"/>
            <w:vAlign w:val="bottom"/>
            <w:tcBorders>
              <w:top w:val="single" w:sz="8" w:color="auto"/>
            </w:tcBorders>
            <w:shd w:val="clear" w:color="auto" w:fill="CCECFF"/>
          </w:tcPr>
          <w:p>
            <w:pPr>
              <w:spacing w:after="0"/>
              <w:rPr>
                <w:sz w:val="13"/>
                <w:szCs w:val="13"/>
                <w:color w:val="auto"/>
              </w:rPr>
            </w:pP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3,773,483</w:t>
            </w: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(22,195,334)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1,738,065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19,636,201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(8,510,961)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5,736,899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(See Notes 5 and 10)</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1,126,766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5,830,684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(5,646,130)</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31,203,784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(1,872,647)</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9,008,450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1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12,295,397</w:t>
            </w:r>
          </w:p>
        </w:tc>
        <w:tc>
          <w:tcPr>
            <w:tcW w:w="28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1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0.18</w:t>
            </w:r>
          </w:p>
        </w:tc>
        <w:tc>
          <w:tcPr>
            <w:tcW w:w="2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0.20</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14,168,044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15,040,677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3,773,483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(22,195,334)</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(6,772,896)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25,373,100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1,126,766</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5,830,684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12,295,397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24,049,127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Distributions to stockholders: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(12,790,950)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(19,897,034)</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(495,553)</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4,152,093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643,366,856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646,312,918</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647,518,949</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(distributions in excess of) net investment income, at end of period</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4,710,289</w:t>
            </w:r>
          </w:p>
        </w:tc>
        <w:tc>
          <w:tcPr>
            <w:tcW w:w="2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(1,736,977)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12,295,397</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24,049,127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(used in)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6,772,896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(25,373,100)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(1,126,766)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(5,830,684)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(3,773,483)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22,195,334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(239,321)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(938,502)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(138,433,423)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(229,234,313)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(3,706,405)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(2,914,692)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192,303,018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64,209,266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375,065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168,635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interest receivable</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(1,852,834)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(5,716,465)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1,529,740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636,507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payable for investments purchased</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(1,014,000)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50,399,000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(1,369,723)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(951,901)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(27,721)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195,987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405,565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(31,108)</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10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250,382</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795,503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62,388,387</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(108,341,406)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(12,790,950)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(19,897,034)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(15,000,000)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Credit Facility</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160,260,000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Credit Facility</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(91,000,000)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(62,481,000)</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(27,790,950)</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77,881,966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34,597,437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(30,459,440)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33,170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191,903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38,202,068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72,832,675</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45,340,576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6,852,037</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7,518,840</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86,349</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18,026,006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5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Companies—123.9% </w:t>
            </w:r>
            <w:r>
              <w:rPr>
                <w:rFonts w:ascii="Arial" w:cs="Arial" w:eastAsia="Arial" w:hAnsi="Arial"/>
                <w:sz w:val="9"/>
                <w:szCs w:val="9"/>
                <w:b w:val="1"/>
                <w:bCs w:val="1"/>
                <w:color w:val="auto"/>
              </w:rPr>
              <w:t>(1), (2)</w:t>
            </w: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b w:val="1"/>
                <w:bCs w:val="1"/>
                <w:color w:val="auto"/>
              </w:rPr>
              <w:t>First Lien Secured Debt—49.9%</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11.18%</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7,462,500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7,347,875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7,462,500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8.70%</w:t>
            </w:r>
          </w:p>
        </w:tc>
        <w:tc>
          <w:tcPr>
            <w:tcW w:w="90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20,598,254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20,221,622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20,598,254</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900" w:type="dxa"/>
            <w:vAlign w:val="bottom"/>
          </w:tcPr>
          <w:p>
            <w:pPr>
              <w:jc w:val="right"/>
              <w:spacing w:after="0"/>
              <w:rPr>
                <w:sz w:val="20"/>
                <w:szCs w:val="20"/>
                <w:color w:val="auto"/>
              </w:rPr>
            </w:pPr>
            <w:r>
              <w:rPr>
                <w:rFonts w:ascii="Arial" w:cs="Arial" w:eastAsia="Arial" w:hAnsi="Arial"/>
                <w:sz w:val="12"/>
                <w:szCs w:val="12"/>
                <w:color w:val="auto"/>
              </w:rPr>
              <w:t>3M 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19,534,457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19,800,000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9.87%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23,397,021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22,883,876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23,397,021</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9.87%</w:t>
            </w:r>
          </w:p>
        </w:tc>
        <w:tc>
          <w:tcPr>
            <w:tcW w:w="900" w:type="dxa"/>
            <w:vAlign w:val="bottom"/>
          </w:tcPr>
          <w:p>
            <w:pPr>
              <w:jc w:val="right"/>
              <w:spacing w:after="0"/>
              <w:rPr>
                <w:sz w:val="20"/>
                <w:szCs w:val="20"/>
                <w:color w:val="auto"/>
              </w:rPr>
            </w:pPr>
            <w:r>
              <w:rPr>
                <w:rFonts w:ascii="Arial" w:cs="Arial" w:eastAsia="Arial" w:hAnsi="Arial"/>
                <w:sz w:val="12"/>
                <w:szCs w:val="12"/>
                <w:color w:val="auto"/>
              </w:rPr>
              <w:t>1M 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900" w:type="dxa"/>
            <w:vAlign w:val="bottom"/>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9,794,823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9,855,591</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8.32%</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4,902,195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10/31/2023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19,950,000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19,572,894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19,950,000</w:t>
            </w:r>
          </w:p>
        </w:tc>
        <w:tc>
          <w:tcPr>
            <w:tcW w:w="100" w:type="dxa"/>
            <w:vAlign w:val="bottom"/>
            <w:shd w:val="clear" w:color="auto" w:fill="CCECFF"/>
          </w:tcPr>
          <w:p>
            <w:pPr>
              <w:spacing w:after="0"/>
              <w:rPr>
                <w:sz w:val="12"/>
                <w:szCs w:val="12"/>
                <w:color w:val="auto"/>
              </w:rPr>
            </w:pPr>
          </w:p>
        </w:tc>
      </w:tr>
      <w:tr>
        <w:trPr>
          <w:trHeight w:val="155"/>
        </w:trPr>
        <w:tc>
          <w:tcPr>
            <w:tcW w:w="29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74"/>
        </w:trPr>
        <w:tc>
          <w:tcPr>
            <w:tcW w:w="2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56"/>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w w:val="98"/>
              </w:rPr>
              <w:t xml:space="preserve">eCommission Financial Services, Inc. (Revolver) </w:t>
            </w:r>
            <w:r>
              <w:rPr>
                <w:rFonts w:ascii="Arial" w:cs="Arial" w:eastAsia="Arial" w:hAnsi="Arial"/>
                <w:sz w:val="9"/>
                <w:szCs w:val="9"/>
                <w:color w:val="auto"/>
                <w:w w:val="98"/>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4,000,000</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74"/>
        </w:trPr>
        <w:tc>
          <w:tcPr>
            <w:tcW w:w="292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58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28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56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2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9.69%</w:t>
            </w:r>
          </w:p>
        </w:tc>
        <w:tc>
          <w:tcPr>
            <w:tcW w:w="90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19,755,213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19,386,938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19,360,109</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11.18%</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10,000,000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12/22/2021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10.87%</w:t>
            </w:r>
          </w:p>
        </w:tc>
        <w:tc>
          <w:tcPr>
            <w:tcW w:w="900" w:type="dxa"/>
            <w:vAlign w:val="bottom"/>
          </w:tcPr>
          <w:p>
            <w:pPr>
              <w:jc w:val="right"/>
              <w:spacing w:after="0"/>
              <w:rPr>
                <w:sz w:val="20"/>
                <w:szCs w:val="20"/>
                <w:color w:val="auto"/>
              </w:rPr>
            </w:pPr>
            <w:r>
              <w:rPr>
                <w:rFonts w:ascii="Arial" w:cs="Arial" w:eastAsia="Arial" w:hAnsi="Arial"/>
                <w:sz w:val="12"/>
                <w:szCs w:val="12"/>
                <w:color w:val="auto"/>
              </w:rPr>
              <w:t>1M 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13,903,313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13,670,663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13,903,313</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02/19/2021</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14,522,529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14,294,511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14,404,242</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10.84%</w:t>
            </w:r>
          </w:p>
        </w:tc>
        <w:tc>
          <w:tcPr>
            <w:tcW w:w="900" w:type="dxa"/>
            <w:vAlign w:val="bottom"/>
          </w:tcPr>
          <w:p>
            <w:pPr>
              <w:jc w:val="right"/>
              <w:spacing w:after="0"/>
              <w:rPr>
                <w:sz w:val="20"/>
                <w:szCs w:val="20"/>
                <w:color w:val="auto"/>
              </w:rPr>
            </w:pPr>
            <w:r>
              <w:rPr>
                <w:rFonts w:ascii="Arial" w:cs="Arial" w:eastAsia="Arial" w:hAnsi="Arial"/>
                <w:sz w:val="12"/>
                <w:szCs w:val="12"/>
                <w:color w:val="auto"/>
              </w:rPr>
              <w:t>3M L+918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15,966,825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12/16/2019</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Mining, Steel, Iron and Non-Precious Metals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11.50%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11,875,000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11,825,258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12,231,250</w:t>
            </w:r>
          </w:p>
        </w:tc>
        <w:tc>
          <w:tcPr>
            <w:tcW w:w="100" w:type="dxa"/>
            <w:vAlign w:val="bottom"/>
            <w:shd w:val="clear" w:color="auto" w:fill="CCECFF"/>
          </w:tcPr>
          <w:p>
            <w:pPr>
              <w:spacing w:after="0"/>
              <w:rPr>
                <w:sz w:val="12"/>
                <w:szCs w:val="12"/>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SFP Holding, Inc.</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900" w:type="dxa"/>
            <w:vAlign w:val="bottom"/>
          </w:tcPr>
          <w:p>
            <w:pPr>
              <w:jc w:val="right"/>
              <w:spacing w:after="0"/>
              <w:rPr>
                <w:sz w:val="20"/>
                <w:szCs w:val="20"/>
                <w:color w:val="auto"/>
              </w:rPr>
            </w:pPr>
            <w:r>
              <w:rPr>
                <w:rFonts w:ascii="Arial" w:cs="Arial" w:eastAsia="Arial" w:hAnsi="Arial"/>
                <w:sz w:val="12"/>
                <w:szCs w:val="12"/>
                <w:color w:val="auto"/>
              </w:rPr>
              <w:t>3M L+625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17,172,080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17,500,000</w:t>
            </w:r>
          </w:p>
        </w:tc>
        <w:tc>
          <w:tcPr>
            <w:tcW w:w="100" w:type="dxa"/>
            <w:vAlign w:val="bottom"/>
          </w:tcPr>
          <w:p>
            <w:pPr>
              <w:spacing w:after="0"/>
              <w:rPr>
                <w:sz w:val="13"/>
                <w:szCs w:val="13"/>
                <w:color w:val="auto"/>
              </w:rPr>
            </w:pPr>
          </w:p>
        </w:tc>
      </w:tr>
      <w:tr>
        <w:trPr>
          <w:trHeight w:val="74"/>
        </w:trPr>
        <w:tc>
          <w:tcPr>
            <w:tcW w:w="2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56"/>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74"/>
        </w:trPr>
        <w:tc>
          <w:tcPr>
            <w:tcW w:w="292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58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28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56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2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2,500,000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74"/>
        </w:trPr>
        <w:tc>
          <w:tcPr>
            <w:tcW w:w="2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06/28/2019</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11.50%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L+1,050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30,417,040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31,583,845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37,620,431</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3.50%)</w:t>
            </w: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tcPr>
          <w:p>
            <w:pPr>
              <w:ind w:left="120"/>
              <w:spacing w:after="0"/>
              <w:rPr>
                <w:sz w:val="20"/>
                <w:szCs w:val="20"/>
                <w:color w:val="auto"/>
              </w:rPr>
            </w:pPr>
            <w:r>
              <w:rPr>
                <w:rFonts w:ascii="Arial" w:cs="Arial" w:eastAsia="Arial" w:hAnsi="Arial"/>
                <w:sz w:val="12"/>
                <w:szCs w:val="12"/>
                <w:color w:val="auto"/>
              </w:rPr>
              <w:t>12/28/2020</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12.82%</w:t>
            </w:r>
          </w:p>
        </w:tc>
        <w:tc>
          <w:tcPr>
            <w:tcW w:w="900" w:type="dxa"/>
            <w:vAlign w:val="bottom"/>
          </w:tcPr>
          <w:p>
            <w:pPr>
              <w:jc w:val="right"/>
              <w:spacing w:after="0"/>
              <w:rPr>
                <w:sz w:val="20"/>
                <w:szCs w:val="20"/>
                <w:color w:val="auto"/>
              </w:rPr>
            </w:pPr>
            <w:r>
              <w:rPr>
                <w:rFonts w:ascii="Arial" w:cs="Arial" w:eastAsia="Arial" w:hAnsi="Arial"/>
                <w:sz w:val="12"/>
                <w:szCs w:val="12"/>
                <w:color w:val="auto"/>
              </w:rPr>
              <w:t>1M L+1,125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24,258,101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23,930,878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24,258,101</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02/12/2020</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9.02%</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L+850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16,670,198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26,958,555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22,562,106</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tcPr>
          <w:p>
            <w:pPr>
              <w:ind w:left="120"/>
              <w:spacing w:after="0"/>
              <w:rPr>
                <w:sz w:val="20"/>
                <w:szCs w:val="20"/>
                <w:color w:val="auto"/>
              </w:rPr>
            </w:pPr>
            <w:r>
              <w:rPr>
                <w:rFonts w:ascii="Arial" w:cs="Arial" w:eastAsia="Arial" w:hAnsi="Arial"/>
                <w:sz w:val="12"/>
                <w:szCs w:val="12"/>
                <w:color w:val="auto"/>
              </w:rPr>
              <w:t>08/13/2021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10.69%</w:t>
            </w:r>
          </w:p>
        </w:tc>
        <w:tc>
          <w:tcPr>
            <w:tcW w:w="900" w:type="dxa"/>
            <w:vAlign w:val="bottom"/>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8,542,188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8,542,188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8,115,078</w:t>
            </w:r>
          </w:p>
        </w:tc>
        <w:tc>
          <w:tcPr>
            <w:tcW w:w="100" w:type="dxa"/>
            <w:vAlign w:val="bottom"/>
          </w:tcPr>
          <w:p>
            <w:pPr>
              <w:spacing w:after="0"/>
              <w:rPr>
                <w:sz w:val="12"/>
                <w:szCs w:val="12"/>
                <w:color w:val="auto"/>
              </w:rPr>
            </w:pPr>
          </w:p>
        </w:tc>
      </w:tr>
      <w:tr>
        <w:trPr>
          <w:trHeight w:val="155"/>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19,451,250</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19,074,851</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19,256,737</w:t>
            </w:r>
          </w:p>
        </w:tc>
        <w:tc>
          <w:tcPr>
            <w:tcW w:w="100" w:type="dxa"/>
            <w:vAlign w:val="bottom"/>
            <w:shd w:val="clear" w:color="auto" w:fill="CCECFF"/>
          </w:tcPr>
          <w:p>
            <w:pPr>
              <w:spacing w:after="0"/>
              <w:rPr>
                <w:sz w:val="13"/>
                <w:szCs w:val="13"/>
                <w:color w:val="auto"/>
              </w:rPr>
            </w:pPr>
          </w:p>
        </w:tc>
      </w:tr>
      <w:tr>
        <w:trPr>
          <w:trHeight w:val="74"/>
        </w:trPr>
        <w:tc>
          <w:tcPr>
            <w:tcW w:w="292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58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28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56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2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r>
      <w:tr>
        <w:trPr>
          <w:trHeight w:val="155"/>
        </w:trPr>
        <w:tc>
          <w:tcPr>
            <w:tcW w:w="2920" w:type="dxa"/>
            <w:vAlign w:val="bottom"/>
          </w:tcPr>
          <w:p>
            <w:pPr>
              <w:spacing w:after="0"/>
              <w:rPr>
                <w:sz w:val="20"/>
                <w:szCs w:val="20"/>
                <w:color w:val="auto"/>
              </w:rPr>
            </w:pPr>
            <w:r>
              <w:rPr>
                <w:rFonts w:ascii="Arial" w:cs="Arial" w:eastAsia="Arial" w:hAnsi="Arial"/>
                <w:sz w:val="12"/>
                <w:szCs w:val="12"/>
                <w:color w:val="auto"/>
              </w:rPr>
              <w:t>Whitney, Bradley &amp; Brown, Inc.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10/18/2022</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10.57%</w:t>
            </w:r>
          </w:p>
        </w:tc>
        <w:tc>
          <w:tcPr>
            <w:tcW w:w="900" w:type="dxa"/>
            <w:vAlign w:val="bottom"/>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435,600</w:t>
            </w:r>
          </w:p>
        </w:tc>
        <w:tc>
          <w:tcPr>
            <w:tcW w:w="100" w:type="dxa"/>
            <w:vAlign w:val="bottom"/>
          </w:tcPr>
          <w:p>
            <w:pPr>
              <w:spacing w:after="0"/>
              <w:rPr>
                <w:sz w:val="13"/>
                <w:szCs w:val="13"/>
                <w:color w:val="auto"/>
              </w:rPr>
            </w:pPr>
          </w:p>
        </w:tc>
      </w:tr>
      <w:tr>
        <w:trPr>
          <w:trHeight w:val="74"/>
        </w:trPr>
        <w:tc>
          <w:tcPr>
            <w:tcW w:w="2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55"/>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1,026,667</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(10,267)</w:t>
            </w:r>
          </w:p>
        </w:tc>
      </w:tr>
      <w:tr>
        <w:trPr>
          <w:trHeight w:val="74"/>
        </w:trPr>
        <w:tc>
          <w:tcPr>
            <w:tcW w:w="292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58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640" w:type="dxa"/>
            <w:vAlign w:val="bottom"/>
            <w:shd w:val="clear" w:color="auto" w:fill="CCECFF"/>
          </w:tcPr>
          <w:p>
            <w:pPr>
              <w:spacing w:after="0"/>
              <w:rPr>
                <w:sz w:val="6"/>
                <w:szCs w:val="6"/>
                <w:color w:val="auto"/>
              </w:rPr>
            </w:pPr>
          </w:p>
        </w:tc>
        <w:tc>
          <w:tcPr>
            <w:tcW w:w="280" w:type="dxa"/>
            <w:vAlign w:val="bottom"/>
            <w:shd w:val="clear" w:color="auto" w:fill="CCECFF"/>
          </w:tcPr>
          <w:p>
            <w:pPr>
              <w:spacing w:after="0"/>
              <w:rPr>
                <w:sz w:val="6"/>
                <w:szCs w:val="6"/>
                <w:color w:val="auto"/>
              </w:rPr>
            </w:pPr>
          </w:p>
        </w:tc>
        <w:tc>
          <w:tcPr>
            <w:tcW w:w="90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560" w:type="dxa"/>
            <w:vAlign w:val="bottom"/>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tcBorders>
              <w:bottom w:val="single" w:sz="8" w:color="auto"/>
            </w:tcBorders>
            <w:shd w:val="clear" w:color="auto" w:fill="CCECFF"/>
          </w:tcPr>
          <w:p>
            <w:pPr>
              <w:spacing w:after="0"/>
              <w:rPr>
                <w:sz w:val="6"/>
                <w:szCs w:val="6"/>
                <w:color w:val="auto"/>
              </w:rPr>
            </w:pPr>
          </w:p>
        </w:tc>
        <w:tc>
          <w:tcPr>
            <w:tcW w:w="620" w:type="dxa"/>
            <w:vAlign w:val="bottom"/>
            <w:tcBorders>
              <w:bottom w:val="single" w:sz="8" w:color="auto"/>
            </w:tcBorders>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80" w:type="dxa"/>
            <w:vAlign w:val="bottom"/>
            <w:tcBorders>
              <w:bottom w:val="single" w:sz="8" w:color="auto"/>
            </w:tcBorders>
            <w:shd w:val="clear" w:color="auto" w:fill="CCECFF"/>
          </w:tcPr>
          <w:p>
            <w:pPr>
              <w:spacing w:after="0"/>
              <w:rPr>
                <w:sz w:val="6"/>
                <w:szCs w:val="6"/>
                <w:color w:val="auto"/>
              </w:rPr>
            </w:pPr>
          </w:p>
        </w:tc>
        <w:tc>
          <w:tcPr>
            <w:tcW w:w="640" w:type="dxa"/>
            <w:vAlign w:val="bottom"/>
            <w:tcBorders>
              <w:bottom w:val="single" w:sz="8" w:color="auto"/>
            </w:tcBorders>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317,460,137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322,390,066</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Debt—56.5%</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tcPr>
          <w:p>
            <w:pPr>
              <w:ind w:left="120"/>
              <w:spacing w:after="0"/>
              <w:rPr>
                <w:sz w:val="20"/>
                <w:szCs w:val="20"/>
                <w:color w:val="auto"/>
              </w:rPr>
            </w:pPr>
            <w:r>
              <w:rPr>
                <w:rFonts w:ascii="Arial" w:cs="Arial" w:eastAsia="Arial" w:hAnsi="Arial"/>
                <w:sz w:val="12"/>
                <w:szCs w:val="12"/>
                <w:color w:val="auto"/>
              </w:rPr>
              <w:t>03/04/2022</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13.75%</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28,297,616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Condor Borrower,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04/25/2025</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10.12%</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12,252,319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12,312,500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9.94%</w:t>
            </w:r>
          </w:p>
        </w:tc>
        <w:tc>
          <w:tcPr>
            <w:tcW w:w="900" w:type="dxa"/>
            <w:vAlign w:val="bottom"/>
          </w:tcPr>
          <w:p>
            <w:pPr>
              <w:jc w:val="right"/>
              <w:spacing w:after="0"/>
              <w:rPr>
                <w:sz w:val="20"/>
                <w:szCs w:val="20"/>
                <w:color w:val="auto"/>
              </w:rPr>
            </w:pPr>
            <w:r>
              <w:rPr>
                <w:rFonts w:ascii="Arial" w:cs="Arial" w:eastAsia="Arial" w:hAnsi="Arial"/>
                <w:sz w:val="12"/>
                <w:szCs w:val="12"/>
                <w:color w:val="auto"/>
              </w:rPr>
              <w:t>3M 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23,024,259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22,573,436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22,794,017</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11.70%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43,500,000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42,156,867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41,325,000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5.12%)</w:t>
            </w: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10.94%</w:t>
            </w:r>
          </w:p>
        </w:tc>
        <w:tc>
          <w:tcPr>
            <w:tcW w:w="900" w:type="dxa"/>
            <w:vAlign w:val="bottom"/>
          </w:tcPr>
          <w:p>
            <w:pPr>
              <w:jc w:val="right"/>
              <w:spacing w:after="0"/>
              <w:rPr>
                <w:sz w:val="20"/>
                <w:szCs w:val="20"/>
                <w:color w:val="auto"/>
              </w:rPr>
            </w:pPr>
            <w:r>
              <w:rPr>
                <w:rFonts w:ascii="Arial" w:cs="Arial" w:eastAsia="Arial" w:hAnsi="Arial"/>
                <w:sz w:val="12"/>
                <w:szCs w:val="12"/>
                <w:color w:val="auto"/>
              </w:rPr>
              <w:t>3M 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20,022,599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20,094,000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349,328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11/28/2025</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10.07%</w:t>
            </w:r>
          </w:p>
        </w:tc>
        <w:tc>
          <w:tcPr>
            <w:tcW w:w="900" w:type="dxa"/>
            <w:vAlign w:val="bottom"/>
          </w:tcPr>
          <w:p>
            <w:pPr>
              <w:jc w:val="right"/>
              <w:spacing w:after="0"/>
              <w:rPr>
                <w:sz w:val="20"/>
                <w:szCs w:val="20"/>
                <w:color w:val="auto"/>
              </w:rPr>
            </w:pPr>
            <w:r>
              <w:rPr>
                <w:rFonts w:ascii="Arial" w:cs="Arial" w:eastAsia="Arial" w:hAnsi="Arial"/>
                <w:sz w:val="12"/>
                <w:szCs w:val="12"/>
                <w:color w:val="auto"/>
              </w:rPr>
              <w:t>3M 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22,000,000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21,781,290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21,890,000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11.84%</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26,025,392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13.69%</w:t>
            </w:r>
          </w:p>
        </w:tc>
        <w:tc>
          <w:tcPr>
            <w:tcW w:w="900" w:type="dxa"/>
            <w:vAlign w:val="bottom"/>
          </w:tcPr>
          <w:p>
            <w:pPr>
              <w:jc w:val="right"/>
              <w:spacing w:after="0"/>
              <w:rPr>
                <w:sz w:val="20"/>
                <w:szCs w:val="20"/>
                <w:color w:val="auto"/>
              </w:rPr>
            </w:pPr>
            <w:r>
              <w:rPr>
                <w:rFonts w:ascii="Arial" w:cs="Arial" w:eastAsia="Arial" w:hAnsi="Arial"/>
                <w:sz w:val="12"/>
                <w:szCs w:val="12"/>
                <w:color w:val="auto"/>
              </w:rPr>
              <w:t>3M 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83,322,358</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10/10/2025</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9.57%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5,888,889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5,830,883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5,830,000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10/10/2025</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6,111,111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(61,111)</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10.57%</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42,750,000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42,474,904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42,696,563</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PT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04/12/2023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11.36%</w:t>
            </w:r>
          </w:p>
        </w:tc>
        <w:tc>
          <w:tcPr>
            <w:tcW w:w="900" w:type="dxa"/>
            <w:vAlign w:val="bottom"/>
          </w:tcPr>
          <w:p>
            <w:pPr>
              <w:jc w:val="right"/>
              <w:spacing w:after="0"/>
              <w:rPr>
                <w:sz w:val="20"/>
                <w:szCs w:val="20"/>
                <w:color w:val="auto"/>
              </w:rPr>
            </w:pPr>
            <w:r>
              <w:rPr>
                <w:rFonts w:ascii="Arial" w:cs="Arial" w:eastAsia="Arial" w:hAnsi="Arial"/>
                <w:sz w:val="12"/>
                <w:szCs w:val="12"/>
                <w:color w:val="auto"/>
              </w:rPr>
              <w:t>3M 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41,666,667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40,865,252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40,833,333</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04/12/2023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8,333,333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(166,667)</w:t>
            </w: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10.69%</w:t>
            </w:r>
          </w:p>
        </w:tc>
        <w:tc>
          <w:tcPr>
            <w:tcW w:w="9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6"/>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18,368,715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18,834,375</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357,498,601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365,325,821</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Notes—8.5%</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32,185,324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31,531,909</w:t>
            </w:r>
          </w:p>
        </w:tc>
        <w:tc>
          <w:tcPr>
            <w:tcW w:w="100" w:type="dxa"/>
            <w:vAlign w:val="bottom"/>
            <w:shd w:val="clear" w:color="auto" w:fill="CCECFF"/>
          </w:tcPr>
          <w:p>
            <w:pPr>
              <w:spacing w:after="0"/>
              <w:rPr>
                <w:sz w:val="12"/>
                <w:szCs w:val="12"/>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11,172,756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10,960,756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11,172,756</w:t>
            </w:r>
          </w:p>
        </w:tc>
        <w:tc>
          <w:tcPr>
            <w:tcW w:w="100" w:type="dxa"/>
            <w:vAlign w:val="bottom"/>
          </w:tcPr>
          <w:p>
            <w:pPr>
              <w:spacing w:after="0"/>
              <w:rPr>
                <w:sz w:val="13"/>
                <w:szCs w:val="13"/>
                <w:color w:val="auto"/>
              </w:rPr>
            </w:pPr>
          </w:p>
        </w:tc>
      </w:tr>
      <w:tr>
        <w:trPr>
          <w:trHeight w:val="141"/>
        </w:trPr>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L+1,600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9,388,106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13,643,988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12,414,099</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56,790,068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55,118,764</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Interests—1.0% </w:t>
            </w:r>
            <w:r>
              <w:rPr>
                <w:rFonts w:ascii="Arial" w:cs="Arial" w:eastAsia="Arial" w:hAnsi="Arial"/>
                <w:sz w:val="9"/>
                <w:szCs w:val="9"/>
                <w:b w:val="1"/>
                <w:bCs w:val="1"/>
                <w:color w:val="auto"/>
              </w:rPr>
              <w:t>(6)</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AH Holdings, Inc.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6.00%</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406,023</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1,129,470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(9), (12)</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556,000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64,277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(9), (12)</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2,615,887</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25,264</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Roto Holdings, Inc.</w:t>
            </w:r>
          </w:p>
        </w:tc>
        <w:tc>
          <w:tcPr>
            <w:tcW w:w="90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2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9.00%</w:t>
            </w:r>
          </w:p>
        </w:tc>
        <w:tc>
          <w:tcPr>
            <w:tcW w:w="9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1,572,604</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5,290,171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6,305,248</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Interests/Warrants—8.0% </w:t>
            </w:r>
            <w:r>
              <w:rPr>
                <w:rFonts w:ascii="Arial" w:cs="Arial" w:eastAsia="Arial" w:hAnsi="Arial"/>
                <w:sz w:val="9"/>
                <w:szCs w:val="9"/>
                <w:b w:val="1"/>
                <w:bCs w:val="1"/>
                <w:color w:val="auto"/>
                <w:w w:val="91"/>
              </w:rPr>
              <w:t>(6)</w:t>
            </w:r>
          </w:p>
        </w:tc>
        <w:tc>
          <w:tcPr>
            <w:tcW w:w="960" w:type="dxa"/>
            <w:vAlign w:val="bottom"/>
            <w:tcBorders>
              <w:top w:val="single" w:sz="8" w:color="auto"/>
            </w:tcBorders>
            <w:shd w:val="clear" w:color="auto" w:fill="CCECFF"/>
          </w:tcPr>
          <w:p>
            <w:pPr>
              <w:spacing w:after="0"/>
              <w:rPr>
                <w:sz w:val="12"/>
                <w:szCs w:val="12"/>
                <w:color w:val="auto"/>
              </w:rPr>
            </w:pPr>
          </w:p>
        </w:tc>
        <w:tc>
          <w:tcPr>
            <w:tcW w:w="23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03/23/2021</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05/05/2026</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Education</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1,786,524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Broadcasting and Entertainment</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4,234,459</w:t>
            </w:r>
          </w:p>
        </w:tc>
        <w:tc>
          <w:tcPr>
            <w:tcW w:w="100" w:type="dxa"/>
            <w:vAlign w:val="bottom"/>
          </w:tcPr>
          <w:p>
            <w:pPr>
              <w:spacing w:after="0"/>
              <w:rPr>
                <w:sz w:val="12"/>
                <w:szCs w:val="12"/>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1,281,303</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(Allied America,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4,680,778</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(PT Network, LLC)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1,079,199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5,436,210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966,297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827,695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HW Holdco,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2,732,404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1,641,926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2,918,499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912,291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754,663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9,860,064</w:t>
            </w:r>
          </w:p>
        </w:tc>
        <w:tc>
          <w:tcPr>
            <w:tcW w:w="100" w:type="dxa"/>
            <w:vAlign w:val="bottom"/>
          </w:tcPr>
          <w:p>
            <w:pPr>
              <w:spacing w:after="0"/>
              <w:rPr>
                <w:sz w:val="12"/>
                <w:szCs w:val="12"/>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CECFF"/>
          </w:tcPr>
          <w:p>
            <w:pPr>
              <w:jc w:val="center"/>
              <w:ind w:right="320"/>
              <w:spacing w:after="0"/>
              <w:rPr>
                <w:sz w:val="20"/>
                <w:szCs w:val="20"/>
                <w:color w:val="auto"/>
              </w:rPr>
            </w:pPr>
            <w:r>
              <w:rPr>
                <w:rFonts w:ascii="Arial" w:cs="Arial" w:eastAsia="Arial" w:hAnsi="Arial"/>
                <w:sz w:val="12"/>
                <w:szCs w:val="12"/>
                <w:color w:val="auto"/>
                <w:w w:val="87"/>
              </w:rPr>
              <w:t>Insurance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Roto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2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2,187,210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WBB Equity, LLC (Whitney, Bradley &amp; Brown, Inc.)</w:t>
            </w:r>
          </w:p>
        </w:tc>
        <w:tc>
          <w:tcPr>
            <w:tcW w:w="960" w:type="dxa"/>
            <w:vAlign w:val="bottom"/>
            <w:shd w:val="clear" w:color="auto" w:fill="CCECFF"/>
          </w:tcPr>
          <w:p>
            <w:pPr>
              <w:spacing w:after="0"/>
              <w:rPr>
                <w:sz w:val="12"/>
                <w:szCs w:val="12"/>
                <w:color w:val="auto"/>
              </w:rPr>
            </w:pPr>
          </w:p>
        </w:tc>
        <w:tc>
          <w:tcPr>
            <w:tcW w:w="2500" w:type="dxa"/>
            <w:vAlign w:val="bottom"/>
            <w:gridSpan w:val="2"/>
            <w:shd w:val="clear" w:color="auto" w:fill="CCECFF"/>
          </w:tcPr>
          <w:p>
            <w:pPr>
              <w:jc w:val="center"/>
              <w:ind w:right="32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622,286</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807,788</w:t>
            </w:r>
          </w:p>
        </w:tc>
        <w:tc>
          <w:tcPr>
            <w:tcW w:w="100" w:type="dxa"/>
            <w:vAlign w:val="bottom"/>
          </w:tcPr>
          <w:p>
            <w:pPr>
              <w:spacing w:after="0"/>
              <w:rPr>
                <w:sz w:val="13"/>
                <w:szCs w:val="13"/>
                <w:color w:val="auto"/>
              </w:rPr>
            </w:pPr>
          </w:p>
        </w:tc>
      </w:tr>
      <w:tr>
        <w:trPr>
          <w:trHeight w:val="142"/>
        </w:trPr>
        <w:tc>
          <w:tcPr>
            <w:tcW w:w="300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960" w:type="dxa"/>
            <w:vAlign w:val="bottom"/>
            <w:tcBorders>
              <w:bottom w:val="single" w:sz="8" w:color="CCECFF"/>
            </w:tcBorders>
          </w:tcPr>
          <w:p>
            <w:pPr>
              <w:spacing w:after="0"/>
              <w:rPr>
                <w:sz w:val="12"/>
                <w:szCs w:val="12"/>
                <w:color w:val="auto"/>
              </w:rPr>
            </w:pPr>
          </w:p>
        </w:tc>
        <w:tc>
          <w:tcPr>
            <w:tcW w:w="23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37,032,431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51,883,118</w:t>
            </w:r>
          </w:p>
        </w:tc>
        <w:tc>
          <w:tcPr>
            <w:tcW w:w="100" w:type="dxa"/>
            <w:vAlign w:val="bottom"/>
            <w:shd w:val="clear" w:color="auto" w:fill="CCECFF"/>
          </w:tcPr>
          <w:p>
            <w:pPr>
              <w:spacing w:after="0"/>
              <w:rPr>
                <w:sz w:val="12"/>
                <w:szCs w:val="12"/>
                <w:color w:val="auto"/>
              </w:rPr>
            </w:pPr>
          </w:p>
        </w:tc>
      </w:tr>
      <w:tr>
        <w:trPr>
          <w:trHeight w:val="142"/>
        </w:trPr>
        <w:tc>
          <w:tcPr>
            <w:tcW w:w="39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3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774,071,408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801,023,017</w:t>
            </w:r>
          </w:p>
        </w:tc>
        <w:tc>
          <w:tcPr>
            <w:tcW w:w="100" w:type="dxa"/>
            <w:vAlign w:val="bottom"/>
            <w:tcBorders>
              <w:bottom w:val="single" w:sz="8" w:color="CCECFF"/>
            </w:tcBorders>
          </w:tcPr>
          <w:p>
            <w:pPr>
              <w:spacing w:after="0"/>
              <w:rPr>
                <w:sz w:val="12"/>
                <w:szCs w:val="12"/>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Companies—29.8% </w:t>
            </w:r>
            <w:r>
              <w:rPr>
                <w:rFonts w:ascii="Arial" w:cs="Arial" w:eastAsia="Arial" w:hAnsi="Arial"/>
                <w:sz w:val="9"/>
                <w:szCs w:val="9"/>
                <w:b w:val="1"/>
                <w:bCs w:val="1"/>
                <w:color w:val="auto"/>
                <w:w w:val="91"/>
              </w:rPr>
              <w:t>(1), (2)</w:t>
            </w: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Debt—9.8%</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American Gilsonite Company</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12/31/2021</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Diversified Natural Resources,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3,173,709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3,680,987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Corfin Industries LLC</w:t>
            </w:r>
          </w:p>
        </w:tc>
        <w:tc>
          <w:tcPr>
            <w:tcW w:w="960" w:type="dxa"/>
            <w:vAlign w:val="bottom"/>
          </w:tcPr>
          <w:p>
            <w:pPr>
              <w:ind w:left="20"/>
              <w:spacing w:after="0"/>
              <w:rPr>
                <w:sz w:val="20"/>
                <w:szCs w:val="20"/>
                <w:color w:val="auto"/>
              </w:rPr>
            </w:pPr>
            <w:r>
              <w:rPr>
                <w:rFonts w:ascii="Arial" w:cs="Arial" w:eastAsia="Arial" w:hAnsi="Arial"/>
                <w:sz w:val="12"/>
                <w:szCs w:val="12"/>
                <w:color w:val="auto"/>
              </w:rPr>
              <w:t>11/25/2020</w:t>
            </w:r>
          </w:p>
        </w:tc>
        <w:tc>
          <w:tcPr>
            <w:tcW w:w="2500" w:type="dxa"/>
            <w:vAlign w:val="bottom"/>
            <w:gridSpan w:val="2"/>
          </w:tcPr>
          <w:p>
            <w:pPr>
              <w:jc w:val="center"/>
              <w:ind w:right="32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L+975</w:t>
            </w:r>
          </w:p>
        </w:tc>
        <w:tc>
          <w:tcPr>
            <w:tcW w:w="660" w:type="dxa"/>
            <w:vAlign w:val="bottom"/>
          </w:tcPr>
          <w:p>
            <w:pPr>
              <w:jc w:val="right"/>
              <w:spacing w:after="0"/>
              <w:rPr>
                <w:sz w:val="20"/>
                <w:szCs w:val="20"/>
                <w:color w:val="auto"/>
              </w:rPr>
            </w:pPr>
            <w:r>
              <w:rPr>
                <w:rFonts w:ascii="Arial" w:cs="Arial" w:eastAsia="Arial" w:hAnsi="Arial"/>
                <w:sz w:val="12"/>
                <w:szCs w:val="12"/>
                <w:color w:val="auto"/>
              </w:rPr>
              <w:t>22,210,332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21,923,817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22,210,332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11/25/2020</w:t>
            </w:r>
          </w:p>
        </w:tc>
        <w:tc>
          <w:tcPr>
            <w:tcW w:w="2500" w:type="dxa"/>
            <w:vAlign w:val="bottom"/>
            <w:gridSpan w:val="2"/>
            <w:shd w:val="clear" w:color="auto" w:fill="CCECFF"/>
          </w:tcPr>
          <w:p>
            <w:pPr>
              <w:jc w:val="center"/>
              <w:ind w:right="32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TRAK Acquisition Corp.</w:t>
            </w:r>
          </w:p>
        </w:tc>
        <w:tc>
          <w:tcPr>
            <w:tcW w:w="960" w:type="dxa"/>
            <w:vAlign w:val="bottom"/>
          </w:tcPr>
          <w:p>
            <w:pPr>
              <w:ind w:left="20"/>
              <w:spacing w:after="0"/>
              <w:rPr>
                <w:sz w:val="20"/>
                <w:szCs w:val="20"/>
                <w:color w:val="auto"/>
              </w:rPr>
            </w:pPr>
            <w:r>
              <w:rPr>
                <w:rFonts w:ascii="Arial" w:cs="Arial" w:eastAsia="Arial" w:hAnsi="Arial"/>
                <w:sz w:val="12"/>
                <w:szCs w:val="12"/>
                <w:color w:val="auto"/>
              </w:rPr>
              <w:t>04/30/2018</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12.19%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L+1,050</w:t>
            </w:r>
          </w:p>
        </w:tc>
        <w:tc>
          <w:tcPr>
            <w:tcW w:w="660" w:type="dxa"/>
            <w:vAlign w:val="bottom"/>
          </w:tcPr>
          <w:p>
            <w:pPr>
              <w:jc w:val="right"/>
              <w:spacing w:after="0"/>
              <w:rPr>
                <w:sz w:val="20"/>
                <w:szCs w:val="20"/>
                <w:color w:val="auto"/>
              </w:rPr>
            </w:pPr>
            <w:r>
              <w:rPr>
                <w:rFonts w:ascii="Arial" w:cs="Arial" w:eastAsia="Arial" w:hAnsi="Arial"/>
                <w:sz w:val="12"/>
                <w:szCs w:val="12"/>
                <w:color w:val="auto"/>
              </w:rPr>
              <w:t>20,764,911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20,729,297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20,764,911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 (Revolver)</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04/30/2018</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12.07%</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L+1,100</w:t>
            </w:r>
          </w:p>
        </w:tc>
        <w:tc>
          <w:tcPr>
            <w:tcW w:w="660" w:type="dxa"/>
            <w:vAlign w:val="bottom"/>
          </w:tcPr>
          <w:p>
            <w:pPr>
              <w:jc w:val="right"/>
              <w:spacing w:after="0"/>
              <w:rPr>
                <w:sz w:val="20"/>
                <w:szCs w:val="20"/>
                <w:color w:val="auto"/>
              </w:rPr>
            </w:pPr>
            <w:r>
              <w:rPr>
                <w:rFonts w:ascii="Arial" w:cs="Arial" w:eastAsia="Arial" w:hAnsi="Arial"/>
                <w:sz w:val="12"/>
                <w:szCs w:val="12"/>
                <w:color w:val="auto"/>
              </w:rPr>
              <w:t>9,942,386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9,868,145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9,942,386</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12.35%)</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top w:val="single" w:sz="8" w:color="CCECFF"/>
            </w:tcBorders>
            <w:shd w:val="clear" w:color="auto" w:fill="CCECFF"/>
          </w:tcPr>
          <w:p>
            <w:pPr>
              <w:spacing w:after="0"/>
              <w:rPr>
                <w:sz w:val="12"/>
                <w:szCs w:val="12"/>
                <w:color w:val="auto"/>
              </w:rPr>
            </w:pPr>
          </w:p>
        </w:tc>
        <w:tc>
          <w:tcPr>
            <w:tcW w:w="23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62,375,496</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63,279,144</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Debt—1.6%</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12/23/2019</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9.69%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4,836,780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Tranche A</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960" w:type="dxa"/>
            <w:vAlign w:val="bottom"/>
          </w:tcPr>
          <w:p>
            <w:pPr>
              <w:ind w:left="20"/>
              <w:spacing w:after="0"/>
              <w:rPr>
                <w:sz w:val="20"/>
                <w:szCs w:val="20"/>
                <w:color w:val="auto"/>
              </w:rPr>
            </w:pPr>
            <w:r>
              <w:rPr>
                <w:rFonts w:ascii="Arial" w:cs="Arial" w:eastAsia="Arial" w:hAnsi="Arial"/>
                <w:sz w:val="12"/>
                <w:szCs w:val="12"/>
                <w:color w:val="auto"/>
              </w:rPr>
              <w:t>08/03/2020</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9.69%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4,771,363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4,750,868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4,771,363</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Tranche B</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9.69%)</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10/10/2023</w:t>
            </w: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9.36%</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678,428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653,171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678,428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Tranche C</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9.36%)</w:t>
            </w: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960" w:type="dxa"/>
            <w:vAlign w:val="bottom"/>
          </w:tcPr>
          <w:p>
            <w:pPr>
              <w:ind w:left="20"/>
              <w:spacing w:after="0"/>
              <w:rPr>
                <w:sz w:val="20"/>
                <w:szCs w:val="20"/>
                <w:color w:val="auto"/>
              </w:rPr>
            </w:pPr>
            <w:r>
              <w:rPr>
                <w:rFonts w:ascii="Arial" w:cs="Arial" w:eastAsia="Arial" w:hAnsi="Arial"/>
                <w:sz w:val="12"/>
                <w:szCs w:val="12"/>
                <w:color w:val="auto"/>
              </w:rPr>
              <w:t>10/10/2023</w:t>
            </w: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182,124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Tranche C </w:t>
            </w:r>
            <w:r>
              <w:rPr>
                <w:rFonts w:ascii="Arial" w:cs="Arial" w:eastAsia="Arial" w:hAnsi="Arial"/>
                <w:sz w:val="9"/>
                <w:szCs w:val="9"/>
                <w:color w:val="auto"/>
              </w:rPr>
              <w:t>(8)</w:t>
            </w:r>
          </w:p>
        </w:tc>
        <w:tc>
          <w:tcPr>
            <w:tcW w:w="960" w:type="dxa"/>
            <w:vAlign w:val="bottom"/>
            <w:tcBorders>
              <w:bottom w:val="single" w:sz="8" w:color="CCECFF"/>
            </w:tcBorders>
          </w:tcPr>
          <w:p>
            <w:pPr>
              <w:spacing w:after="0"/>
              <w:rPr>
                <w:sz w:val="12"/>
                <w:szCs w:val="12"/>
                <w:color w:val="auto"/>
              </w:rPr>
            </w:pPr>
          </w:p>
        </w:tc>
        <w:tc>
          <w:tcPr>
            <w:tcW w:w="23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10,240,819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10,306,431</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Notes—8.1%</w:t>
            </w: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12/31/2021</w:t>
            </w: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Diversified Natural Resources,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17.00%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10,798,023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5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Precious Metals and Minerals</w:t>
            </w: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10.37%)</w:t>
            </w: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960" w:type="dxa"/>
            <w:vAlign w:val="bottom"/>
          </w:tcPr>
          <w:p>
            <w:pPr>
              <w:ind w:left="20"/>
              <w:spacing w:after="0"/>
              <w:rPr>
                <w:sz w:val="20"/>
                <w:szCs w:val="20"/>
                <w:color w:val="auto"/>
              </w:rPr>
            </w:pPr>
            <w:r>
              <w:rPr>
                <w:rFonts w:ascii="Arial" w:cs="Arial" w:eastAsia="Arial" w:hAnsi="Arial"/>
                <w:sz w:val="12"/>
                <w:szCs w:val="12"/>
                <w:color w:val="auto"/>
              </w:rPr>
              <w:t>05/03/2021</w:t>
            </w:r>
          </w:p>
        </w:tc>
        <w:tc>
          <w:tcPr>
            <w:tcW w:w="25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Oil and Gas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29,505,314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37,726,511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41,307,441</w:t>
            </w:r>
          </w:p>
        </w:tc>
        <w:tc>
          <w:tcPr>
            <w:tcW w:w="100" w:type="dxa"/>
            <w:vAlign w:val="bottom"/>
          </w:tcPr>
          <w:p>
            <w:pPr>
              <w:spacing w:after="0"/>
              <w:rPr>
                <w:sz w:val="13"/>
                <w:szCs w:val="13"/>
                <w:color w:val="auto"/>
              </w:rPr>
            </w:pPr>
          </w:p>
        </w:tc>
      </w:tr>
      <w:tr>
        <w:trPr>
          <w:trHeight w:val="142"/>
        </w:trPr>
        <w:tc>
          <w:tcPr>
            <w:tcW w:w="300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spacing w:after="0"/>
              <w:rPr>
                <w:sz w:val="12"/>
                <w:szCs w:val="12"/>
                <w:color w:val="auto"/>
              </w:rPr>
            </w:pPr>
          </w:p>
        </w:tc>
        <w:tc>
          <w:tcPr>
            <w:tcW w:w="23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(PIK 12.50%)</w:t>
            </w: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6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47,454,459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52,105,464</w:t>
            </w:r>
          </w:p>
        </w:tc>
        <w:tc>
          <w:tcPr>
            <w:tcW w:w="100" w:type="dxa"/>
            <w:vAlign w:val="bottom"/>
            <w:shd w:val="clear" w:color="auto" w:fill="CCECFF"/>
          </w:tcPr>
          <w:p>
            <w:pPr>
              <w:spacing w:after="0"/>
              <w:rPr>
                <w:sz w:val="12"/>
                <w:szCs w:val="12"/>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72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7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Interests/Warrants—10.3% </w:t>
            </w:r>
            <w:r>
              <w:rPr>
                <w:rFonts w:ascii="Arial" w:cs="Arial" w:eastAsia="Arial" w:hAnsi="Arial"/>
                <w:sz w:val="9"/>
                <w:szCs w:val="9"/>
                <w:b w:val="1"/>
                <w:bCs w:val="1"/>
                <w:color w:val="auto"/>
                <w:w w:val="91"/>
              </w:rPr>
              <w:t>(6)</w:t>
            </w:r>
          </w:p>
        </w:tc>
        <w:tc>
          <w:tcPr>
            <w:tcW w:w="740" w:type="dxa"/>
            <w:vAlign w:val="bottom"/>
            <w:tcBorders>
              <w:top w:val="single" w:sz="8" w:color="auto"/>
            </w:tcBorders>
            <w:shd w:val="clear" w:color="auto" w:fill="CCECFF"/>
          </w:tcPr>
          <w:p>
            <w:pPr>
              <w:spacing w:after="0"/>
              <w:rPr>
                <w:sz w:val="12"/>
                <w:szCs w:val="12"/>
                <w:color w:val="auto"/>
              </w:rPr>
            </w:pPr>
          </w:p>
        </w:tc>
        <w:tc>
          <w:tcPr>
            <w:tcW w:w="272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859,496</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30,503,493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16,748,845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43,349</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ind w:right="2"/>
              <w:spacing w:after="0"/>
              <w:rPr>
                <w:sz w:val="20"/>
                <w:szCs w:val="20"/>
                <w:color w:val="auto"/>
              </w:rPr>
            </w:pPr>
            <w:r>
              <w:rPr>
                <w:rFonts w:ascii="Arial" w:cs="Arial" w:eastAsia="Arial" w:hAnsi="Arial"/>
                <w:sz w:val="12"/>
                <w:szCs w:val="12"/>
                <w:color w:val="auto"/>
                <w:w w:val="88"/>
              </w:rPr>
              <w:t>Diversified Natural Resources, Precious Metals and</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25,400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9,173,757</w:t>
            </w:r>
          </w:p>
        </w:tc>
        <w:tc>
          <w:tcPr>
            <w:tcW w:w="100" w:type="dxa"/>
            <w:vAlign w:val="bottom"/>
          </w:tcPr>
          <w:p>
            <w:pPr>
              <w:spacing w:after="0"/>
              <w:rPr>
                <w:sz w:val="12"/>
                <w:szCs w:val="12"/>
                <w:color w:val="auto"/>
              </w:rPr>
            </w:pPr>
          </w:p>
        </w:tc>
      </w:tr>
      <w:tr>
        <w:trPr>
          <w:trHeight w:val="141"/>
        </w:trPr>
        <w:tc>
          <w:tcPr>
            <w:tcW w:w="3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2"/>
                <w:szCs w:val="12"/>
                <w:color w:val="auto"/>
                <w:w w:val="88"/>
              </w:rPr>
              <w:t>Minerals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5"/>
              </w:rPr>
              <w:t>Aerospace and Defense</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4,128,814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ind w:right="2"/>
              <w:spacing w:after="0"/>
              <w:rPr>
                <w:sz w:val="20"/>
                <w:szCs w:val="20"/>
                <w:color w:val="auto"/>
              </w:rPr>
            </w:pPr>
            <w:r>
              <w:rPr>
                <w:rFonts w:ascii="Arial" w:cs="Arial" w:eastAsia="Arial" w:hAnsi="Arial"/>
                <w:sz w:val="12"/>
                <w:szCs w:val="12"/>
                <w:color w:val="auto"/>
                <w:w w:val="85"/>
              </w:rPr>
              <w:t>Aerospace and Defense</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Environmental Services</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16,787,547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113,610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2,740,605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144,259</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TRAK Acquisition Corp.</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491,755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6,780,758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9,905,622</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74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66,533,382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66,453,556</w:t>
            </w:r>
          </w:p>
        </w:tc>
        <w:tc>
          <w:tcPr>
            <w:tcW w:w="100" w:type="dxa"/>
            <w:vAlign w:val="bottom"/>
            <w:tcBorders>
              <w:bottom w:val="single" w:sz="8" w:color="CCECFF"/>
            </w:tcBorders>
          </w:tcPr>
          <w:p>
            <w:pPr>
              <w:spacing w:after="0"/>
              <w:rPr>
                <w:sz w:val="12"/>
                <w:szCs w:val="12"/>
                <w:color w:val="auto"/>
              </w:rPr>
            </w:pPr>
          </w:p>
        </w:tc>
      </w:tr>
      <w:tr>
        <w:trPr>
          <w:trHeight w:val="142"/>
        </w:trPr>
        <w:tc>
          <w:tcPr>
            <w:tcW w:w="37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Total Investments in Non-Controlled, Affiliated Portfolio Companies</w:t>
            </w: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186,604,156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192,144,595</w:t>
            </w:r>
          </w:p>
        </w:tc>
        <w:tc>
          <w:tcPr>
            <w:tcW w:w="100" w:type="dxa"/>
            <w:vAlign w:val="bottom"/>
            <w:shd w:val="clear" w:color="auto" w:fill="CCECFF"/>
          </w:tcPr>
          <w:p>
            <w:pPr>
              <w:spacing w:after="0"/>
              <w:rPr>
                <w:sz w:val="12"/>
                <w:szCs w:val="12"/>
                <w:color w:val="auto"/>
              </w:rPr>
            </w:pPr>
          </w:p>
        </w:tc>
      </w:tr>
      <w:tr>
        <w:trPr>
          <w:trHeight w:val="142"/>
        </w:trPr>
        <w:tc>
          <w:tcPr>
            <w:tcW w:w="3780" w:type="dxa"/>
            <w:vAlign w:val="bottom"/>
            <w:gridSpan w:val="2"/>
          </w:tcPr>
          <w:p>
            <w:pPr>
              <w:spacing w:after="0"/>
              <w:rPr>
                <w:sz w:val="20"/>
                <w:szCs w:val="20"/>
                <w:color w:val="auto"/>
              </w:rPr>
            </w:pPr>
            <w:r>
              <w:rPr>
                <w:rFonts w:ascii="Arial" w:cs="Arial" w:eastAsia="Arial" w:hAnsi="Arial"/>
                <w:sz w:val="12"/>
                <w:szCs w:val="12"/>
                <w:b w:val="1"/>
                <w:bCs w:val="1"/>
                <w:color w:val="auto"/>
                <w:w w:val="93"/>
              </w:rPr>
              <w:t xml:space="preserve">Investments in Controlled, Affiliated Portfolio Companies—16.6% </w:t>
            </w:r>
            <w:r>
              <w:rPr>
                <w:rFonts w:ascii="Arial" w:cs="Arial" w:eastAsia="Arial" w:hAnsi="Arial"/>
                <w:sz w:val="9"/>
                <w:szCs w:val="9"/>
                <w:b w:val="1"/>
                <w:bCs w:val="1"/>
                <w:color w:val="auto"/>
                <w:w w:val="93"/>
              </w:rPr>
              <w:t>(1), (2)</w:t>
            </w: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Debt—9.2%</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RAM Energy LLC</w:t>
            </w:r>
          </w:p>
        </w:tc>
        <w:tc>
          <w:tcPr>
            <w:tcW w:w="740" w:type="dxa"/>
            <w:vAlign w:val="bottom"/>
          </w:tcPr>
          <w:p>
            <w:pPr>
              <w:ind w:left="20"/>
              <w:spacing w:after="0"/>
              <w:rPr>
                <w:sz w:val="20"/>
                <w:szCs w:val="20"/>
                <w:color w:val="auto"/>
              </w:rPr>
            </w:pPr>
            <w:r>
              <w:rPr>
                <w:rFonts w:ascii="Arial" w:cs="Arial" w:eastAsia="Arial" w:hAnsi="Arial"/>
                <w:sz w:val="12"/>
                <w:szCs w:val="12"/>
                <w:color w:val="auto"/>
              </w:rPr>
              <w:t>07/01/2022</w:t>
            </w:r>
          </w:p>
        </w:tc>
        <w:tc>
          <w:tcPr>
            <w:tcW w:w="272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35,350,000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35,350,000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35,350,000</w:t>
            </w:r>
          </w:p>
        </w:tc>
        <w:tc>
          <w:tcPr>
            <w:tcW w:w="10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gridSpan w:val="2"/>
          </w:tcPr>
          <w:p>
            <w:pPr>
              <w:ind w:left="240"/>
              <w:spacing w:after="0"/>
              <w:rPr>
                <w:sz w:val="20"/>
                <w:szCs w:val="20"/>
                <w:color w:val="auto"/>
              </w:rPr>
            </w:pPr>
            <w:r>
              <w:rPr>
                <w:rFonts w:ascii="Arial" w:cs="Arial" w:eastAsia="Arial" w:hAnsi="Arial"/>
                <w:sz w:val="12"/>
                <w:szCs w:val="12"/>
                <w:color w:val="auto"/>
                <w:w w:val="95"/>
              </w:rPr>
              <w:t>(PIK 4.00%)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740" w:type="dxa"/>
            <w:vAlign w:val="bottom"/>
            <w:shd w:val="clear" w:color="auto" w:fill="CCECFF"/>
          </w:tcPr>
          <w:p>
            <w:pPr>
              <w:ind w:left="20"/>
              <w:spacing w:after="0"/>
              <w:rPr>
                <w:sz w:val="20"/>
                <w:szCs w:val="20"/>
                <w:color w:val="auto"/>
              </w:rPr>
            </w:pPr>
            <w:r>
              <w:rPr>
                <w:rFonts w:ascii="Arial" w:cs="Arial" w:eastAsia="Arial" w:hAnsi="Arial"/>
                <w:sz w:val="12"/>
                <w:szCs w:val="12"/>
                <w:color w:val="auto"/>
              </w:rPr>
              <w:t>12/31/2018</w:t>
            </w:r>
          </w:p>
        </w:tc>
        <w:tc>
          <w:tcPr>
            <w:tcW w:w="27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L+900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30,176,453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29,138,450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23,833,333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880" w:type="dxa"/>
            <w:vAlign w:val="bottom"/>
            <w:gridSpan w:val="2"/>
            <w:shd w:val="clear" w:color="auto" w:fill="CCECFF"/>
          </w:tcPr>
          <w:p>
            <w:pPr>
              <w:ind w:left="180"/>
              <w:spacing w:after="0"/>
              <w:rPr>
                <w:sz w:val="20"/>
                <w:szCs w:val="20"/>
                <w:color w:val="auto"/>
              </w:rPr>
            </w:pPr>
            <w:r>
              <w:rPr>
                <w:rFonts w:ascii="Arial" w:cs="Arial" w:eastAsia="Arial" w:hAnsi="Arial"/>
                <w:sz w:val="12"/>
                <w:szCs w:val="12"/>
                <w:color w:val="auto"/>
                <w:w w:val="95"/>
              </w:rPr>
              <w:t>(PIK 10.30%)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74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64,488,450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59,183,333</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Equity—2.1% </w:t>
            </w:r>
            <w:r>
              <w:rPr>
                <w:rFonts w:ascii="Arial" w:cs="Arial" w:eastAsia="Arial" w:hAnsi="Arial"/>
                <w:sz w:val="9"/>
                <w:szCs w:val="9"/>
                <w:b w:val="1"/>
                <w:bCs w:val="1"/>
                <w:color w:val="auto"/>
              </w:rPr>
              <w:t>(6)</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13,506,781</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541,280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20,081,027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79"/>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74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35,473,215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13,506,781</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Equity—5.3% </w:t>
            </w:r>
            <w:r>
              <w:rPr>
                <w:rFonts w:ascii="Arial" w:cs="Arial" w:eastAsia="Arial" w:hAnsi="Arial"/>
                <w:sz w:val="9"/>
                <w:szCs w:val="9"/>
                <w:b w:val="1"/>
                <w:bCs w:val="1"/>
                <w:color w:val="auto"/>
              </w:rPr>
              <w:t>(6)</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74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7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8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34,763,330</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p>
        </w:tc>
        <w:tc>
          <w:tcPr>
            <w:tcW w:w="2720" w:type="dxa"/>
            <w:vAlign w:val="bottom"/>
          </w:tcPr>
          <w:p>
            <w:pPr>
              <w:jc w:val="center"/>
              <w:ind w:right="2"/>
              <w:spacing w:after="0"/>
              <w:rPr>
                <w:sz w:val="20"/>
                <w:szCs w:val="20"/>
                <w:color w:val="auto"/>
              </w:rPr>
            </w:pPr>
            <w:r>
              <w:rPr>
                <w:rFonts w:ascii="Arial" w:cs="Arial" w:eastAsia="Arial" w:hAnsi="Arial"/>
                <w:sz w:val="12"/>
                <w:szCs w:val="12"/>
                <w:color w:val="auto"/>
                <w:w w:val="91"/>
              </w:rPr>
              <w:t>Media</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t>
            </w:r>
          </w:p>
        </w:tc>
        <w:tc>
          <w:tcPr>
            <w:tcW w:w="740" w:type="dxa"/>
            <w:vAlign w:val="bottom"/>
            <w:tcBorders>
              <w:top w:val="single" w:sz="8" w:color="CCECFF"/>
            </w:tcBorders>
            <w:shd w:val="clear" w:color="auto" w:fill="CCECFF"/>
          </w:tcPr>
          <w:p>
            <w:pPr>
              <w:spacing w:after="0"/>
              <w:rPr>
                <w:sz w:val="12"/>
                <w:szCs w:val="12"/>
                <w:color w:val="auto"/>
              </w:rPr>
            </w:pPr>
          </w:p>
        </w:tc>
        <w:tc>
          <w:tcPr>
            <w:tcW w:w="272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34,763,330</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7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7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203,199,235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107,453,444</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Investments—170.3%</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1,163,874,799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1,100,621,056</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Cash and Cash Equivalents—11.3%</w:t>
            </w: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21,487,041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21,487,041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 Reserve and Cash</w:t>
            </w:r>
          </w:p>
        </w:tc>
        <w:tc>
          <w:tcPr>
            <w:tcW w:w="74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51,294,051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51,345,634</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740" w:type="dxa"/>
            <w:vAlign w:val="bottom"/>
            <w:shd w:val="clear" w:color="auto" w:fill="CCECFF"/>
          </w:tcPr>
          <w:p>
            <w:pPr>
              <w:spacing w:after="0"/>
              <w:rPr>
                <w:sz w:val="12"/>
                <w:szCs w:val="12"/>
                <w:color w:val="auto"/>
              </w:rPr>
            </w:pPr>
          </w:p>
        </w:tc>
        <w:tc>
          <w:tcPr>
            <w:tcW w:w="27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72,781,092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72,832,675</w:t>
            </w:r>
          </w:p>
        </w:tc>
        <w:tc>
          <w:tcPr>
            <w:tcW w:w="100" w:type="dxa"/>
            <w:vAlign w:val="bottom"/>
            <w:shd w:val="clear" w:color="auto" w:fill="CCECFF"/>
          </w:tcPr>
          <w:p>
            <w:pPr>
              <w:spacing w:after="0"/>
              <w:rPr>
                <w:sz w:val="12"/>
                <w:szCs w:val="12"/>
                <w:color w:val="auto"/>
              </w:rPr>
            </w:pPr>
          </w:p>
        </w:tc>
      </w:tr>
      <w:tr>
        <w:trPr>
          <w:trHeight w:val="182"/>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Investments and Cash Equivalents—181.6%</w:t>
            </w:r>
          </w:p>
        </w:tc>
        <w:tc>
          <w:tcPr>
            <w:tcW w:w="7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w w:val="88"/>
              </w:rPr>
              <w:t>1,236,655,891</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w w:val="88"/>
              </w:rPr>
              <w:t>1,173,453,731</w:t>
            </w:r>
          </w:p>
        </w:tc>
        <w:tc>
          <w:tcPr>
            <w:tcW w:w="100" w:type="dxa"/>
            <w:vAlign w:val="bottom"/>
          </w:tcPr>
          <w:p>
            <w:pPr>
              <w:spacing w:after="0"/>
              <w:rPr>
                <w:sz w:val="15"/>
                <w:szCs w:val="15"/>
                <w:color w:val="auto"/>
              </w:rPr>
            </w:pPr>
          </w:p>
        </w:tc>
      </w:tr>
      <w:tr>
        <w:trPr>
          <w:trHeight w:val="129"/>
        </w:trPr>
        <w:tc>
          <w:tcPr>
            <w:tcW w:w="3040" w:type="dxa"/>
            <w:vAlign w:val="bottom"/>
            <w:tcBorders>
              <w:top w:val="single" w:sz="8" w:color="CCECFF"/>
            </w:tcBorders>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Assets—(81.6%)</w:t>
            </w:r>
          </w:p>
        </w:tc>
        <w:tc>
          <w:tcPr>
            <w:tcW w:w="740" w:type="dxa"/>
            <w:vAlign w:val="bottom"/>
            <w:tcBorders>
              <w:top w:val="single" w:sz="8" w:color="CCECFF"/>
            </w:tcBorders>
            <w:shd w:val="clear" w:color="auto" w:fill="CCECFF"/>
          </w:tcPr>
          <w:p>
            <w:pPr>
              <w:spacing w:after="0"/>
              <w:rPr>
                <w:sz w:val="11"/>
                <w:szCs w:val="11"/>
                <w:color w:val="auto"/>
              </w:rPr>
            </w:pPr>
          </w:p>
        </w:tc>
        <w:tc>
          <w:tcPr>
            <w:tcW w:w="2720" w:type="dxa"/>
            <w:vAlign w:val="bottom"/>
            <w:tcBorders>
              <w:top w:val="single" w:sz="8" w:color="CCECFF"/>
            </w:tcBorders>
            <w:shd w:val="clear" w:color="auto" w:fill="CCECFF"/>
          </w:tcPr>
          <w:p>
            <w:pPr>
              <w:spacing w:after="0"/>
              <w:rPr>
                <w:sz w:val="11"/>
                <w:szCs w:val="11"/>
                <w:color w:val="auto"/>
              </w:rPr>
            </w:pPr>
          </w:p>
        </w:tc>
        <w:tc>
          <w:tcPr>
            <w:tcW w:w="720" w:type="dxa"/>
            <w:vAlign w:val="bottom"/>
            <w:tcBorders>
              <w:top w:val="single" w:sz="8" w:color="CCECFF"/>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8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80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line="129" w:lineRule="exact"/>
              <w:rPr>
                <w:sz w:val="20"/>
                <w:szCs w:val="20"/>
                <w:color w:val="auto"/>
              </w:rPr>
            </w:pPr>
            <w:r>
              <w:rPr>
                <w:rFonts w:ascii="Arial" w:cs="Arial" w:eastAsia="Arial" w:hAnsi="Arial"/>
                <w:sz w:val="12"/>
                <w:szCs w:val="12"/>
                <w:color w:val="auto"/>
                <w:w w:val="96"/>
              </w:rPr>
              <w:t>(527,140,813</w:t>
            </w:r>
          </w:p>
        </w:tc>
        <w:tc>
          <w:tcPr>
            <w:tcW w:w="100" w:type="dxa"/>
            <w:vAlign w:val="bottom"/>
            <w:tcBorders>
              <w:top w:val="single" w:sz="8" w:color="CCECFF"/>
            </w:tcBorders>
            <w:shd w:val="clear" w:color="auto" w:fill="CCECFF"/>
          </w:tcPr>
          <w:p>
            <w:pPr>
              <w:jc w:val="right"/>
              <w:ind w:right="19"/>
              <w:spacing w:after="0"/>
              <w:rPr>
                <w:sz w:val="20"/>
                <w:szCs w:val="20"/>
                <w:color w:val="auto"/>
              </w:rPr>
            </w:pPr>
            <w:r>
              <w:rPr>
                <w:rFonts w:ascii="Arial" w:cs="Arial" w:eastAsia="Arial" w:hAnsi="Arial"/>
                <w:sz w:val="8"/>
                <w:szCs w:val="8"/>
                <w:color w:val="auto"/>
                <w:w w:val="73"/>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7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646,312,918</w:t>
            </w:r>
          </w:p>
        </w:tc>
        <w:tc>
          <w:tcPr>
            <w:tcW w:w="10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2017, qualifying assets represent 83% of the Company’s total assets and non-qualifying assets represent 17%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Companies—131.3%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Debt—52.8%</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7,362,571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8.32%</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19,557,525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19,551,000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8.83%</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19,573,919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19,773,923</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8,723,735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8,593,867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23,538,688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22,997,008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23,538,687</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9,814,043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19,605,736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(80,000)</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22,010,693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22,219,312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9,806,795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24,470,390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24,323,542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24,470,390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13,836,409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14,083,875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14,290,133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14,111,098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15,953,520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14,184,265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17,155,691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30,150,294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31,228,529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35,821,926</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24,797,823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24,446,831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24,673,834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16,890,936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27,246,877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22,817,525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8,135,859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339,371,046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341,489,005</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Debt—60.3%</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38,164,636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39,576,000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28,288,480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9.58%</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34,790,399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34,790,000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41,491,290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41,220,000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10.58%</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20,011,940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19,992,000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334,401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33,633,877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33,900,000</w:t>
            </w:r>
          </w:p>
        </w:tc>
        <w:tc>
          <w:tcPr>
            <w:tcW w:w="100" w:type="dxa"/>
            <w:vAlign w:val="bottom"/>
          </w:tcPr>
          <w:p>
            <w:pPr>
              <w:spacing w:after="0"/>
              <w:rPr>
                <w:sz w:val="12"/>
                <w:szCs w:val="12"/>
                <w:color w:val="auto"/>
              </w:rPr>
            </w:pP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(f/k/a Harbortouch Payments, LLC)</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26,004,601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13.24%</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83,295,634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62,291,419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18,351,647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18,646,031</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379,862,690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390,026,431</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32,158,389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31,940,353</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11,151,903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10,939,903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11,151,903</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L+1,600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9,112,485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13,280,807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12,225,783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13,055,456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69,434,555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68,618,039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327,380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2,552,034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1,537,236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5,586,012</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Interests/Warrants—6.7% </w:t>
            </w:r>
            <w:r>
              <w:rPr>
                <w:rFonts w:ascii="Arial" w:cs="Arial" w:eastAsia="Arial" w:hAnsi="Arial"/>
                <w:sz w:val="9"/>
                <w:szCs w:val="9"/>
                <w:b w:val="1"/>
                <w:bCs w:val="1"/>
                <w:color w:val="auto"/>
                <w:w w:val="93"/>
              </w:rPr>
              <w:t>(6)</w:t>
            </w:r>
          </w:p>
        </w:tc>
        <w:tc>
          <w:tcPr>
            <w:tcW w:w="880" w:type="dxa"/>
            <w:vAlign w:val="bottom"/>
            <w:tcBorders>
              <w:top w:val="single" w:sz="8" w:color="auto"/>
            </w:tcBorders>
            <w:shd w:val="clear" w:color="auto" w:fill="CCECFF"/>
          </w:tcPr>
          <w:p>
            <w:pPr>
              <w:spacing w:after="0"/>
              <w:rPr>
                <w:sz w:val="12"/>
                <w:szCs w:val="12"/>
                <w:color w:val="auto"/>
              </w:rPr>
            </w:pPr>
          </w:p>
        </w:tc>
        <w:tc>
          <w:tcPr>
            <w:tcW w:w="25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1,752,663</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3,688,211</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2,438,193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3,928,695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4,612,054</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767,569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HW Holdco,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2,700,680</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1,934,243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2,197,752</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844,247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803,665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9,786,996</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136,195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Roto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2,036,830</w:t>
            </w: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30,703,860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43,632,061</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824,106,322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849,351,548</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Companies—29.3% </w:t>
            </w:r>
            <w:r>
              <w:rPr>
                <w:rFonts w:ascii="Arial" w:cs="Arial" w:eastAsia="Arial" w:hAnsi="Arial"/>
                <w:sz w:val="9"/>
                <w:szCs w:val="9"/>
                <w:b w:val="1"/>
                <w:bCs w:val="1"/>
                <w:color w:val="auto"/>
                <w:w w:val="91"/>
              </w:rPr>
              <w:t>(1), (2)</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Debt—9.8%</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3,168,502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3,583,262</w:t>
            </w:r>
          </w:p>
        </w:tc>
        <w:tc>
          <w:tcPr>
            <w:tcW w:w="10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10.99%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22,280,645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22,480,385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8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21,202,411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21,136,798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21,202,411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9,566,510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12.24%)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1,478,151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1,478,151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1,478,151</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714,270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62,630,606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63,388,493</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Debt—1.5%</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tcPr>
          <w:p>
            <w:pPr>
              <w:ind w:left="60"/>
              <w:spacing w:after="0"/>
              <w:rPr>
                <w:sz w:val="20"/>
                <w:szCs w:val="20"/>
                <w:color w:val="auto"/>
              </w:rPr>
            </w:pPr>
            <w:r>
              <w:rPr>
                <w:rFonts w:ascii="Arial" w:cs="Arial" w:eastAsia="Arial" w:hAnsi="Arial"/>
                <w:sz w:val="12"/>
                <w:szCs w:val="12"/>
                <w:color w:val="auto"/>
              </w:rPr>
              <w:t>12/23/2019</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4,834,021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Tranche A</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08/03/2020</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4,639,603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Tranche B</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9.34%)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9,473,624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9,517,952</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10,603,464</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28,611,214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37,434,384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41,486,260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47,162,332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52,089,724</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19,648,795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Diversified Natural Resources, Precious Metals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60" w:type="dxa"/>
            <w:vAlign w:val="bottom"/>
          </w:tcPr>
          <w:p>
            <w:pPr>
              <w:spacing w:after="0"/>
              <w:rPr>
                <w:sz w:val="12"/>
                <w:szCs w:val="12"/>
                <w:color w:val="auto"/>
              </w:rPr>
            </w:pP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Minerals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1,609,091</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15,718,184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147,249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10,108,949</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64,678,808</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185,799,943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189,674,977</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Debt—9.5%</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620"/>
              <w:spacing w:after="0"/>
              <w:rPr>
                <w:sz w:val="20"/>
                <w:szCs w:val="20"/>
                <w:color w:val="auto"/>
              </w:rPr>
            </w:pPr>
            <w:r>
              <w:rPr>
                <w:rFonts w:ascii="Arial" w:cs="Arial" w:eastAsia="Arial" w:hAnsi="Arial"/>
                <w:sz w:val="12"/>
                <w:szCs w:val="12"/>
                <w:color w:val="auto"/>
                <w:w w:val="95"/>
              </w:rPr>
              <w:t>(PIK 4.00%)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28,233,485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63,233,485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61,198,854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200,120,407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114,550,983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Investments—178.4%</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1,210,026,672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1,153,577,508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Equivalents—5.9%</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20,490,740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17,691,633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17,711,328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1,248,209,045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1,191,779,576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(544,971,105)</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646,808,471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6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10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2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32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120" w:firstLine="45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the 2025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220" w:firstLine="45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40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right="100" w:firstLine="452"/>
        <w:spacing w:after="0" w:line="248"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level of federal income taxes. Although we generally do not incur federal income taxes as a RIC for federal income tax purposes, we may elect to retain a portion of our calendar year income, which may result in the imposition of an excise tax. Additionally, certain of the Company’s consolidated subsidiaries are subject to U.S. federal and state income taxes. For the three months ended December 31, 2017 and 2016, we recorded a provision for taxes of zero and $0.4 million, respectively.</w:t>
      </w:r>
    </w:p>
    <w:p>
      <w:pPr>
        <w:spacing w:after="0" w:line="11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2017, there were no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5" w:lineRule="exact"/>
        <w:rPr>
          <w:sz w:val="20"/>
          <w:szCs w:val="20"/>
          <w:color w:val="auto"/>
        </w:rPr>
      </w:pPr>
    </w:p>
    <w:p>
      <w:pPr>
        <w:jc w:val="both"/>
        <w:ind w:right="42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42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15"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22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16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540" w:firstLine="45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120" w:firstLine="45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6" w:lineRule="exact"/>
        <w:rPr>
          <w:sz w:val="20"/>
          <w:szCs w:val="20"/>
          <w:color w:val="auto"/>
        </w:rPr>
      </w:pPr>
    </w:p>
    <w:p>
      <w:pPr>
        <w:ind w:right="120" w:firstLine="45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irrevocably waive 16% of base management fees, correlated to our 16% energy exposure (oil &amp; gas and energy &amp; utilities industries) at cost as of December 31, 2015. For the three months ended December 31, 2017 and 2016, the Investment Adviser earned a base management fee of $4.8 million (after a waiver of $0.9 million) and $5.3 million (after a waiver of $1.0 million), respectively, from us. Effective January 1, 2018, the Investment Adviser has voluntarily and irrevocably agreed, in consultation with the board of directors, to reduce base management fees to 1.50% of the Company’s average adjusted gross assets.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irrevocably waive 16% of incentive fees, correlated to our 16% energy cost exposure (oil &amp; gas and energy &amp; utilities industries) at cost as of December 31, 2015. For the three months ended December 31, 2017 and 2016, the Investment Adviser earned $2.7 million (after a waiver of $0.5 million) and $2.9 million (after a waiver of $0.5 million), respectively, in incentive fees on net investment income from us. Effective January 1, 2018, the Investment Adviser has voluntarily and irrevocably agreed, in consultation with the board of directors, to reduce the incentive fee to 17.5% of the Company’s pre-incentive fee net investment income (subject to a 7.00% annualized “hurdle rate” and 100% “catch-up” with a ceiling of 8.4848%).</w:t>
      </w:r>
    </w:p>
    <w:p>
      <w:pPr>
        <w:spacing w:after="0" w:line="132"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2017 and 2016, the Investment Adviser did not earn an incentive fee on capital gains as calculated under the Investment Management Agreement (as described above). Effective January 1, 2018, the Investment Adviser has voluntarily and irrevocably agreed, in consultation with the board of directors, to reduce the incentive fee to 17.5% of the Company’s cumulative net realized capital gains.</w:t>
      </w:r>
    </w:p>
    <w:p>
      <w:pPr>
        <w:spacing w:after="0" w:line="150" w:lineRule="exact"/>
        <w:rPr>
          <w:sz w:val="20"/>
          <w:szCs w:val="20"/>
          <w:color w:val="auto"/>
        </w:rPr>
      </w:pPr>
    </w:p>
    <w:p>
      <w:pPr>
        <w:ind w:right="180" w:firstLine="432"/>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(17.5% for periods after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2017 and 2016, the Investment Adviser did not accrue an incentive fee on capital gains as calculated under GAAP.</w:t>
      </w:r>
    </w:p>
    <w:p>
      <w:pPr>
        <w:spacing w:after="0" w:line="97" w:lineRule="exact"/>
        <w:rPr>
          <w:sz w:val="20"/>
          <w:szCs w:val="20"/>
          <w:color w:val="auto"/>
        </w:rPr>
      </w:pPr>
    </w:p>
    <w:p>
      <w:pPr>
        <w:ind w:right="380" w:firstLine="434"/>
        <w:spacing w:after="0" w:line="290"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160"/>
        <w:spacing w:after="0" w:line="248" w:lineRule="auto"/>
        <w:rPr>
          <w:sz w:val="20"/>
          <w:szCs w:val="20"/>
          <w:color w:val="auto"/>
        </w:rPr>
      </w:pPr>
      <w:r>
        <w:rPr>
          <w:rFonts w:ascii="Arial" w:cs="Arial" w:eastAsia="Arial" w:hAnsi="Arial"/>
          <w:sz w:val="13"/>
          <w:szCs w:val="13"/>
          <w:color w:val="auto"/>
        </w:rPr>
        <w:t>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2017 and 2016, we reimbursed the Investment Adviser approximately $0.3 million and $0.5 million, respectively, including expenses the Investment Adviser incurred on behalf of the Administrator, for services described above.</w:t>
      </w:r>
    </w:p>
    <w:p>
      <w:pPr>
        <w:spacing w:after="0" w:line="113" w:lineRule="exact"/>
        <w:rPr>
          <w:sz w:val="20"/>
          <w:szCs w:val="20"/>
          <w:color w:val="auto"/>
        </w:rPr>
      </w:pPr>
    </w:p>
    <w:p>
      <w:pPr>
        <w:ind w:right="140" w:firstLine="434"/>
        <w:spacing w:after="0" w:line="290" w:lineRule="auto"/>
        <w:rPr>
          <w:sz w:val="20"/>
          <w:szCs w:val="20"/>
          <w:color w:val="auto"/>
        </w:rPr>
      </w:pPr>
      <w:r>
        <w:rPr>
          <w:rFonts w:ascii="Arial" w:cs="Arial" w:eastAsia="Arial" w:hAnsi="Arial"/>
          <w:sz w:val="13"/>
          <w:szCs w:val="13"/>
          <w:color w:val="auto"/>
        </w:rPr>
        <w:t>For the three months ended December 31, 2017 and 2016, the Company purchased zero and $5.0 million, respectively in total investments to affiliated funds managed by our Investment Adviser in accordance with, and pursuant to procedures adopted under, Rule 17a-7 of the 1940 Act. The affiliated fund realized a gain of zero and less than $0.1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480" w:firstLine="434"/>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2017 and 2016 totaled $142.1 million and $232.1 million, respectively. Sales and repayments of investments for the same periods totaled $192.3 million and $64.2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444,324,083</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444,852,543</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465,235,137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466,076,352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367,739,420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375,632,252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389,336,314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399,544,383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104,244,527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107,224,228</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116,596,887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247,566,769</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172,912,033</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238,858,334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167,249,010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1,163,874,799</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1,100,621,056</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1,210,026,672</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72,781,092</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72,832,675</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38,182,373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1,236,655,891</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1,173,453,731</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1,248,209,045</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CCECFF"/>
            </w:tcBorders>
          </w:tcPr>
          <w:p>
            <w:pPr>
              <w:spacing w:after="0"/>
              <w:rPr>
                <w:sz w:val="14"/>
                <w:szCs w:val="14"/>
                <w:color w:val="auto"/>
              </w:rPr>
            </w:pPr>
          </w:p>
        </w:tc>
      </w:tr>
      <w:tr>
        <w:trPr>
          <w:trHeight w:val="156"/>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11%</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tcPr>
          <w:p>
            <w:pPr>
              <w:jc w:val="right"/>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Distribution</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Diversified Natural Resources, Precious Metals and Minerals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 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Electronics</w:t>
            </w: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6"/>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00" w:firstLine="454"/>
        <w:spacing w:after="0" w:line="277" w:lineRule="auto"/>
        <w:rPr>
          <w:sz w:val="20"/>
          <w:szCs w:val="20"/>
          <w:color w:val="auto"/>
        </w:rPr>
      </w:pPr>
      <w:r>
        <w:rPr>
          <w:rFonts w:ascii="Arial" w:cs="Arial" w:eastAsia="Arial" w:hAnsi="Arial"/>
          <w:sz w:val="12"/>
          <w:szCs w:val="12"/>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460" w:right="22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4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40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60" w:firstLine="425"/>
        <w:spacing w:after="0" w:line="264"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2017 and 2016, our ability to observe valuation inputs resulted in no reclassifications.</w:t>
      </w:r>
    </w:p>
    <w:p>
      <w:pPr>
        <w:spacing w:after="0" w:line="101" w:lineRule="exact"/>
        <w:rPr>
          <w:sz w:val="20"/>
          <w:szCs w:val="20"/>
          <w:color w:val="auto"/>
        </w:rPr>
      </w:pPr>
    </w:p>
    <w:p>
      <w:pPr>
        <w:ind w:right="40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54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380" w:firstLine="425"/>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w w:val="95"/>
              </w:rPr>
              <w:t>December 31,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12,231,250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90,449,452</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432,621,293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8.0% – 14.3% (10.9%)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285,182,800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8.6% – 15.1% (12.1%)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107,224,228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13.3% – 21.3% (15.1%)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171,996,009</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(8.3x)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1,099,705,032</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center"/>
              <w:spacing w:after="0"/>
              <w:rPr>
                <w:sz w:val="20"/>
                <w:szCs w:val="20"/>
                <w:color w:val="auto"/>
              </w:rPr>
            </w:pPr>
            <w:r>
              <w:rPr>
                <w:rFonts w:ascii="Arial" w:cs="Arial" w:eastAsia="Arial" w:hAnsi="Arial"/>
                <w:sz w:val="14"/>
                <w:szCs w:val="14"/>
                <w:color w:val="auto"/>
                <w:w w:val="93"/>
              </w:rPr>
              <w:t>4.7%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76,578,075</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18</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96,885,313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451,256,352</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8.1% – 14.0% (11.0%)</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302,659,070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9.6% – 14.6% (12.2%)</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11.6% – 20.5% (14.3%)</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166,268,568</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(8.2x)</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right"/>
              <w:ind w:right="78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Credit Facility and the 2019 Notes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300"/>
              <w:spacing w:after="0"/>
              <w:rPr>
                <w:sz w:val="20"/>
                <w:szCs w:val="20"/>
                <w:color w:val="auto"/>
              </w:rPr>
            </w:pPr>
            <w:r>
              <w:rPr>
                <w:rFonts w:ascii="Arial" w:cs="Arial" w:eastAsia="Arial" w:hAnsi="Arial"/>
                <w:sz w:val="14"/>
                <w:szCs w:val="14"/>
                <w:b w:val="1"/>
                <w:bCs w:val="1"/>
                <w:color w:val="auto"/>
              </w:rPr>
              <w:t>Fair Value at December 31, 2017</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927,709,023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927,709,023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172,912,033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916,024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171,996,009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1,100,621,056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916,024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1,099,705,032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72,832,675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72,832,675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1,173,453,731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73,748,699</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1,099,705,032</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76,578,075</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76,578,075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253,997,500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253,997,500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330,575,575</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253,997,500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76,578,075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980,442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166,268,568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980,442</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39,182,510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331,702,341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255,665,000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80" w:type="dxa"/>
            <w:vAlign w:val="bottom"/>
            <w:gridSpan w:val="20"/>
          </w:tcPr>
          <w:p>
            <w:pPr>
              <w:jc w:val="center"/>
              <w:ind w:left="14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1"/>
          </w:tcPr>
          <w:p>
            <w:pPr>
              <w:jc w:val="center"/>
              <w:ind w:left="788"/>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1,961,209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1,810,786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3,771,995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(3,759,168)</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(2,980,993)</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(6,740,161)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Purchases, PIK interest, and net discount accretion</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133,670,716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8,708,434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142,379,150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and repayments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(190,492,232)</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(1,810,786)</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(192,303,018)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927,709,023</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171,996,009</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1,099,705,032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appreciation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(1,441,348)</w:t>
            </w: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(2,980,993)</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(4,422,341)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1"/>
          </w:tcPr>
          <w:p>
            <w:pPr>
              <w:jc w:val="center"/>
              <w:ind w:left="788"/>
              <w:spacing w:after="0"/>
              <w:rPr>
                <w:sz w:val="20"/>
                <w:szCs w:val="20"/>
                <w:color w:val="auto"/>
              </w:rPr>
            </w:pPr>
            <w:r>
              <w:rPr>
                <w:rFonts w:ascii="Arial" w:cs="Arial" w:eastAsia="Arial" w:hAnsi="Arial"/>
                <w:sz w:val="14"/>
                <w:szCs w:val="14"/>
                <w:b w:val="1"/>
                <w:bCs w:val="1"/>
                <w:color w:val="auto"/>
                <w:w w:val="93"/>
              </w:rPr>
              <w:t>Three Months Ended December 31, 2016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(34,173,159)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11,800,414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(22,372,745)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35,054,433</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(9,984,472)</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25,069,961</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226,774,334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11,778,800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238,553,134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(56,037,044)</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(13,637,849)</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(69,674,893)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1,171,765,245</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125,589,910</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1,297,355,155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5"/>
          </w:tcPr>
          <w:p>
            <w:pPr>
              <w:spacing w:after="0" w:line="149" w:lineRule="exact"/>
              <w:rPr>
                <w:sz w:val="20"/>
                <w:szCs w:val="20"/>
                <w:color w:val="auto"/>
              </w:rPr>
            </w:pPr>
            <w:r>
              <w:rPr>
                <w:rFonts w:ascii="Arial" w:cs="Arial" w:eastAsia="Arial" w:hAnsi="Arial"/>
                <w:sz w:val="14"/>
                <w:szCs w:val="14"/>
                <w:color w:val="auto"/>
                <w:w w:val="92"/>
              </w:rPr>
              <w:t>investments in our Consolidated Statements of Operations attributable to our Level 3 assets still held at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11,161,106</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252,650</w:t>
            </w:r>
          </w:p>
        </w:tc>
        <w:tc>
          <w:tcPr>
            <w:tcW w:w="180" w:type="dxa"/>
            <w:vAlign w:val="bottom"/>
          </w:tcPr>
          <w:p>
            <w:pPr>
              <w:spacing w:after="0"/>
              <w:rPr>
                <w:sz w:val="14"/>
                <w:szCs w:val="14"/>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11,413,756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gridSpan w:val="6"/>
          </w:tcPr>
          <w:p>
            <w:pPr>
              <w:ind w:left="460"/>
              <w:spacing w:after="0"/>
              <w:rPr>
                <w:sz w:val="20"/>
                <w:szCs w:val="20"/>
                <w:color w:val="auto"/>
              </w:rPr>
            </w:pPr>
            <w:r>
              <w:rPr>
                <w:rFonts w:ascii="Arial" w:cs="Arial" w:eastAsia="Arial" w:hAnsi="Arial"/>
                <w:sz w:val="14"/>
                <w:szCs w:val="14"/>
                <w:color w:val="auto"/>
                <w:w w:val="96"/>
              </w:rPr>
              <w:t>The table below shows a reconciliation of the beginning and ending balances for fair valued liabilities measured using significant unobservable inputs (Level 3):</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$79,392,900 and $50,339,700,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8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540,734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(1,207,684)</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35,000,000</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110,260,000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(35,000,000)</w:t>
            </w: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(12,481,000)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$79,392,900 and $148,118,700, respectively)</w:t>
            </w:r>
          </w:p>
        </w:tc>
        <w:tc>
          <w:tcPr>
            <w:tcW w:w="3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76,578,075</w:t>
            </w:r>
          </w:p>
        </w:tc>
        <w:tc>
          <w:tcPr>
            <w:tcW w:w="2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$79,392,900 and $148,118,700, respectively)</w:t>
            </w: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76,578,075</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380" w:firstLine="443"/>
        <w:spacing w:after="0" w:line="253" w:lineRule="auto"/>
        <w:rPr>
          <w:sz w:val="20"/>
          <w:szCs w:val="20"/>
          <w:color w:val="auto"/>
        </w:rPr>
      </w:pPr>
      <w:r>
        <w:rPr>
          <w:rFonts w:ascii="Arial" w:cs="Arial" w:eastAsia="Arial" w:hAnsi="Arial"/>
          <w:sz w:val="14"/>
          <w:szCs w:val="14"/>
          <w:color w:val="auto"/>
        </w:rPr>
        <w:t>As of December 31, 2017,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36,524,493</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January 3,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(7,508,407)</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40,827,098</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200"/>
              <w:spacing w:after="0"/>
              <w:rPr>
                <w:sz w:val="20"/>
                <w:szCs w:val="20"/>
                <w:color w:val="auto"/>
              </w:rPr>
            </w:pPr>
            <w:r>
              <w:rPr>
                <w:rFonts w:ascii="Arial" w:cs="Arial" w:eastAsia="Arial" w:hAnsi="Arial"/>
                <w:sz w:val="14"/>
                <w:szCs w:val="14"/>
                <w:color w:val="auto"/>
                <w:w w:val="91"/>
              </w:rPr>
              <w:t>January 3, 2018</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5,467,098</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77,351,591</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(2,041,309)</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60" w:firstLine="443"/>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36,224,604</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4,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(7,808,296)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40,194,834</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4,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4,834,834</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76,419,438</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(2,973,462)</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60" w:firstLine="443"/>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the 2025 Notes. We elected to use the fair value option for the Credit Facility, the 2019 Notes and the 2025 Notes to align the measurement attributes of both our assets and liabilities while mitigating volatility in earnings from using different measurement attributes. During both the three months ended December 31, 2017 and 2016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the 2025 Notes are reported in our Consolidated Statements of Operations. We elected not to apply ASC 825-10 to any other financial assets or liabilities, including the SBA debentures. For the three months ended December 31, 2017, our Credit Facility and the 2019 Notes had a net change in unrealized depreciation of $1.1 million. For the three months ended December 31, 2016, our Credit Facility, the 2019 Notes and the 2025 Notes had a net change in unrealized depreciation of $5.8 million. As of December 31, 2017 and September 30, 2017, net unrealized appreciation on our Credit Facility and the 2019 Notes totaled $1.2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Purchases of /</w:t>
            </w:r>
          </w:p>
        </w:tc>
        <w:tc>
          <w:tcPr>
            <w:tcW w:w="10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 of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Net Change in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0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Distributions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1"/>
              </w:rPr>
              <w:t xml:space="preserve">September 30, 2017 </w:t>
            </w:r>
            <w:r>
              <w:rPr>
                <w:rFonts w:ascii="Arial" w:cs="Arial" w:eastAsia="Arial" w:hAnsi="Arial"/>
                <w:sz w:val="12"/>
                <w:szCs w:val="12"/>
                <w:b w:val="1"/>
                <w:bCs w:val="1"/>
                <w:color w:val="auto"/>
                <w:w w:val="91"/>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1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5"/>
              </w:rPr>
              <w:t xml:space="preserve">December 31, 2017 </w:t>
            </w:r>
            <w:r>
              <w:rPr>
                <w:rFonts w:ascii="Arial" w:cs="Arial" w:eastAsia="Arial" w:hAnsi="Arial"/>
                <w:sz w:val="12"/>
                <w:szCs w:val="12"/>
                <w:b w:val="1"/>
                <w:bCs w:val="1"/>
                <w:color w:val="auto"/>
                <w:w w:val="95"/>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5"/>
        </w:trPr>
        <w:tc>
          <w:tcPr>
            <w:tcW w:w="18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MidOcean JF Holdings Corp.</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(JF Acquisition, LLC)</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16,945,557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1,073,864</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(4,512,639)</w:t>
            </w: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13,506,781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71,406,572</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715,789</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(1,643,242)</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70,113,330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Superior Digital Displays</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ind w:left="120"/>
              <w:spacing w:after="0"/>
              <w:rPr>
                <w:sz w:val="20"/>
                <w:szCs w:val="20"/>
                <w:color w:val="auto"/>
              </w:rPr>
            </w:pPr>
            <w:r>
              <w:rPr>
                <w:rFonts w:ascii="Arial" w:cs="Arial" w:eastAsia="Arial" w:hAnsi="Arial"/>
                <w:sz w:val="14"/>
                <w:szCs w:val="14"/>
                <w:color w:val="auto"/>
              </w:rPr>
              <w:t>Holdings,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26,198,854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1,540,324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908,726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(4,020,486)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23,833,333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19,704,139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(2,911,945)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16,792,194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American Gilsonite Company</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22,807,532</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543,516</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840,028</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23,652,767</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Corfin Industries LLC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24,089,476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(383,020)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665,333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2,606,498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26,339,146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25,236,136</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762,662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245,257</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1,090,647</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27,093,978</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44,430,932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894,100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292,437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(530,754)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44,192,305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8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32,175,378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(15,437,500)</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706,738</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777,792</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32,545,669</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color w:val="auto"/>
              </w:rPr>
              <w:t>U.S. Well Services, LLC</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21,231,384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500,479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335,859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(206,861)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21,528,536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98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8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12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304,225,960</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20,121,429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(15,820,520)</w:t>
            </w:r>
          </w:p>
        </w:tc>
        <w:tc>
          <w:tcPr>
            <w:tcW w:w="1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4,413,655</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(8,510,962)</w:t>
            </w:r>
          </w:p>
        </w:tc>
        <w:tc>
          <w:tcPr>
            <w:tcW w:w="28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299,598,039</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Includes PIK.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6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0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8"/>
              </w:rPr>
              <w:t>12,295,397</w:t>
            </w:r>
          </w:p>
        </w:tc>
        <w:tc>
          <w:tcPr>
            <w:tcW w:w="30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24,049,127</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71,060,836</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71,060,836</w:t>
            </w:r>
          </w:p>
        </w:tc>
        <w:tc>
          <w:tcPr>
            <w:tcW w:w="100" w:type="dxa"/>
            <w:vAlign w:val="bottom"/>
          </w:tcPr>
          <w:p>
            <w:pPr>
              <w:spacing w:after="0"/>
              <w:rPr>
                <w:sz w:val="14"/>
                <w:szCs w:val="14"/>
                <w:color w:val="auto"/>
              </w:rPr>
            </w:pPr>
          </w:p>
        </w:tc>
      </w:tr>
      <w:tr>
        <w:trPr>
          <w:trHeight w:val="162"/>
        </w:trPr>
        <w:tc>
          <w:tcPr>
            <w:tcW w:w="604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50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6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2017 and September 30, 2017, cash and cash equivalents consisted of money market funds in the amounts of $72.8 million and $38.2 million at fair value,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84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40" w:type="dxa"/>
            <w:vAlign w:val="bottom"/>
          </w:tcPr>
          <w:p>
            <w:pPr>
              <w:spacing w:after="0"/>
              <w:rPr>
                <w:sz w:val="24"/>
                <w:szCs w:val="24"/>
                <w:color w:val="auto"/>
              </w:rPr>
            </w:pPr>
          </w:p>
        </w:tc>
        <w:tc>
          <w:tcPr>
            <w:tcW w:w="3480" w:type="dxa"/>
            <w:vAlign w:val="bottom"/>
            <w:gridSpan w:val="5"/>
          </w:tcPr>
          <w:p>
            <w:pPr>
              <w:jc w:val="right"/>
              <w:ind w:right="209"/>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300" w:type="dxa"/>
            <w:vAlign w:val="bottom"/>
          </w:tcPr>
          <w:p>
            <w:pPr>
              <w:spacing w:after="0"/>
              <w:rPr>
                <w:sz w:val="14"/>
                <w:szCs w:val="14"/>
                <w:color w:val="auto"/>
              </w:rPr>
            </w:pPr>
          </w:p>
        </w:tc>
        <w:tc>
          <w:tcPr>
            <w:tcW w:w="1260" w:type="dxa"/>
            <w:vAlign w:val="bottom"/>
            <w:gridSpan w:val="2"/>
          </w:tcPr>
          <w:p>
            <w:pPr>
              <w:jc w:val="right"/>
              <w:ind w:right="10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0.20</w:t>
            </w:r>
          </w:p>
        </w:tc>
        <w:tc>
          <w:tcPr>
            <w:tcW w:w="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0.18</w:t>
            </w: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0.34</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9.10</w:t>
            </w: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CFF"/>
            </w:tcBorders>
            <w:vMerge w:val="continue"/>
          </w:tcPr>
          <w:p>
            <w:pPr>
              <w:spacing w:after="0"/>
              <w:rPr>
                <w:sz w:val="15"/>
                <w:szCs w:val="15"/>
                <w:color w:val="auto"/>
              </w:rPr>
            </w:pPr>
          </w:p>
        </w:tc>
        <w:tc>
          <w:tcPr>
            <w:tcW w:w="1140" w:type="dxa"/>
            <w:vAlign w:val="bottom"/>
            <w:tcBorders>
              <w:top w:val="single" w:sz="8" w:color="auto"/>
              <w:bottom w:val="single" w:sz="8" w:color="auto"/>
            </w:tcBorders>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6.91</w:t>
            </w:r>
          </w:p>
        </w:tc>
        <w:tc>
          <w:tcPr>
            <w:tcW w:w="3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0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7.66</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4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20"/>
              <w:spacing w:after="0" w:line="143" w:lineRule="exact"/>
              <w:rPr>
                <w:sz w:val="20"/>
                <w:szCs w:val="20"/>
                <w:color w:val="auto"/>
              </w:rPr>
            </w:pPr>
            <w:r>
              <w:rPr>
                <w:rFonts w:ascii="Arial" w:cs="Arial" w:eastAsia="Arial" w:hAnsi="Arial"/>
                <w:sz w:val="14"/>
                <w:szCs w:val="14"/>
                <w:color w:val="auto"/>
              </w:rPr>
              <w:t>(5.62)%</w:t>
            </w:r>
          </w:p>
        </w:tc>
        <w:tc>
          <w:tcPr>
            <w:tcW w:w="1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2"/>
        </w:trPr>
        <w:tc>
          <w:tcPr>
            <w:tcW w:w="68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3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4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1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8.93%</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646,312,918</w:t>
            </w:r>
          </w:p>
        </w:tc>
        <w:tc>
          <w:tcPr>
            <w:tcW w:w="300" w:type="dxa"/>
            <w:vAlign w:val="bottom"/>
          </w:tcPr>
          <w:p>
            <w:pPr>
              <w:spacing w:after="0"/>
              <w:rPr>
                <w:sz w:val="14"/>
                <w:szCs w:val="14"/>
                <w:color w:val="auto"/>
              </w:rPr>
            </w:pPr>
          </w:p>
        </w:tc>
        <w:tc>
          <w:tcPr>
            <w:tcW w:w="1260" w:type="dxa"/>
            <w:vAlign w:val="bottom"/>
            <w:gridSpan w:val="2"/>
          </w:tcPr>
          <w:p>
            <w:pPr>
              <w:jc w:val="right"/>
              <w:ind w:right="10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647,518,949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541,820,206</w:t>
            </w: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ind w:right="10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597,533,598</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7.62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10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8.41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2,955</w:t>
            </w:r>
          </w:p>
        </w:tc>
        <w:tc>
          <w:tcPr>
            <w:tcW w:w="30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0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48.71%</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84" w:lineRule="exact"/>
        <w:rPr>
          <w:sz w:val="20"/>
          <w:szCs w:val="20"/>
          <w:color w:val="auto"/>
        </w:rPr>
      </w:pPr>
    </w:p>
    <w:p>
      <w:pPr>
        <w:ind w:right="8240" w:firstLine="8"/>
        <w:spacing w:after="0" w:line="276"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460" w:hanging="352"/>
        <w:spacing w:after="0" w:line="281"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3"/>
          <w:szCs w:val="13"/>
          <w:color w:val="auto"/>
        </w:rPr>
        <w:t>For the three months ended December 31, 2017 and 2016, the ratio of operating expenses before the waiver of certain Management Fees to average net assets was 6.20% and 7.18%, respectively, and the ratio of total expenses before the waiver of certain Management Fees to average net assets was 9.81% and 11.33%, respectively.</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120" w:hanging="352"/>
        <w:spacing w:after="0" w:line="272"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100" w:firstLine="456"/>
        <w:spacing w:after="0" w:line="296" w:lineRule="auto"/>
        <w:rPr>
          <w:sz w:val="20"/>
          <w:szCs w:val="20"/>
          <w:color w:val="auto"/>
        </w:rPr>
      </w:pPr>
      <w:r>
        <w:rPr>
          <w:rFonts w:ascii="Arial" w:cs="Arial" w:eastAsia="Arial" w:hAnsi="Arial"/>
          <w:sz w:val="12"/>
          <w:szCs w:val="12"/>
          <w:color w:val="auto"/>
        </w:rPr>
        <w:t>Our annualized weighted average cost of debt for the three months ended December 31, 2017 and 2016, inclusive of the fee on the undrawn commitment and amendment costs on the Credit Facility, amortized upfront fees on SBA debentures and debt issuance costs, was 4.32% and 4.51%,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As of December 31, 2017, we had a $445 million multi-currency Credit Facility with certain lenders and SunTrust Bank, acting as administrative agent, and JPMorgan Chase Bank, N.A., acting as syndication agent for the lenders. As of December 31, 2017 and September 30, 2017, there was $79.4 million in outstanding borrowings under the Credit Facility. The Credit Facility had a weighted average interest rate of 2.47% and 2.42%, respectively, exclusive of the fee on undrawn commitments of 0.375%, as of December 31, 2017 and September 30,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260" w:firstLine="434"/>
        <w:spacing w:after="0" w:line="233"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$105.0 million as of December 31, 2017. We have funded SBIC II with $75.0 million of equity capital and it had SBA debentures outstanding of $79.0 million as of December 31, 2017. SBA debentures are non-recourse to us and may be prepaid at any time without penalty. The interest rate of SBA debentures is fixed at the time of issuance, often referred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0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As of December 31, 2017 and September 30, 2017, our SBIC Funds had $300.0 million in debt commitments, respectively, of which $184.0 million and $199.0 million was drawn, respectively. As of December 31, 2017 and September 30, 2017, the unamortized fees on the SBA debentures was $4.3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As of December 31, 2017 Principal</w:t>
            </w:r>
          </w:p>
        </w:tc>
        <w:tc>
          <w:tcPr>
            <w:tcW w:w="0" w:type="dxa"/>
            <w:vAlign w:val="bottom"/>
          </w:tcPr>
          <w:p>
            <w:pPr>
              <w:spacing w:after="0"/>
              <w:rPr>
                <w:sz w:val="1"/>
                <w:szCs w:val="1"/>
                <w:color w:val="auto"/>
              </w:rPr>
            </w:pPr>
          </w:p>
        </w:tc>
      </w:tr>
      <w:tr>
        <w:trPr>
          <w:trHeight w:val="124"/>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0"/>
                <w:szCs w:val="10"/>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0"/>
                <w:szCs w:val="10"/>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3.38%</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3.19%</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184,000,000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September 30, 2017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4.37%</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3.38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3.19%</w:t>
            </w:r>
          </w:p>
        </w:tc>
        <w:tc>
          <w:tcPr>
            <w:tcW w:w="20" w:type="dxa"/>
            <w:vAlign w:val="bottom"/>
          </w:tcPr>
          <w:p>
            <w:pPr>
              <w:spacing w:after="0"/>
              <w:rPr>
                <w:sz w:val="13"/>
                <w:szCs w:val="13"/>
                <w:color w:val="auto"/>
              </w:rPr>
            </w:pPr>
          </w:p>
        </w:tc>
        <w:tc>
          <w:tcPr>
            <w:tcW w:w="440" w:type="dxa"/>
            <w:vAlign w:val="bottom"/>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2017,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As of December 31, 2017 and September 30,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2017 and September 30, 2017, we had $37.5 million and $21.6 million, respectively, in commitments to fund investments. For the same periods, there were no letter of credits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40"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We entered into the Second Amended and Restated Investment Advisory Management Agreement, dated February 6, 2018, between the Company and the Investment Adviser to implement the previously announced permanent reductions in base management and incentive fees. Under the agreement, (i) base management fees are 1.50% of the Company’s “average adjusted gross assets”, (ii) the income-based incentive fee is 17.5% of the Company’s pre-incentive fee net investment income (subject to a 7.00% annualized “hurdle rate” and 100% “catch-up” with a ceiling of 8.4848%) and</w:t>
      </w:r>
    </w:p>
    <w:p>
      <w:pPr>
        <w:ind w:left="460" w:right="5680" w:hanging="452"/>
        <w:spacing w:after="0" w:line="572" w:lineRule="auto"/>
        <w:tabs>
          <w:tab w:leader="none" w:pos="245"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capital gains incentive fee is 17.5% of the Company’s cumulative net realized capital gains. Subsequent to quarter-end, $21.2 million of our equity investments have been monetized.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PennantPark Investment Corporation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Results of Review of Interim Financial Statements</w:t>
      </w:r>
    </w:p>
    <w:p>
      <w:pPr>
        <w:spacing w:after="0" w:line="136" w:lineRule="exact"/>
        <w:rPr>
          <w:sz w:val="20"/>
          <w:szCs w:val="20"/>
          <w:color w:val="auto"/>
        </w:rPr>
      </w:pPr>
    </w:p>
    <w:p>
      <w:pPr>
        <w:jc w:val="both"/>
        <w:ind w:firstLine="365"/>
        <w:spacing w:after="0" w:line="231"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December 31, 2017, and the related consolidated statements of operations, changes in net assets and cash flows for the three-month periods ended December 31, 2017 and 2016, and the related notes (collectively referred to as the "interim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16" w:lineRule="exact"/>
        <w:rPr>
          <w:sz w:val="20"/>
          <w:szCs w:val="20"/>
          <w:color w:val="auto"/>
        </w:rPr>
      </w:pPr>
    </w:p>
    <w:p>
      <w:pPr>
        <w:jc w:val="both"/>
        <w:ind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statements of operations, changes in net assets, and cash flows for the year then ended (not presented herein); and in our report dated November 29, 2017, we expressed an unqualified opinion on those consolidated financial statements. In our opinion, the information set forth in the accompanying consolidated statement of assets and liabilities, including the consolidated schedule of investments as of September 30, 2017, is fairly stated, in all material respects, in relation to the consolidated statement of assets and liabilities from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Basis for Review Results</w:t>
      </w:r>
    </w:p>
    <w:p>
      <w:pPr>
        <w:spacing w:after="0" w:line="136" w:lineRule="exact"/>
        <w:rPr>
          <w:sz w:val="20"/>
          <w:szCs w:val="20"/>
          <w:color w:val="auto"/>
        </w:rPr>
      </w:pPr>
    </w:p>
    <w:p>
      <w:pPr>
        <w:jc w:val="both"/>
        <w:ind w:firstLine="365"/>
        <w:spacing w:after="0" w:line="233"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interim financial statements taken as a whole. Accordingly, we do not express such an opinion.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7, 2018</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200" w:firstLine="434"/>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right="40"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5" w:name="page26"/>
    <w:bookmarkEnd w:id="25"/>
    <w:p>
      <w:pPr>
        <w:ind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36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4"/>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 on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20" w:hanging="372"/>
        <w:spacing w:after="0" w:line="253" w:lineRule="auto"/>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hanging="372"/>
        <w:spacing w:after="0" w:line="264" w:lineRule="auto"/>
        <w:tabs>
          <w:tab w:leader="none" w:pos="9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6" w:name="page27"/>
    <w:bookmarkEnd w:id="26"/>
    <w:p>
      <w:pPr>
        <w:ind w:right="24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260" w:firstLine="434"/>
        <w:spacing w:after="0" w:line="251" w:lineRule="auto"/>
        <w:rPr>
          <w:sz w:val="20"/>
          <w:szCs w:val="20"/>
          <w:color w:val="auto"/>
        </w:rPr>
      </w:pPr>
      <w:r>
        <w:rPr>
          <w:rFonts w:ascii="Arial" w:cs="Arial" w:eastAsia="Arial" w:hAnsi="Arial"/>
          <w:sz w:val="13"/>
          <w:szCs w:val="13"/>
          <w:color w:val="auto"/>
        </w:rPr>
        <w:t>As of December 31, 2017, our portfolio totaled $1,100.6 million and consisted of $444.9 million of first lien secured debt, $375.6 million of second lien secured debt, $107.2 million of subordinated debt and $172.9 million of preferred and common equity. Our debt portfolio consisted of 82% variable-rate investments (including 12% where LIBOR was below the floor) and 18% fixed-rate investments. As of December 31, 2017, we had no companies on non-accrual. Overall, the portfolio had net unrealized depreciation of $63.2 million as of December 31, 2017. Our overall portfolio consisted of 57 companies with an average investment size of $19.3 million, had a weighted average yield on interest bearing debt investments of 11.8% and was invested 40% in first lien secured debt, 34% in second lien secured debt, 10% in subordinated debt and 16% in preferred and common equity.</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For the three months ended December 31, 2017, we invested $138.4 million in five new and seven existing portfolio companies with a weighted average yield on debt investments of 10.8%.</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2017 totaled $192.3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For the three months ended December 31, 2016, we invested $229.2 million in nine new and seven existing portfolio companies with a weighted average yield on debt investments of 11.2%.</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2016 totaled $64.2 million.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4"/>
        <w:spacing w:after="0" w:line="290" w:lineRule="auto"/>
        <w:rPr>
          <w:sz w:val="20"/>
          <w:szCs w:val="20"/>
          <w:color w:val="auto"/>
        </w:rPr>
      </w:pPr>
      <w:r>
        <w:rPr>
          <w:rFonts w:ascii="Arial" w:cs="Arial" w:eastAsia="Arial" w:hAnsi="Arial"/>
          <w:sz w:val="13"/>
          <w:szCs w:val="13"/>
          <w:color w:val="auto"/>
        </w:rPr>
        <w:t>Our portfolio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12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20" w:right="180" w:hanging="367"/>
        <w:spacing w:after="0" w:line="264" w:lineRule="auto"/>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420" w:hanging="367"/>
        <w:spacing w:after="0" w:line="238"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18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2" w:lineRule="exact"/>
        <w:rPr>
          <w:sz w:val="20"/>
          <w:szCs w:val="20"/>
          <w:color w:val="auto"/>
        </w:rPr>
      </w:pPr>
    </w:p>
    <w:p>
      <w:pPr>
        <w:ind w:right="100" w:firstLine="434"/>
        <w:spacing w:after="0" w:line="233"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right="360"/>
        <w:spacing w:after="0" w:line="253" w:lineRule="auto"/>
        <w:rPr>
          <w:sz w:val="20"/>
          <w:szCs w:val="20"/>
          <w:color w:val="auto"/>
        </w:rPr>
      </w:pPr>
      <w:r>
        <w:rPr>
          <w:rFonts w:ascii="Arial" w:cs="Arial" w:eastAsia="Arial" w:hAnsi="Arial"/>
          <w:sz w:val="14"/>
          <w:szCs w:val="14"/>
          <w:color w:val="auto"/>
        </w:rPr>
        <w:t>on market data obtained from sources independent of us. Unobservable inputs reflect the assumptions market participants would use in pricing an asset or liability based on the best information available to us on the reporting period date.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6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8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4"/>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0" w:lineRule="exact"/>
        <w:rPr>
          <w:sz w:val="20"/>
          <w:szCs w:val="20"/>
          <w:color w:val="auto"/>
        </w:rPr>
      </w:pPr>
    </w:p>
    <w:p>
      <w:pPr>
        <w:ind w:right="220" w:firstLine="443"/>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the 2019 Notes and the 2025 Notes. We elected to use the fair value option for the Credit Facility, the 2019 Notes and the 2025 Notes to align the measurement attributes of both our assets and liabilities while mitigating volatility in earnings from using different measurement attributes. During both the three months ended December 31, 2017 and 2016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the 2025 Notes are reported in our Consolidated Statements of Operations. We elected not to apply ASC 825-10 to any other financial assets or liabilities, including the SBA debentures. For the three months ended December 31, 2017, our Credit Facility and the 2019 Notes had a net change in unrealized depreciation of $1.1 million. For the three months ended December 31, 2016, our Credit Facility, the 2019 Notes and the 2025 Notes had a net change in unrealized depreciation of $5.8 million. As of December 31, 2017 and September 30, 2017, net unrealized appreciation on our Credit Facility and the 2019 Notes totaled $1.2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the 2019 Notes and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ind w:right="12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ind w:right="8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60" w:firstLine="434"/>
        <w:spacing w:after="0" w:line="238"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w:t>
      </w: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8" w:name="page29"/>
    <w:bookmarkEnd w:id="28"/>
    <w:p>
      <w:pPr>
        <w:ind w:right="280"/>
        <w:spacing w:after="0" w:line="253" w:lineRule="auto"/>
        <w:rPr>
          <w:sz w:val="20"/>
          <w:szCs w:val="20"/>
          <w:color w:val="auto"/>
        </w:rPr>
      </w:pPr>
      <w:r>
        <w:rPr>
          <w:rFonts w:ascii="Arial" w:cs="Arial" w:eastAsia="Arial" w:hAnsi="Arial"/>
          <w:sz w:val="14"/>
          <w:szCs w:val="14"/>
          <w:color w:val="auto"/>
        </w:rPr>
        <w:t>ordinary income and realized net short-term capital gains in excess of realized net long-term capital losses, or investment company taxable income, determined without regard to any deduction for dividends paid.</w:t>
      </w:r>
    </w:p>
    <w:p>
      <w:pPr>
        <w:spacing w:after="0" w:line="106" w:lineRule="exact"/>
        <w:rPr>
          <w:sz w:val="20"/>
          <w:szCs w:val="20"/>
          <w:color w:val="auto"/>
        </w:rPr>
      </w:pPr>
    </w:p>
    <w:p>
      <w:pPr>
        <w:ind w:right="8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40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80" w:firstLine="434"/>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months ended December 31,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Investment income for the three months ended December 31, 2017 was $28.7 million and was attributable to $12.7 million from first lien secured debt, $12.9 million from second lien secured debt and $3.1 million from subordinated debt, respectively. Investment income for the three months ended December 31, 2016 was $31.9 million and was attributable to $13.2 million from first lien secured debt, $12.7 million from second lien secured debt, $4.9 million from subordinated debt and $1.1 million from preferred and common equity. The decrease in investment income compared to the same period in the prior year was primarily due to a reduction of our portfolio at cost.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40" w:firstLine="434"/>
        <w:spacing w:after="0" w:line="229" w:lineRule="auto"/>
        <w:rPr>
          <w:sz w:val="20"/>
          <w:szCs w:val="20"/>
          <w:color w:val="auto"/>
        </w:rPr>
      </w:pPr>
      <w:r>
        <w:rPr>
          <w:rFonts w:ascii="Arial" w:cs="Arial" w:eastAsia="Arial" w:hAnsi="Arial"/>
          <w:sz w:val="14"/>
          <w:szCs w:val="14"/>
          <w:color w:val="auto"/>
        </w:rPr>
        <w:t>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The decrease in expenses compared to the same period in the prior year was primarily due to a decrease in debt related interest and expenses and base management fees.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160" w:firstLine="434"/>
        <w:spacing w:after="0" w:line="290" w:lineRule="auto"/>
        <w:rPr>
          <w:sz w:val="20"/>
          <w:szCs w:val="20"/>
          <w:color w:val="auto"/>
        </w:rPr>
      </w:pPr>
      <w:r>
        <w:rPr>
          <w:rFonts w:ascii="Arial" w:cs="Arial" w:eastAsia="Arial" w:hAnsi="Arial"/>
          <w:sz w:val="13"/>
          <w:szCs w:val="13"/>
          <w:color w:val="auto"/>
        </w:rPr>
        <w:t>Net investment income totaled $14.2 million, or $0.20 per share, for the three months ended December 31, 2017, and $15.0 million, or $0.21 per share, for the three months ended December 31, 2016. The decrease in net investment income per share compared to the same period in the prior year was primarily due to a reduction of our portfolio at cost.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40" w:firstLine="434"/>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2017 totaled $192.3 million and net realized gains totaled $3.8 million. Sales and repayments of investments for the three months ended December 31, 2016 totaled $64.2 million and net realized losses totaled $22.2 million. The change in realized gains (losses)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the 2019 Notes and the 2025 Notes</w:t>
      </w:r>
    </w:p>
    <w:p>
      <w:pPr>
        <w:spacing w:after="0" w:line="13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For the three months ended December 31, 2017 and 2016, we reported net change in unrealized (depreciation) appreciation on investments of $(6.8) million and $25.4 million, respectively. As of December 31, 2017 and September 30, 2017, our net unrealized depreciation on investments totaled $63.2 million and $56.4 million, respectively. The net change in unrealized (depreciation) appreciation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17"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three months ended December 31, 2017, our Credit Facility and the 2019 Notes had a net change in unrealized depreciation of $1.1 million. For the three months ended December 31, 2016, our Credit Facility, the 2019 Notes and the 2025 Notes had a net change in unrealized depreciation of $5.8 million. As of December 31, 2017 and September 30, 2017, net unrealized appreciation on the Credit Facility and the 2019 Notes totaled $1.2 million and $2.3 million, respectively. The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380" w:firstLine="434"/>
        <w:spacing w:after="0" w:line="238" w:lineRule="auto"/>
        <w:rPr>
          <w:sz w:val="20"/>
          <w:szCs w:val="20"/>
          <w:color w:val="auto"/>
        </w:rPr>
      </w:pPr>
      <w:r>
        <w:rPr>
          <w:rFonts w:ascii="Arial" w:cs="Arial" w:eastAsia="Arial" w:hAnsi="Arial"/>
          <w:sz w:val="14"/>
          <w:szCs w:val="14"/>
          <w:color w:val="auto"/>
        </w:rPr>
        <w:t>Net change in net assets resulting from operations totaled $12.3 million, or $0.18 per share, for the three months ended December 31, 2017. This compares to a net change in net assets resulting from operations of $24.0 million, or $0.34 per share, for the three months ended December 31, 2016. The decrease in the net change in net assets from operations compared to the same period in the prior year was primarily due to the reduction of our portfolio and depreciation of our investments.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340" w:firstLine="434"/>
        <w:spacing w:after="0" w:line="296" w:lineRule="auto"/>
        <w:rPr>
          <w:sz w:val="20"/>
          <w:szCs w:val="20"/>
          <w:color w:val="auto"/>
        </w:rPr>
      </w:pPr>
      <w:r>
        <w:rPr>
          <w:rFonts w:ascii="Arial" w:cs="Arial" w:eastAsia="Arial" w:hAnsi="Arial"/>
          <w:sz w:val="12"/>
          <w:szCs w:val="1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The annualized weighted average cost of debt for the three months ended December 31, 2017 and 2016, inclusive of the fee on the undrawn commitment and amendment costs on the Credit Facility, amortized upfront fees on SBA debentures and debt issuance costs, was 4.32% and 4.51%, respectively.</w:t>
      </w:r>
    </w:p>
    <w:p>
      <w:pPr>
        <w:spacing w:after="0" w:line="106"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of December 31, 2017, we had a $445 million multi-currency Credit Facility with certain lenders and SunTrust Bank, acting as administrative agent, and JPMorgan Chase Bank, N.A., acting as syndication agent for the lenders. As of December 31, 2017 and September 30, 2017, there was $79.4 million in outstanding borrowings under the Credit Facility. The Credit Facility had a weighted average interest rate of 2.47% and 2.42%, respectively, exclusive of the fee on undrawn commitments of 0.375%, as of December 31, 2017 and September 30, 2017. The Credit Facility is a five-year revolving facility with a stated maturity date of May 25, 2022, a one-year term-out period following its fourth year and pricing set at 225 basis points over LIBOR. As of December 31, 2017 and September 30, 2017, we had $365.6 million of unused borrowing capacity under our Credit Facility, subject to the regulatory restrictions. The Credit Facility is secured by substantially all of our assets excluding assets held by our SBIC Funds.</w:t>
      </w:r>
    </w:p>
    <w:p>
      <w:pPr>
        <w:spacing w:after="0" w:line="118"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see the Credit Facility agreement filed as Exhibit 10.1 on our Form 10-Q filed August 7, 2017 and incorporated by reference therein. As of December 31, 2017, we were in compliance with the terms of our Credit Facility.</w:t>
      </w:r>
    </w:p>
    <w:p>
      <w:pPr>
        <w:spacing w:after="0" w:line="106" w:lineRule="exact"/>
        <w:rPr>
          <w:sz w:val="20"/>
          <w:szCs w:val="20"/>
          <w:color w:val="auto"/>
        </w:rPr>
      </w:pPr>
    </w:p>
    <w:p>
      <w:pPr>
        <w:ind w:right="120" w:firstLine="452"/>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see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18"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22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$105.0 million as of December 31, 2017. We have funded SBIC II with $75.0 million of equity capital and it had SBA debentures outstanding of $79.0 million as of December 31, 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As of December 31, 2017 and September 30, 2017, our SBIC Funds had $300.0 million in debt commitments, respectively, of which $184.0 million and $199.0 million was drawn, respectively. As of December 31, 2017 and September 30, 2017, the unamortized fees on the SBA debentures was $4.3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December 31, 2017 and September 30, 2017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14"/>
                <w:szCs w:val="1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4"/>
                <w:szCs w:val="1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December 31, 2017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3.38%</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September 20, 2017</w:t>
            </w:r>
          </w:p>
        </w:tc>
        <w:tc>
          <w:tcPr>
            <w:tcW w:w="24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3.19%</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184,000,000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vMerge w:val="restart"/>
          </w:tcPr>
          <w:p>
            <w:pPr>
              <w:spacing w:after="0"/>
              <w:rPr>
                <w:sz w:val="24"/>
                <w:szCs w:val="24"/>
                <w:color w:val="auto"/>
              </w:rPr>
            </w:pPr>
          </w:p>
        </w:tc>
        <w:tc>
          <w:tcPr>
            <w:tcW w:w="224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2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September 30, 2017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CFF"/>
            </w:tcBorders>
            <w:vMerge w:val="continue"/>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58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4.37%</w:t>
            </w: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3.38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210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87"/>
              </w:rPr>
              <w:t>2.86</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46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2100" w:type="dxa"/>
            <w:vAlign w:val="bottom"/>
          </w:tcPr>
          <w:p>
            <w:pPr>
              <w:ind w:left="1840"/>
              <w:spacing w:after="0"/>
              <w:rPr>
                <w:sz w:val="20"/>
                <w:szCs w:val="20"/>
                <w:color w:val="auto"/>
              </w:rPr>
            </w:pPr>
            <w:r>
              <w:rPr>
                <w:rFonts w:ascii="Arial" w:cs="Arial" w:eastAsia="Arial" w:hAnsi="Arial"/>
                <w:sz w:val="14"/>
                <w:szCs w:val="14"/>
                <w:color w:val="auto"/>
                <w:w w:val="87"/>
              </w:rPr>
              <w:t>2.41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4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10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87"/>
              </w:rPr>
              <w:t>2.87</w:t>
            </w:r>
          </w:p>
        </w:tc>
        <w:tc>
          <w:tcPr>
            <w:tcW w:w="4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3.19%</w:t>
            </w:r>
          </w:p>
        </w:tc>
        <w:tc>
          <w:tcPr>
            <w:tcW w:w="20" w:type="dxa"/>
            <w:vAlign w:val="bottom"/>
          </w:tcPr>
          <w:p>
            <w:pPr>
              <w:spacing w:after="0"/>
              <w:rPr>
                <w:sz w:val="13"/>
                <w:szCs w:val="13"/>
                <w:color w:val="auto"/>
              </w:rPr>
            </w:pPr>
          </w:p>
        </w:tc>
        <w:tc>
          <w:tcPr>
            <w:tcW w:w="440" w:type="dxa"/>
            <w:vAlign w:val="bottom"/>
          </w:tcPr>
          <w:p>
            <w:pPr>
              <w:jc w:val="right"/>
              <w:ind w:right="32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03" w:lineRule="exact"/>
        <w:rPr>
          <w:sz w:val="20"/>
          <w:szCs w:val="20"/>
          <w:color w:val="auto"/>
        </w:rPr>
      </w:pPr>
    </w:p>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2017, our SBIC Funds were in compliance with their regulatory requirements.</w:t>
      </w:r>
    </w:p>
    <w:p>
      <w:pPr>
        <w:spacing w:after="0" w:line="116" w:lineRule="exact"/>
        <w:rPr>
          <w:sz w:val="20"/>
          <w:szCs w:val="20"/>
          <w:color w:val="auto"/>
        </w:rPr>
      </w:pPr>
    </w:p>
    <w:p>
      <w:pPr>
        <w:ind w:right="440" w:firstLine="434"/>
        <w:spacing w:after="0" w:line="253"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required asset coverage ratio is met after such borrowing. As of December 31, 2017 and September 30, 2017, we excluded the principal amounts of our SBA debentures from our asset coverage ratio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0" w:name="page31"/>
    <w:bookmarkEnd w:id="30"/>
    <w:p>
      <w:pPr>
        <w:jc w:val="both"/>
        <w:ind w:right="120"/>
        <w:spacing w:after="0" w:line="238" w:lineRule="auto"/>
        <w:rPr>
          <w:sz w:val="20"/>
          <w:szCs w:val="20"/>
          <w:color w:val="auto"/>
        </w:rPr>
      </w:pPr>
      <w:r>
        <w:rPr>
          <w:rFonts w:ascii="Arial" w:cs="Arial" w:eastAsia="Arial" w:hAnsi="Arial"/>
          <w:sz w:val="14"/>
          <w:szCs w:val="14"/>
          <w:color w:val="auto"/>
        </w:rPr>
        <w:t>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5"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At December 31, 2017 and September 30, 2017, we had cash and cash equivalents of $72.8 million and $38.2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00" w:firstLine="434"/>
        <w:spacing w:after="0" w:line="335" w:lineRule="auto"/>
        <w:rPr>
          <w:sz w:val="20"/>
          <w:szCs w:val="20"/>
          <w:color w:val="auto"/>
        </w:rPr>
      </w:pPr>
      <w:r>
        <w:rPr>
          <w:rFonts w:ascii="Arial" w:cs="Arial" w:eastAsia="Arial" w:hAnsi="Arial"/>
          <w:sz w:val="12"/>
          <w:szCs w:val="12"/>
          <w:color w:val="auto"/>
        </w:rPr>
        <w:t>Our operating activities provided cash of $62.4 million for the three months ended December 31, 2017, and our financing activities used cash of $27.8 million for the same period. Our operating activities provided cash from sales and repayments on our investments and our financing activities used cash primarily to pay distributions to stockholders and repay the SBA debentures.</w:t>
      </w:r>
    </w:p>
    <w:p>
      <w:pPr>
        <w:spacing w:after="0" w:line="60" w:lineRule="exact"/>
        <w:rPr>
          <w:sz w:val="20"/>
          <w:szCs w:val="20"/>
          <w:color w:val="auto"/>
        </w:rPr>
      </w:pPr>
    </w:p>
    <w:p>
      <w:pPr>
        <w:ind w:right="500" w:firstLine="434"/>
        <w:spacing w:after="0" w:line="290" w:lineRule="auto"/>
        <w:rPr>
          <w:sz w:val="20"/>
          <w:szCs w:val="20"/>
          <w:color w:val="auto"/>
        </w:rPr>
      </w:pPr>
      <w:r>
        <w:rPr>
          <w:rFonts w:ascii="Arial" w:cs="Arial" w:eastAsia="Arial" w:hAnsi="Arial"/>
          <w:sz w:val="13"/>
          <w:szCs w:val="13"/>
          <w:color w:val="auto"/>
        </w:rPr>
        <w:t>Our operating activities used cash of $108.3 million for the three months ended December 31, 2016, and our financing activities provided cash of $77.9 million for the same period. Our operating activities used cash primarily for our investment activities and our financing activities provided cash primarily for net borrowings under the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2017,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79.4</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4"/>
                <w:szCs w:val="14"/>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513.4</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37.5</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0.4</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19.4</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550.9</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251.9</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right="160" w:hanging="372"/>
        <w:spacing w:after="0" w:line="230"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2017, excluding debt issuance costs, was 3.68% exclusive of the fee on the undrawn commitment on the Credit Facility and 3.43% of upfront fees on SBA debentures.</w:t>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2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ind w:right="260" w:firstLine="434"/>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420" w:firstLine="434"/>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120" w:firstLine="434"/>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7" w:lineRule="exact"/>
        <w:rPr>
          <w:sz w:val="20"/>
          <w:szCs w:val="20"/>
          <w:color w:val="auto"/>
        </w:rPr>
      </w:pPr>
    </w:p>
    <w:p>
      <w:pPr>
        <w:ind w:right="260" w:firstLine="434"/>
        <w:spacing w:after="0" w:line="283" w:lineRule="auto"/>
        <w:rPr>
          <w:sz w:val="20"/>
          <w:szCs w:val="20"/>
          <w:color w:val="auto"/>
        </w:rPr>
      </w:pPr>
      <w:r>
        <w:rPr>
          <w:rFonts w:ascii="Arial" w:cs="Arial" w:eastAsia="Arial" w:hAnsi="Arial"/>
          <w:sz w:val="12"/>
          <w:szCs w:val="12"/>
          <w:color w:val="auto"/>
        </w:rPr>
        <w:t>During the three months ended December 31, 2017 and 2016, we declared distributions of $0.18 and $0.28 per share, respectively, for total distributions of $12.8 million and $19.9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60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right="140"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We entered into the Second Amended and Restated Investment Advisory Management Agreement, dated February 6, 2018, between the Company and the Investment Adviser to implement the previously announced permanent reductions in base management and incentive fees. Under the agreement, (i) base management fees are 1.50% of the Company’s “average adjusted gross assets”, (ii) the income-based incentive fee is 17.5% of the Company’s pre-incentive fee net investment income (subject to a 7.00% annualized “hurdle rate” and 100% “catch-up” with a ceiling of 8.4848%) and</w:t>
      </w:r>
    </w:p>
    <w:p>
      <w:pPr>
        <w:ind w:left="460" w:right="5680" w:hanging="452"/>
        <w:spacing w:after="0" w:line="502" w:lineRule="auto"/>
        <w:tabs>
          <w:tab w:leader="none" w:pos="245"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capital gains incentive fee is 17.5% of the Company’s cumulative net realized capital gains. Subsequent to quarter-end, $21.2 million of our equity investments have been monetized.</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80" w:firstLine="434"/>
        <w:spacing w:after="0" w:line="251" w:lineRule="auto"/>
        <w:rPr>
          <w:sz w:val="20"/>
          <w:szCs w:val="20"/>
          <w:color w:val="auto"/>
        </w:rPr>
      </w:pPr>
      <w:r>
        <w:rPr>
          <w:rFonts w:ascii="Arial" w:cs="Arial" w:eastAsia="Arial" w:hAnsi="Arial"/>
          <w:sz w:val="13"/>
          <w:szCs w:val="13"/>
          <w:color w:val="auto"/>
        </w:rPr>
        <w:t>We are subject to financial market risks, including changes in interest rates. As of December 31, 2017, our debt portfolio consisted of 82% variable-rate investments (including 12% where LIBOR was below the floor) and 18%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9" w:lineRule="exact"/>
        <w:rPr>
          <w:sz w:val="20"/>
          <w:szCs w:val="20"/>
          <w:color w:val="auto"/>
        </w:rPr>
      </w:pPr>
    </w:p>
    <w:p>
      <w:pPr>
        <w:ind w:right="26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(5,595)</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6,725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13,403</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20,081</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26,760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18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2017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4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2017,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3" w:name="page34"/>
    <w:bookmarkEnd w:id="33"/>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4" w:lineRule="exact"/>
        <w:rPr>
          <w:sz w:val="20"/>
          <w:szCs w:val="20"/>
          <w:color w:val="auto"/>
        </w:rPr>
      </w:pPr>
    </w:p>
    <w:p>
      <w:pPr>
        <w:spacing w:after="0"/>
        <w:tabs>
          <w:tab w:leader="none" w:pos="52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55">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40"/>
        <w:spacing w:after="0"/>
        <w:rPr>
          <w:rFonts w:ascii="Arial" w:cs="Arial" w:eastAsia="Arial" w:hAnsi="Arial"/>
          <w:sz w:val="14"/>
          <w:szCs w:val="14"/>
          <w:u w:val="single" w:color="auto"/>
          <w:color w:val="0000EE"/>
        </w:rPr>
      </w:pPr>
      <w:hyperlink r:id="rId55">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540" w:right="680" w:hanging="525"/>
        <w:spacing w:after="0" w:line="253" w:lineRule="auto"/>
        <w:tabs>
          <w:tab w:leader="none" w:pos="52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56">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56">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spacing w:after="0"/>
        <w:tabs>
          <w:tab w:leader="none" w:pos="52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57">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spacing w:after="0"/>
        <w:tabs>
          <w:tab w:leader="none" w:pos="520" w:val="left"/>
        </w:tabs>
        <w:rPr>
          <w:rFonts w:ascii="Arial" w:cs="Arial" w:eastAsia="Arial" w:hAnsi="Arial"/>
          <w:sz w:val="12"/>
          <w:szCs w:val="12"/>
          <w:u w:val="single" w:color="auto"/>
          <w:color w:val="0000EE"/>
        </w:rPr>
      </w:pPr>
      <w:r>
        <w:rPr>
          <w:rFonts w:ascii="Arial" w:cs="Arial" w:eastAsia="Arial" w:hAnsi="Arial"/>
          <w:sz w:val="14"/>
          <w:szCs w:val="14"/>
          <w:color w:val="auto"/>
        </w:rPr>
        <w:t>10.1*</w:t>
      </w:r>
      <w:r>
        <w:rPr>
          <w:sz w:val="20"/>
          <w:szCs w:val="20"/>
          <w:color w:val="auto"/>
        </w:rPr>
        <w:tab/>
      </w:r>
      <w:hyperlink w:anchor="page36">
        <w:r>
          <w:rPr>
            <w:rFonts w:ascii="Arial" w:cs="Arial" w:eastAsia="Arial" w:hAnsi="Arial"/>
            <w:sz w:val="12"/>
            <w:szCs w:val="12"/>
            <w:u w:val="single" w:color="auto"/>
            <w:color w:val="0000EE"/>
          </w:rPr>
          <w:t>Second Amended and Restated Investment Advisory Management Agreement, dated as of February 6, 2018, between the Registrant and PennantPark Investment Advisers, LLC.</w:t>
        </w:r>
      </w:hyperlink>
    </w:p>
    <w:p>
      <w:pPr>
        <w:spacing w:after="0" w:line="136" w:lineRule="exact"/>
        <w:rPr>
          <w:sz w:val="20"/>
          <w:szCs w:val="20"/>
          <w:color w:val="auto"/>
        </w:rPr>
      </w:pPr>
    </w:p>
    <w:p>
      <w:pPr>
        <w:ind w:right="3200" w:firstLine="8"/>
        <w:spacing w:after="0" w:line="476" w:lineRule="auto"/>
        <w:tabs>
          <w:tab w:leader="none" w:pos="526" w:val="left"/>
        </w:tabs>
        <w:numPr>
          <w:ilvl w:val="0"/>
          <w:numId w:val="26"/>
        </w:numPr>
        <w:rPr>
          <w:rFonts w:ascii="Arial" w:cs="Arial" w:eastAsia="Arial" w:hAnsi="Arial"/>
          <w:sz w:val="13"/>
          <w:szCs w:val="13"/>
          <w:color w:val="000000"/>
        </w:rPr>
      </w:pPr>
      <w:hyperlink w:anchor="page21">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41">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42">
        <w:r>
          <w:rPr>
            <w:rFonts w:ascii="Arial" w:cs="Arial" w:eastAsia="Arial" w:hAnsi="Arial"/>
            <w:sz w:val="14"/>
            <w:szCs w:val="14"/>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43">
        <w:r>
          <w:rPr>
            <w:rFonts w:ascii="Arial" w:cs="Arial" w:eastAsia="Arial" w:hAnsi="Arial"/>
            <w:sz w:val="14"/>
            <w:szCs w:val="14"/>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44">
        <w:r>
          <w:rPr>
            <w:rFonts w:ascii="Arial" w:cs="Arial" w:eastAsia="Arial" w:hAnsi="Arial"/>
            <w:sz w:val="14"/>
            <w:szCs w:val="14"/>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color w:val="auto"/>
        </w:rPr>
      </w:pPr>
    </w:p>
    <w:p>
      <w:pPr>
        <w:ind w:right="260"/>
        <w:spacing w:after="0" w:line="51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58">
        <w:r>
          <w:rPr>
            <w:rFonts w:ascii="Arial" w:cs="Arial" w:eastAsia="Arial" w:hAnsi="Arial"/>
            <w:sz w:val="14"/>
            <w:szCs w:val="14"/>
            <w:u w:val="single" w:color="auto"/>
            <w:color w:val="0000EE"/>
          </w:rPr>
          <w:t>Privacy Policy of the Registrant (Incorporated by reference to Exhibit 99.1 to the Registrant’s Annual Report on Form 10-K (File No. 814-00736), filed on November 16,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345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7" w:lineRule="exact"/>
        <w:rPr>
          <w:rFonts w:ascii="Arial" w:cs="Arial" w:eastAsia="Arial" w:hAnsi="Arial"/>
          <w:sz w:val="14"/>
          <w:szCs w:val="14"/>
          <w:color w:val="auto"/>
        </w:rPr>
      </w:pPr>
    </w:p>
    <w:p>
      <w:pPr>
        <w:jc w:val="center"/>
        <w:ind w:right="-279"/>
        <w:spacing w:after="0"/>
        <w:rPr>
          <w:sz w:val="20"/>
          <w:szCs w:val="20"/>
          <w:color w:val="auto"/>
        </w:rPr>
      </w:pPr>
      <w:r>
        <w:rPr>
          <w:rFonts w:ascii="Arial" w:cs="Arial" w:eastAsia="Arial" w:hAnsi="Arial"/>
          <w:sz w:val="14"/>
          <w:szCs w:val="14"/>
          <w:color w:val="auto"/>
        </w:rPr>
        <w:t>34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34" w:name="page35"/>
    <w:bookmarkEnd w:id="34"/>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2980" w:type="dxa"/>
            <w:vAlign w:val="bottom"/>
          </w:tcPr>
          <w:p>
            <w:pPr>
              <w:spacing w:after="0"/>
              <w:rPr>
                <w:sz w:val="20"/>
                <w:szCs w:val="20"/>
                <w:color w:val="auto"/>
              </w:rPr>
            </w:pPr>
            <w:r>
              <w:rPr>
                <w:rFonts w:ascii="Arial" w:cs="Arial" w:eastAsia="Arial" w:hAnsi="Arial"/>
                <w:sz w:val="14"/>
                <w:szCs w:val="14"/>
                <w:color w:val="auto"/>
              </w:rPr>
              <w:t>Date: February 7, 2018</w:t>
            </w:r>
          </w:p>
        </w:tc>
        <w:tc>
          <w:tcPr>
            <w:tcW w:w="1860" w:type="dxa"/>
            <w:vAlign w:val="bottom"/>
            <w:vMerge w:val="restart"/>
          </w:tcPr>
          <w:p>
            <w:pPr>
              <w:ind w:left="16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2980" w:type="dxa"/>
            <w:vAlign w:val="bottom"/>
          </w:tcPr>
          <w:p>
            <w:pPr>
              <w:spacing w:after="0"/>
              <w:rPr>
                <w:sz w:val="20"/>
                <w:szCs w:val="20"/>
                <w:color w:val="auto"/>
              </w:rPr>
            </w:pPr>
            <w:r>
              <w:rPr>
                <w:rFonts w:ascii="Arial" w:cs="Arial" w:eastAsia="Arial" w:hAnsi="Arial"/>
                <w:sz w:val="14"/>
                <w:szCs w:val="14"/>
                <w:color w:val="auto"/>
              </w:rPr>
              <w:t>Date: February 7, 2018</w:t>
            </w:r>
          </w:p>
        </w:tc>
        <w:tc>
          <w:tcPr>
            <w:tcW w:w="1860" w:type="dxa"/>
            <w:vAlign w:val="bottom"/>
            <w:vMerge w:val="restart"/>
          </w:tcPr>
          <w:p>
            <w:pPr>
              <w:ind w:left="16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60" w:right="1480" w:hanging="1376"/>
        <w:spacing w:after="0" w:line="473" w:lineRule="auto"/>
        <w:rPr>
          <w:sz w:val="20"/>
          <w:szCs w:val="20"/>
          <w:color w:val="auto"/>
        </w:rPr>
      </w:pPr>
      <w:r>
        <w:rPr>
          <w:rFonts w:ascii="Arial" w:cs="Arial" w:eastAsia="Arial" w:hAnsi="Arial"/>
          <w:sz w:val="13"/>
          <w:szCs w:val="13"/>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-19050</wp:posOffset>
            </wp:positionV>
            <wp:extent cx="2905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3810</wp:posOffset>
            </wp:positionV>
            <wp:extent cx="2905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620" w:space="720"/>
            <w:col w:w="4600"/>
          </w:cols>
          <w:pgMar w:left="320" w:top="333" w:right="639" w:bottom="1440" w:gutter="0" w:footer="0" w:header="0"/>
          <w:type w:val="continuous"/>
        </w:sect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940"/>
          </w:cols>
          <w:pgMar w:left="320" w:top="333" w:right="6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10.1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SECOND AMENDED AND RESTATED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INVESTMENT ADVISORY MANAGEMENT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BETWEEN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INVESTMENT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INVESTMENT ADVISERS, LLC</w:t>
      </w:r>
    </w:p>
    <w:p>
      <w:pPr>
        <w:spacing w:after="0" w:line="200" w:lineRule="exact"/>
        <w:rPr>
          <w:sz w:val="20"/>
          <w:szCs w:val="20"/>
          <w:color w:val="auto"/>
        </w:rPr>
      </w:pPr>
    </w:p>
    <w:p>
      <w:pPr>
        <w:spacing w:after="0" w:line="264" w:lineRule="exact"/>
        <w:rPr>
          <w:sz w:val="20"/>
          <w:szCs w:val="20"/>
          <w:color w:val="auto"/>
        </w:rPr>
      </w:pPr>
    </w:p>
    <w:p>
      <w:pPr>
        <w:ind w:firstLine="589"/>
        <w:spacing w:after="0" w:line="253" w:lineRule="auto"/>
        <w:rPr>
          <w:sz w:val="20"/>
          <w:szCs w:val="20"/>
          <w:color w:val="auto"/>
        </w:rPr>
      </w:pPr>
      <w:r>
        <w:rPr>
          <w:rFonts w:ascii="Arial" w:cs="Arial" w:eastAsia="Arial" w:hAnsi="Arial"/>
          <w:sz w:val="14"/>
          <w:szCs w:val="14"/>
          <w:color w:val="auto"/>
        </w:rPr>
        <w:t>Agreement made this 6th day of February 2018, by and between PENNANTPARK INVESTMENT CORPORATION, a Maryland corporation (the “Corporation”), and PENNANTPARK INVESTMENT ADVISERS, LLC, a Delaware limited liability company (the “Adviser”).</w:t>
      </w:r>
    </w:p>
    <w:p>
      <w:pPr>
        <w:spacing w:after="0" w:line="120" w:lineRule="exact"/>
        <w:rPr>
          <w:sz w:val="20"/>
          <w:szCs w:val="20"/>
          <w:color w:val="auto"/>
        </w:rPr>
      </w:pPr>
    </w:p>
    <w:p>
      <w:pPr>
        <w:ind w:right="20" w:firstLine="589"/>
        <w:spacing w:after="0" w:line="253" w:lineRule="auto"/>
        <w:rPr>
          <w:sz w:val="20"/>
          <w:szCs w:val="20"/>
          <w:color w:val="auto"/>
        </w:rPr>
      </w:pPr>
      <w:r>
        <w:rPr>
          <w:rFonts w:ascii="Arial" w:cs="Arial" w:eastAsia="Arial" w:hAnsi="Arial"/>
          <w:sz w:val="14"/>
          <w:szCs w:val="14"/>
          <w:color w:val="auto"/>
        </w:rPr>
        <w:t>WHEREAS, the Corporation operates as a closed-end management investment company that has elected to be treated as a business development company under the Investment Company Act of 1940, as amended (the “Investment Company Act”);</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WHEREAS, the Adviser is registered as an investment adviser under the Investment Advisers Act of 1940, as amended (the “Advisers Act”);</w:t>
      </w:r>
    </w:p>
    <w:p>
      <w:pPr>
        <w:spacing w:after="0" w:line="136" w:lineRule="exact"/>
        <w:rPr>
          <w:sz w:val="20"/>
          <w:szCs w:val="20"/>
          <w:color w:val="auto"/>
        </w:rPr>
      </w:pPr>
    </w:p>
    <w:p>
      <w:pPr>
        <w:ind w:firstLine="589"/>
        <w:spacing w:after="0" w:line="253" w:lineRule="auto"/>
        <w:rPr>
          <w:sz w:val="20"/>
          <w:szCs w:val="20"/>
          <w:color w:val="auto"/>
        </w:rPr>
      </w:pPr>
      <w:r>
        <w:rPr>
          <w:rFonts w:ascii="Arial" w:cs="Arial" w:eastAsia="Arial" w:hAnsi="Arial"/>
          <w:sz w:val="14"/>
          <w:szCs w:val="14"/>
          <w:color w:val="auto"/>
        </w:rPr>
        <w:t>WHEREAS, the Corporation and the Adviser are parties to that certain amended and restated investment advisory management agreement dated February 2, 2016, by and between the Corporation and the Adviser (the “Prior Agreement”);</w:t>
      </w:r>
    </w:p>
    <w:p>
      <w:pPr>
        <w:spacing w:after="0" w:line="106" w:lineRule="exact"/>
        <w:rPr>
          <w:sz w:val="20"/>
          <w:szCs w:val="20"/>
          <w:color w:val="auto"/>
        </w:rPr>
      </w:pPr>
    </w:p>
    <w:p>
      <w:pPr>
        <w:ind w:firstLine="589"/>
        <w:spacing w:after="0" w:line="253" w:lineRule="auto"/>
        <w:rPr>
          <w:sz w:val="20"/>
          <w:szCs w:val="20"/>
          <w:color w:val="auto"/>
        </w:rPr>
      </w:pPr>
      <w:r>
        <w:rPr>
          <w:rFonts w:ascii="Arial" w:cs="Arial" w:eastAsia="Arial" w:hAnsi="Arial"/>
          <w:sz w:val="14"/>
          <w:szCs w:val="14"/>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06" w:lineRule="exact"/>
        <w:rPr>
          <w:sz w:val="20"/>
          <w:szCs w:val="20"/>
          <w:color w:val="auto"/>
        </w:rPr>
      </w:pPr>
    </w:p>
    <w:p>
      <w:pPr>
        <w:ind w:firstLine="589"/>
        <w:spacing w:after="0" w:line="253" w:lineRule="auto"/>
        <w:rPr>
          <w:sz w:val="20"/>
          <w:szCs w:val="20"/>
          <w:color w:val="auto"/>
        </w:rPr>
      </w:pPr>
      <w:r>
        <w:rPr>
          <w:rFonts w:ascii="Arial" w:cs="Arial" w:eastAsia="Arial" w:hAnsi="Arial"/>
          <w:sz w:val="14"/>
          <w:szCs w:val="14"/>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NOW, THEREFORE, in consideration of the premises and for other good and valuable consideration, the parties hereby agree as follows: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 Duties of the Adviser.</w:t>
      </w:r>
    </w:p>
    <w:p>
      <w:pPr>
        <w:spacing w:after="0" w:line="150" w:lineRule="exact"/>
        <w:rPr>
          <w:sz w:val="20"/>
          <w:szCs w:val="20"/>
          <w:color w:val="auto"/>
        </w:rPr>
      </w:pPr>
    </w:p>
    <w:p>
      <w:pPr>
        <w:jc w:val="both"/>
        <w:ind w:firstLine="597"/>
        <w:spacing w:after="0" w:line="242" w:lineRule="auto"/>
        <w:tabs>
          <w:tab w:leader="none" w:pos="793"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Investment Company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32" w:lineRule="exact"/>
        <w:rPr>
          <w:rFonts w:ascii="Arial" w:cs="Arial" w:eastAsia="Arial" w:hAnsi="Arial"/>
          <w:sz w:val="13"/>
          <w:szCs w:val="13"/>
          <w:color w:val="auto"/>
        </w:rPr>
      </w:pPr>
    </w:p>
    <w:p>
      <w:pPr>
        <w:ind w:left="800" w:hanging="203"/>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Adviser hereby accepts such employment and agrees during the term hereof to render the services described herein for the compensation provided herein.</w:t>
      </w:r>
    </w:p>
    <w:p>
      <w:pPr>
        <w:spacing w:after="0" w:line="149" w:lineRule="exact"/>
        <w:rPr>
          <w:rFonts w:ascii="Arial" w:cs="Arial" w:eastAsia="Arial" w:hAnsi="Arial"/>
          <w:sz w:val="14"/>
          <w:szCs w:val="14"/>
          <w:color w:val="auto"/>
        </w:rPr>
      </w:pPr>
    </w:p>
    <w:p>
      <w:pPr>
        <w:jc w:val="both"/>
        <w:ind w:firstLine="597"/>
        <w:spacing w:after="0" w:line="229" w:lineRule="auto"/>
        <w:tabs>
          <w:tab w:leader="none" w:pos="79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Subject to the requirements of the Investment Company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31" w:lineRule="exact"/>
        <w:rPr>
          <w:rFonts w:ascii="Arial" w:cs="Arial" w:eastAsia="Arial" w:hAnsi="Arial"/>
          <w:sz w:val="14"/>
          <w:szCs w:val="14"/>
          <w:color w:val="auto"/>
        </w:rPr>
      </w:pPr>
    </w:p>
    <w:p>
      <w:pPr>
        <w:ind w:right="20" w:firstLine="597"/>
        <w:spacing w:after="0" w:line="253" w:lineRule="auto"/>
        <w:tabs>
          <w:tab w:leader="none" w:pos="79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both"/>
        <w:ind w:left="-597" w:firstLine="597"/>
        <w:spacing w:after="0" w:line="231" w:lineRule="auto"/>
        <w:tabs>
          <w:tab w:leader="none" w:pos="19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Adviser shall keep and preserve, in the manner and for the period that would be applicable to investment companies registered under the Investment Company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30" w:lineRule="exact"/>
        <w:rPr>
          <w:sz w:val="20"/>
          <w:szCs w:val="20"/>
          <w:color w:val="auto"/>
        </w:rPr>
      </w:pPr>
    </w:p>
    <w:p>
      <w:pPr>
        <w:jc w:val="both"/>
        <w:ind w:left="-597" w:firstLine="597"/>
        <w:spacing w:after="0" w:line="241" w:lineRule="auto"/>
        <w:tabs>
          <w:tab w:leader="none" w:pos="136"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Corporation’s Responsibilities and Expenses Payable by the Corporation</w:t>
      </w:r>
      <w:r>
        <w:rPr>
          <w:rFonts w:ascii="Arial" w:cs="Arial" w:eastAsia="Arial" w:hAnsi="Arial"/>
          <w:sz w:val="13"/>
          <w:szCs w:val="13"/>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between the Corporation and PennantPark Investment Administration,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22" w:lineRule="exact"/>
        <w:rPr>
          <w:rFonts w:ascii="Arial" w:cs="Arial" w:eastAsia="Arial" w:hAnsi="Arial"/>
          <w:sz w:val="13"/>
          <w:szCs w:val="13"/>
          <w:color w:val="auto"/>
        </w:rPr>
      </w:pPr>
    </w:p>
    <w:p>
      <w:pPr>
        <w:jc w:val="both"/>
        <w:ind w:left="-597" w:firstLine="597"/>
        <w:spacing w:after="0" w:line="233" w:lineRule="auto"/>
        <w:tabs>
          <w:tab w:leader="none" w:pos="149"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Compensation of the Adviser.</w:t>
      </w:r>
      <w:r>
        <w:rPr>
          <w:rFonts w:ascii="Arial" w:cs="Arial" w:eastAsia="Arial" w:hAnsi="Arial"/>
          <w:sz w:val="14"/>
          <w:szCs w:val="14"/>
          <w:color w:val="auto"/>
        </w:rPr>
        <w:t xml:space="preserve">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31" w:lineRule="exact"/>
        <w:rPr>
          <w:sz w:val="20"/>
          <w:szCs w:val="20"/>
          <w:color w:val="auto"/>
        </w:rPr>
      </w:pPr>
    </w:p>
    <w:p>
      <w:pPr>
        <w:jc w:val="both"/>
        <w:ind w:left="-597" w:firstLine="597"/>
        <w:spacing w:after="0" w:line="251" w:lineRule="auto"/>
        <w:tabs>
          <w:tab w:leader="none" w:pos="202" w:val="left"/>
        </w:tabs>
        <w:numPr>
          <w:ilvl w:val="0"/>
          <w:numId w:val="30"/>
        </w:numPr>
        <w:rPr>
          <w:rFonts w:ascii="Arial" w:cs="Arial" w:eastAsia="Arial" w:hAnsi="Arial"/>
          <w:sz w:val="13"/>
          <w:szCs w:val="13"/>
          <w:color w:val="auto"/>
        </w:rPr>
      </w:pPr>
      <w:r>
        <w:rPr>
          <w:rFonts w:ascii="Arial" w:cs="Arial" w:eastAsia="Arial" w:hAnsi="Arial"/>
          <w:sz w:val="13"/>
          <w:szCs w:val="13"/>
          <w:color w:val="auto"/>
        </w:rPr>
        <w:t>Effective as of January 1, 2018, the Base Management Fee shall be calculated at an annual rate of 1.5%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The Base Management Fee will be payable quarterly in arrears and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22" w:lineRule="exact"/>
        <w:rPr>
          <w:rFonts w:ascii="Arial" w:cs="Arial" w:eastAsia="Arial" w:hAnsi="Arial"/>
          <w:sz w:val="13"/>
          <w:szCs w:val="13"/>
          <w:color w:val="auto"/>
        </w:rPr>
      </w:pPr>
    </w:p>
    <w:p>
      <w:pPr>
        <w:ind w:left="203" w:hanging="203"/>
        <w:spacing w:after="0"/>
        <w:tabs>
          <w:tab w:leader="none" w:pos="203" w:val="left"/>
        </w:tabs>
        <w:numPr>
          <w:ilvl w:val="0"/>
          <w:numId w:val="30"/>
        </w:numPr>
        <w:rPr>
          <w:rFonts w:ascii="Arial" w:cs="Arial" w:eastAsia="Arial" w:hAnsi="Arial"/>
          <w:sz w:val="14"/>
          <w:szCs w:val="14"/>
          <w:color w:val="auto"/>
        </w:rPr>
      </w:pPr>
      <w:r>
        <w:rPr>
          <w:rFonts w:ascii="Arial" w:cs="Arial" w:eastAsia="Arial" w:hAnsi="Arial"/>
          <w:sz w:val="14"/>
          <w:szCs w:val="14"/>
          <w:color w:val="auto"/>
        </w:rPr>
        <w:t>Effective as of January 1, 2018, the Incentive Fee shall consist of two parts, as follows:</w:t>
      </w:r>
    </w:p>
    <w:p>
      <w:pPr>
        <w:spacing w:after="0" w:line="149" w:lineRule="exact"/>
        <w:rPr>
          <w:rFonts w:ascii="Arial" w:cs="Arial" w:eastAsia="Arial" w:hAnsi="Arial"/>
          <w:sz w:val="14"/>
          <w:szCs w:val="14"/>
          <w:color w:val="auto"/>
        </w:rPr>
      </w:pPr>
    </w:p>
    <w:p>
      <w:pPr>
        <w:jc w:val="both"/>
        <w:ind w:left="703" w:hanging="442"/>
        <w:spacing w:after="0" w:line="242" w:lineRule="auto"/>
        <w:tabs>
          <w:tab w:leader="none" w:pos="703" w:val="left"/>
        </w:tabs>
        <w:numPr>
          <w:ilvl w:val="1"/>
          <w:numId w:val="30"/>
        </w:numPr>
        <w:rPr>
          <w:rFonts w:ascii="Arial" w:cs="Arial" w:eastAsia="Arial" w:hAnsi="Arial"/>
          <w:sz w:val="13"/>
          <w:szCs w:val="13"/>
          <w:color w:val="auto"/>
        </w:rPr>
      </w:pPr>
      <w:r>
        <w:rPr>
          <w:rFonts w:ascii="Arial" w:cs="Arial" w:eastAsia="Arial" w:hAnsi="Arial"/>
          <w:sz w:val="13"/>
          <w:szCs w:val="13"/>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the Corporation’s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 (7.00% annualized).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100% of the Corporation’s pre-Incentive Fee net investment income with respect to that portion of such pre-Incentive Fee net investment income, if any, that exceeds the hurdle rate but is less than 2.1212% in any calendar quarter (8.4848% annualized); and (3) 17.5% of the amount of the Corporation’s pre-Incentive Fee net investment income, if any, that exceeds 2.1212% in any calendar quarter. These calculations will be appropriately prorated for any period of less than three months and adjusted for any share issuances or repurchases during the relevant quarter.</w:t>
      </w:r>
    </w:p>
    <w:p>
      <w:pPr>
        <w:spacing w:after="0" w:line="128" w:lineRule="exact"/>
        <w:rPr>
          <w:rFonts w:ascii="Arial" w:cs="Arial" w:eastAsia="Arial" w:hAnsi="Arial"/>
          <w:sz w:val="13"/>
          <w:szCs w:val="13"/>
          <w:color w:val="auto"/>
        </w:rPr>
      </w:pPr>
    </w:p>
    <w:p>
      <w:pPr>
        <w:jc w:val="both"/>
        <w:ind w:left="703" w:hanging="442"/>
        <w:spacing w:after="0" w:line="238" w:lineRule="auto"/>
        <w:tabs>
          <w:tab w:leader="none" w:pos="703"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second part of the Incentive Fee (the “Capital Gains Fee”) will be determined and payable in arrears as of the end of each calendar year (or upon termination of this Agreement as set forth below), commencing on December 31, 2018, and will equal 17.5% of the Corporation’s realized capital gains, if any, on a cumulative basis from inception through the end of each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342265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43"/>
          </w:cols>
          <w:pgMar w:left="917" w:top="350" w:right="339" w:bottom="1440" w:gutter="0" w:footer="0" w:header="0"/>
        </w:sectPr>
      </w:pPr>
    </w:p>
    <w:bookmarkStart w:id="37" w:name="page38"/>
    <w:bookmarkEnd w:id="37"/>
    <w:p>
      <w:pPr>
        <w:jc w:val="both"/>
        <w:ind w:left="703"/>
        <w:spacing w:after="0" w:line="238" w:lineRule="auto"/>
        <w:rPr>
          <w:sz w:val="20"/>
          <w:szCs w:val="20"/>
          <w:color w:val="auto"/>
        </w:rPr>
      </w:pPr>
      <w:r>
        <w:rPr>
          <w:rFonts w:ascii="Arial" w:cs="Arial" w:eastAsia="Arial" w:hAnsi="Arial"/>
          <w:sz w:val="14"/>
          <w:szCs w:val="14"/>
          <w:color w:val="auto"/>
        </w:rPr>
        <w:t>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pacing w:after="0" w:line="129" w:lineRule="exact"/>
        <w:rPr>
          <w:sz w:val="20"/>
          <w:szCs w:val="20"/>
          <w:color w:val="auto"/>
        </w:rPr>
      </w:pPr>
    </w:p>
    <w:p>
      <w:pPr>
        <w:ind w:left="-597" w:firstLine="597"/>
        <w:spacing w:after="0" w:line="253" w:lineRule="auto"/>
        <w:tabs>
          <w:tab w:leader="none" w:pos="136"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Covenants of the Adviser.</w:t>
      </w:r>
      <w:r>
        <w:rPr>
          <w:rFonts w:ascii="Arial" w:cs="Arial" w:eastAsia="Arial" w:hAnsi="Arial"/>
          <w:sz w:val="14"/>
          <w:szCs w:val="14"/>
          <w:color w:val="auto"/>
        </w:rPr>
        <w:t xml:space="preserve">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19" w:lineRule="exact"/>
        <w:rPr>
          <w:rFonts w:ascii="Arial" w:cs="Arial" w:eastAsia="Arial" w:hAnsi="Arial"/>
          <w:sz w:val="14"/>
          <w:szCs w:val="14"/>
          <w:color w:val="auto"/>
        </w:rPr>
      </w:pPr>
    </w:p>
    <w:p>
      <w:pPr>
        <w:jc w:val="both"/>
        <w:ind w:left="-597" w:firstLine="597"/>
        <w:spacing w:after="0" w:line="229" w:lineRule="auto"/>
        <w:tabs>
          <w:tab w:leader="none" w:pos="136"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Excess Brokerage Commissions.</w:t>
      </w:r>
      <w:r>
        <w:rPr>
          <w:rFonts w:ascii="Arial" w:cs="Arial" w:eastAsia="Arial" w:hAnsi="Arial"/>
          <w:sz w:val="14"/>
          <w:szCs w:val="14"/>
          <w:color w:val="auto"/>
        </w:rPr>
        <w:t xml:space="preserve">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31" w:lineRule="exact"/>
        <w:rPr>
          <w:rFonts w:ascii="Arial" w:cs="Arial" w:eastAsia="Arial" w:hAnsi="Arial"/>
          <w:sz w:val="14"/>
          <w:szCs w:val="14"/>
          <w:color w:val="auto"/>
        </w:rPr>
      </w:pPr>
    </w:p>
    <w:p>
      <w:pPr>
        <w:jc w:val="both"/>
        <w:ind w:left="-597" w:firstLine="597"/>
        <w:spacing w:after="0" w:line="244" w:lineRule="auto"/>
        <w:tabs>
          <w:tab w:leader="none" w:pos="136"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Limitations on the Employment of the Adviser.</w:t>
      </w:r>
      <w:r>
        <w:rPr>
          <w:rFonts w:ascii="Arial" w:cs="Arial" w:eastAsia="Arial" w:hAnsi="Arial"/>
          <w:sz w:val="13"/>
          <w:szCs w:val="13"/>
          <w:color w:val="auto"/>
        </w:rPr>
        <w:t xml:space="preserve">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27" w:lineRule="exact"/>
        <w:rPr>
          <w:rFonts w:ascii="Arial" w:cs="Arial" w:eastAsia="Arial" w:hAnsi="Arial"/>
          <w:sz w:val="13"/>
          <w:szCs w:val="13"/>
          <w:color w:val="auto"/>
        </w:rPr>
      </w:pPr>
    </w:p>
    <w:p>
      <w:pPr>
        <w:jc w:val="both"/>
        <w:ind w:left="-597" w:firstLine="597"/>
        <w:spacing w:after="0" w:line="233" w:lineRule="auto"/>
        <w:tabs>
          <w:tab w:leader="none" w:pos="149"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Responsibility of Dual Directors, Officers and/or Employees.</w:t>
      </w:r>
      <w:r>
        <w:rPr>
          <w:rFonts w:ascii="Arial" w:cs="Arial" w:eastAsia="Arial" w:hAnsi="Arial"/>
          <w:sz w:val="14"/>
          <w:szCs w:val="14"/>
          <w:color w:val="auto"/>
        </w:rPr>
        <w:t xml:space="preserve">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30" w:lineRule="exact"/>
        <w:rPr>
          <w:rFonts w:ascii="Arial" w:cs="Arial" w:eastAsia="Arial" w:hAnsi="Arial"/>
          <w:sz w:val="14"/>
          <w:szCs w:val="14"/>
          <w:color w:val="auto"/>
        </w:rPr>
      </w:pPr>
    </w:p>
    <w:p>
      <w:pPr>
        <w:jc w:val="both"/>
        <w:ind w:left="-597" w:firstLine="597"/>
        <w:spacing w:after="0" w:line="242" w:lineRule="auto"/>
        <w:tabs>
          <w:tab w:leader="none" w:pos="136"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Limitation of Liability of the Adviser; Indemnification.</w:t>
      </w:r>
      <w:r>
        <w:rPr>
          <w:rFonts w:ascii="Arial" w:cs="Arial" w:eastAsia="Arial" w:hAnsi="Arial"/>
          <w:sz w:val="13"/>
          <w:szCs w:val="13"/>
          <w:color w:val="auto"/>
        </w:rPr>
        <w:t xml:space="preserve">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Investment Company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130" w:lineRule="exact"/>
        <w:rPr>
          <w:rFonts w:ascii="Arial" w:cs="Arial" w:eastAsia="Arial" w:hAnsi="Arial"/>
          <w:sz w:val="13"/>
          <w:szCs w:val="13"/>
          <w:color w:val="auto"/>
        </w:rPr>
      </w:pPr>
    </w:p>
    <w:p>
      <w:pPr>
        <w:jc w:val="both"/>
        <w:ind w:left="-597" w:firstLine="597"/>
        <w:spacing w:after="0" w:line="244" w:lineRule="auto"/>
        <w:tabs>
          <w:tab w:leader="none" w:pos="136"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Effectiveness, Duration and Termination of Agreement.</w:t>
      </w:r>
      <w:r>
        <w:rPr>
          <w:rFonts w:ascii="Arial" w:cs="Arial" w:eastAsia="Arial" w:hAnsi="Arial"/>
          <w:sz w:val="13"/>
          <w:szCs w:val="13"/>
          <w:color w:val="auto"/>
        </w:rPr>
        <w:t xml:space="preserve"> This Agreement shall become effective as of the first date above written. This Agreement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Investment Company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343535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43"/>
          </w:cols>
          <w:pgMar w:left="917" w:top="512" w:right="339" w:bottom="1440" w:gutter="0" w:footer="0" w:header="0"/>
        </w:sectPr>
      </w:pPr>
    </w:p>
    <w:bookmarkStart w:id="38" w:name="page39"/>
    <w:bookmarkEnd w:id="38"/>
    <w:p>
      <w:pPr>
        <w:ind w:left="820" w:hanging="223"/>
        <w:spacing w:after="0"/>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Any notice under this Agreement shall be given in writing, addressed and delivered or mailed, postage prepaid, to the other party at its principal office.</w:t>
      </w:r>
    </w:p>
    <w:p>
      <w:pPr>
        <w:spacing w:after="0" w:line="149" w:lineRule="exact"/>
        <w:rPr>
          <w:rFonts w:ascii="Arial" w:cs="Arial" w:eastAsia="Arial" w:hAnsi="Arial"/>
          <w:sz w:val="14"/>
          <w:szCs w:val="14"/>
          <w:color w:val="auto"/>
        </w:rPr>
      </w:pPr>
    </w:p>
    <w:p>
      <w:pPr>
        <w:ind w:firstLine="597"/>
        <w:spacing w:after="0" w:line="253" w:lineRule="auto"/>
        <w:tabs>
          <w:tab w:leader="none" w:pos="799"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xml:space="preserve"> This Agreement may be amended by mutual consent, but the consent of the Corporation must be obtained in conformity with the requirements of the Investment Company Act.</w:t>
      </w:r>
    </w:p>
    <w:p>
      <w:pPr>
        <w:spacing w:after="0" w:line="119" w:lineRule="exact"/>
        <w:rPr>
          <w:rFonts w:ascii="Arial" w:cs="Arial" w:eastAsia="Arial" w:hAnsi="Arial"/>
          <w:sz w:val="14"/>
          <w:szCs w:val="14"/>
          <w:color w:val="auto"/>
        </w:rPr>
      </w:pPr>
    </w:p>
    <w:p>
      <w:pPr>
        <w:jc w:val="both"/>
        <w:ind w:firstLine="597"/>
        <w:spacing w:after="0" w:line="264" w:lineRule="auto"/>
        <w:tabs>
          <w:tab w:leader="none" w:pos="804"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Entire Agreement; Governing Law.</w:t>
      </w:r>
      <w:r>
        <w:rPr>
          <w:rFonts w:ascii="Arial" w:cs="Arial" w:eastAsia="Arial" w:hAnsi="Arial"/>
          <w:sz w:val="13"/>
          <w:szCs w:val="13"/>
          <w:color w:val="auto"/>
        </w:rPr>
        <w:t xml:space="preserve">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IN WITNESS WHEREOF, the parties hereto have caused this Agreement to be duly executed on the date above written.</w:t>
      </w:r>
    </w:p>
    <w:p>
      <w:pPr>
        <w:spacing w:after="0" w:line="281"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PENNANTPARK INVESTMENT CORPORATION</w:t>
      </w:r>
    </w:p>
    <w:p>
      <w:pPr>
        <w:spacing w:after="0" w:line="208" w:lineRule="exact"/>
        <w:rPr>
          <w:sz w:val="20"/>
          <w:szCs w:val="20"/>
          <w:color w:val="auto"/>
        </w:rPr>
      </w:pPr>
    </w:p>
    <w:p>
      <w:pPr>
        <w:ind w:left="5020"/>
        <w:spacing w:after="0"/>
        <w:tabs>
          <w:tab w:leader="none" w:pos="54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3810</wp:posOffset>
            </wp:positionV>
            <wp:extent cx="33089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4"/>
          <w:szCs w:val="14"/>
          <w:color w:val="auto"/>
        </w:rPr>
        <w:t>Name: Arthur Penn</w:t>
      </w:r>
    </w:p>
    <w:p>
      <w:pPr>
        <w:ind w:left="5480"/>
        <w:spacing w:after="0"/>
        <w:rPr>
          <w:sz w:val="20"/>
          <w:szCs w:val="20"/>
          <w:color w:val="auto"/>
        </w:rPr>
      </w:pPr>
      <w:r>
        <w:rPr>
          <w:rFonts w:ascii="Arial" w:cs="Arial" w:eastAsia="Arial" w:hAnsi="Arial"/>
          <w:sz w:val="13"/>
          <w:szCs w:val="13"/>
          <w:color w:val="auto"/>
        </w:rPr>
        <w:t>Title: Chief Executive Officer and Chairman of the Board of Directors</w:t>
      </w:r>
    </w:p>
    <w:p>
      <w:pPr>
        <w:spacing w:after="0" w:line="199"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PENNANTPARK INVESTMENT ADVISERS, LLC</w:t>
      </w:r>
    </w:p>
    <w:p>
      <w:pPr>
        <w:spacing w:after="0" w:line="208" w:lineRule="exact"/>
        <w:rPr>
          <w:sz w:val="20"/>
          <w:szCs w:val="20"/>
          <w:color w:val="auto"/>
        </w:rPr>
      </w:pPr>
    </w:p>
    <w:p>
      <w:pPr>
        <w:ind w:left="5020"/>
        <w:spacing w:after="0"/>
        <w:tabs>
          <w:tab w:leader="none" w:pos="54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3810</wp:posOffset>
            </wp:positionV>
            <wp:extent cx="3308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4"/>
          <w:szCs w:val="14"/>
          <w:color w:val="auto"/>
        </w:rPr>
        <w:t>Name: Arthur Penn</w:t>
      </w:r>
    </w:p>
    <w:p>
      <w:pPr>
        <w:ind w:left="5480"/>
        <w:spacing w:after="0"/>
        <w:rPr>
          <w:sz w:val="20"/>
          <w:szCs w:val="20"/>
          <w:color w:val="auto"/>
        </w:rPr>
      </w:pPr>
      <w:r>
        <w:rPr>
          <w:rFonts w:ascii="Arial" w:cs="Arial" w:eastAsia="Arial" w:hAnsi="Arial"/>
          <w:sz w:val="14"/>
          <w:szCs w:val="14"/>
          <w:color w:val="auto"/>
        </w:rPr>
        <w:t>Title: Managing Member</w:t>
      </w:r>
    </w:p>
    <w:p>
      <w:pPr>
        <w:sectPr>
          <w:pgSz w:w="11900" w:h="16838" w:orient="portrait"/>
          <w:cols w:equalWidth="0" w:num="1">
            <w:col w:w="9540"/>
          </w:cols>
          <w:pgMar w:left="920" w:top="350" w:right="14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3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3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7, 2018</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41" w:name="page42"/>
    <w:bookmarkEnd w:id="41"/>
    <w:p>
      <w:pPr>
        <w:ind w:left="9960"/>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380" w:firstLine="441"/>
        <w:spacing w:after="0" w:line="313" w:lineRule="auto"/>
        <w:tabs>
          <w:tab w:leader="none" w:pos="577"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480" w:firstLine="448"/>
        <w:spacing w:after="0" w:line="253" w:lineRule="auto"/>
        <w:tabs>
          <w:tab w:leader="none" w:pos="584"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340" w:firstLine="695"/>
        <w:spacing w:after="0" w:line="405" w:lineRule="auto"/>
        <w:tabs>
          <w:tab w:leader="none" w:pos="832" w:val="left"/>
        </w:tabs>
        <w:numPr>
          <w:ilvl w:val="2"/>
          <w:numId w:val="3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520" w:firstLine="692"/>
        <w:spacing w:after="0" w:line="405" w:lineRule="auto"/>
        <w:tabs>
          <w:tab w:leader="none" w:pos="838" w:val="left"/>
        </w:tabs>
        <w:numPr>
          <w:ilvl w:val="2"/>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240" w:firstLine="719"/>
        <w:spacing w:after="0" w:line="313" w:lineRule="auto"/>
        <w:tabs>
          <w:tab w:leader="none" w:pos="856" w:val="left"/>
        </w:tabs>
        <w:numPr>
          <w:ilvl w:val="3"/>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380" w:firstLine="705"/>
        <w:spacing w:after="0" w:line="355" w:lineRule="auto"/>
        <w:tabs>
          <w:tab w:leader="none" w:pos="850" w:val="left"/>
        </w:tabs>
        <w:numPr>
          <w:ilvl w:val="3"/>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7"/>
        <w:spacing w:after="0" w:line="313" w:lineRule="auto"/>
        <w:tabs>
          <w:tab w:leader="none" w:pos="583"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719"/>
        <w:spacing w:after="0" w:line="313" w:lineRule="auto"/>
        <w:tabs>
          <w:tab w:leader="none" w:pos="856" w:val="left"/>
        </w:tabs>
        <w:numPr>
          <w:ilvl w:val="3"/>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7, 2018</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140"/>
          </w:cols>
          <w:pgMar w:left="320" w:top="118"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32.1</w:t>
      </w:r>
    </w:p>
    <w:p>
      <w:pPr>
        <w:spacing w:after="0" w:line="25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1" w:lineRule="exact"/>
        <w:rPr>
          <w:sz w:val="20"/>
          <w:szCs w:val="20"/>
          <w:color w:val="auto"/>
        </w:rPr>
      </w:pPr>
    </w:p>
    <w:p>
      <w:pPr>
        <w:ind w:left="120" w:right="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7, 2018</w:t>
      </w:r>
    </w:p>
    <w:p>
      <w:pPr>
        <w:sectPr>
          <w:pgSz w:w="11900" w:h="16838" w:orient="portrait"/>
          <w:cols w:equalWidth="0" w:num="1">
            <w:col w:w="10840"/>
          </w:cols>
          <w:pgMar w:left="320" w:top="130" w:right="7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months ended December 31, 2017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February 7, 2018</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lowerLetter"/>
      <w:start w:val="2"/>
    </w:lvl>
  </w:abstractNum>
  <w:abstractNum w:abstractNumId="7">
    <w:nsid w:val="75A2A8D4"/>
    <w:multiLevelType w:val="hybridMultilevel"/>
    <w:lvl w:ilvl="0">
      <w:lvlJc w:val="left"/>
      <w:lvlText w:val="(%1)"/>
      <w:numFmt w:val="lowerLetter"/>
      <w:start w:val="3"/>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lowerLetter"/>
      <w:start w:val="5"/>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6"/>
    </w:lvl>
  </w:abstractNum>
  <w:abstractNum w:abstractNumId="12">
    <w:nsid w:val="189A769B"/>
    <w:multiLevelType w:val="hybridMultilevel"/>
    <w:lvl w:ilvl="0">
      <w:lvlJc w:val="left"/>
      <w:lvlText w:val="(%1)"/>
      <w:numFmt w:val="lowerLetter"/>
      <w:start w:val="7"/>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lowerRoman"/>
      <w:start w:val="3"/>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lowerRoman"/>
      <w:start w:val="3"/>
    </w:lvl>
  </w:abstractNum>
  <w:abstractNum w:abstractNumId="25">
    <w:nsid w:val="4516DDE9"/>
    <w:multiLevelType w:val="hybridMultilevel"/>
    <w:lvl w:ilvl="0">
      <w:lvlJc w:val="left"/>
      <w:lvlText w:val="%1"/>
      <w:numFmt w:val="decimal"/>
      <w:start w:val="1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5"/>
    </w:lvl>
  </w:abstractNum>
  <w:abstractNum w:abstractNumId="28">
    <w:nsid w:val="419AC241"/>
    <w:multiLevelType w:val="hybridMultilevel"/>
    <w:lvl w:ilvl="0">
      <w:lvlJc w:val="left"/>
      <w:lvlText w:val="%1."/>
      <w:numFmt w:val="decimal"/>
      <w:start w:val="2"/>
    </w:lvl>
  </w:abstractNum>
  <w:abstractNum w:abstractNumId="29">
    <w:nsid w:val="5577F8E1"/>
    <w:multiLevelType w:val="hybridMultilevel"/>
    <w:lvl w:ilvl="0">
      <w:lvlJc w:val="left"/>
      <w:lvlText w:val="(%1)"/>
      <w:numFmt w:val="lowerLetter"/>
      <w:start w:val="1"/>
    </w:lvl>
    <w:lvl w:ilvl="1">
      <w:lvlJc w:val="left"/>
      <w:lvlText w:val="(%2)"/>
      <w:numFmt w:val="lowerRoman"/>
      <w:start w:val="1"/>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1."/>
      <w:numFmt w:val="decimal"/>
      <w:start w:val="10"/>
    </w:lvl>
  </w:abstractNum>
  <w:abstractNum w:abstractNumId="32">
    <w:nsid w:val="380482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77465F0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4">
    <w:nsid w:val="7724C6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5">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6">
    <w:nsid w:val="2463B9EA"/>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7">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55" Type="http://schemas.openxmlformats.org/officeDocument/2006/relationships/hyperlink" Target="http://www.sec.gov/Archives/edgar/data/1383414/000119312507075646/dex99a.htm" TargetMode="External"/><Relationship Id="rId56" Type="http://schemas.openxmlformats.org/officeDocument/2006/relationships/hyperlink" Target="http://www.sec.gov/Archives/edgar/data/1383414/000119312515393210/d59522dex31.htm" TargetMode="External"/><Relationship Id="rId57" Type="http://schemas.openxmlformats.org/officeDocument/2006/relationships/hyperlink" Target="http://www.sec.gov/Archives/edgar/data/1383414/000119312508072557/dex99d1.htm" TargetMode="External"/><Relationship Id="rId58"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2020-05-05T15:18:36Z</dcterms:created>
  <dcterms:modified xsi:type="dcterms:W3CDTF">2020-05-05T15:18:36Z</dcterms:modified>
</cp:coreProperties>
</file>