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69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227330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247015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Pursuant to Section 13 Or 15(d)</w:t>
      </w:r>
    </w:p>
    <w:p>
      <w:pPr>
        <w:jc w:val="center"/>
        <w:ind w:right="-6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March 18, 2014</w:t>
      </w:r>
    </w:p>
    <w:p>
      <w:pPr>
        <w:spacing w:after="0" w:line="206"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233680</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699"/>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236220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080" w:type="dxa"/>
            <w:vAlign w:val="bottom"/>
          </w:tcPr>
          <w:p>
            <w:pPr>
              <w:jc w:val="center"/>
              <w:ind w:right="2379"/>
              <w:spacing w:after="0"/>
              <w:rPr>
                <w:sz w:val="20"/>
                <w:szCs w:val="20"/>
                <w:color w:val="auto"/>
              </w:rPr>
            </w:pPr>
            <w:r>
              <w:rPr>
                <w:rFonts w:ascii="Arial" w:cs="Arial" w:eastAsia="Arial" w:hAnsi="Arial"/>
                <w:sz w:val="18"/>
                <w:szCs w:val="18"/>
                <w:b w:val="1"/>
                <w:bCs w:val="1"/>
                <w:color w:val="auto"/>
                <w:w w:val="98"/>
              </w:rPr>
              <w:t>Maryland</w:t>
            </w:r>
          </w:p>
        </w:tc>
        <w:tc>
          <w:tcPr>
            <w:tcW w:w="2340" w:type="dxa"/>
            <w:vAlign w:val="bottom"/>
          </w:tcPr>
          <w:p>
            <w:pPr>
              <w:ind w:left="180"/>
              <w:spacing w:after="0"/>
              <w:rPr>
                <w:sz w:val="20"/>
                <w:szCs w:val="20"/>
                <w:color w:val="auto"/>
              </w:rPr>
            </w:pPr>
            <w:r>
              <w:rPr>
                <w:rFonts w:ascii="Arial" w:cs="Arial" w:eastAsia="Arial" w:hAnsi="Arial"/>
                <w:sz w:val="18"/>
                <w:szCs w:val="18"/>
                <w:b w:val="1"/>
                <w:bCs w:val="1"/>
                <w:color w:val="auto"/>
              </w:rPr>
              <w:t>814-00736</w:t>
            </w:r>
          </w:p>
        </w:tc>
        <w:tc>
          <w:tcPr>
            <w:tcW w:w="2480" w:type="dxa"/>
            <w:vAlign w:val="bottom"/>
          </w:tcPr>
          <w:p>
            <w:pPr>
              <w:jc w:val="right"/>
              <w:ind w:right="41"/>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4080" w:type="dxa"/>
            <w:vAlign w:val="bottom"/>
          </w:tcPr>
          <w:p>
            <w:pPr>
              <w:jc w:val="center"/>
              <w:ind w:right="23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4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0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8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34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2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80" w:type="dxa"/>
            <w:vAlign w:val="bottom"/>
          </w:tcPr>
          <w:p>
            <w:pPr>
              <w:jc w:val="center"/>
              <w:ind w:left="1199"/>
              <w:spacing w:after="0"/>
              <w:rPr>
                <w:sz w:val="20"/>
                <w:szCs w:val="20"/>
                <w:color w:val="auto"/>
              </w:rPr>
            </w:pPr>
            <w:r>
              <w:rPr>
                <w:rFonts w:ascii="Arial" w:cs="Arial" w:eastAsia="Arial" w:hAnsi="Arial"/>
                <w:sz w:val="18"/>
                <w:szCs w:val="18"/>
                <w:b w:val="1"/>
                <w:bCs w:val="1"/>
                <w:color w:val="auto"/>
                <w:w w:val="89"/>
              </w:rPr>
              <w:t>590 Madison Avenue, 15th Floor,</w:t>
            </w:r>
          </w:p>
        </w:tc>
        <w:tc>
          <w:tcPr>
            <w:tcW w:w="234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25"/>
        </w:trPr>
        <w:tc>
          <w:tcPr>
            <w:tcW w:w="4080" w:type="dxa"/>
            <w:vAlign w:val="bottom"/>
          </w:tcPr>
          <w:p>
            <w:pPr>
              <w:jc w:val="center"/>
              <w:ind w:left="1199"/>
              <w:spacing w:after="0"/>
              <w:rPr>
                <w:sz w:val="20"/>
                <w:szCs w:val="20"/>
                <w:color w:val="auto"/>
              </w:rPr>
            </w:pPr>
            <w:r>
              <w:rPr>
                <w:rFonts w:ascii="Arial" w:cs="Arial" w:eastAsia="Arial" w:hAnsi="Arial"/>
                <w:sz w:val="18"/>
                <w:szCs w:val="18"/>
                <w:b w:val="1"/>
                <w:bCs w:val="1"/>
                <w:color w:val="auto"/>
                <w:w w:val="95"/>
              </w:rPr>
              <w:t>New York, NY</w:t>
            </w:r>
          </w:p>
        </w:tc>
        <w:tc>
          <w:tcPr>
            <w:tcW w:w="2340" w:type="dxa"/>
            <w:vAlign w:val="bottom"/>
          </w:tcPr>
          <w:p>
            <w:pPr>
              <w:spacing w:after="0"/>
              <w:rPr>
                <w:sz w:val="19"/>
                <w:szCs w:val="19"/>
                <w:color w:val="auto"/>
              </w:rPr>
            </w:pPr>
          </w:p>
        </w:tc>
        <w:tc>
          <w:tcPr>
            <w:tcW w:w="2480" w:type="dxa"/>
            <w:vAlign w:val="bottom"/>
          </w:tcPr>
          <w:p>
            <w:pPr>
              <w:jc w:val="right"/>
              <w:ind w:right="261"/>
              <w:spacing w:after="0"/>
              <w:rPr>
                <w:sz w:val="20"/>
                <w:szCs w:val="20"/>
                <w:color w:val="auto"/>
              </w:rPr>
            </w:pPr>
            <w:r>
              <w:rPr>
                <w:rFonts w:ascii="Arial" w:cs="Arial" w:eastAsia="Arial" w:hAnsi="Arial"/>
                <w:sz w:val="18"/>
                <w:szCs w:val="18"/>
                <w:b w:val="1"/>
                <w:bCs w:val="1"/>
                <w:color w:val="auto"/>
              </w:rPr>
              <w:t>10022</w:t>
            </w:r>
          </w:p>
        </w:tc>
      </w:tr>
      <w:tr>
        <w:trPr>
          <w:trHeight w:val="186"/>
        </w:trPr>
        <w:tc>
          <w:tcPr>
            <w:tcW w:w="4080" w:type="dxa"/>
            <w:vAlign w:val="bottom"/>
          </w:tcPr>
          <w:p>
            <w:pPr>
              <w:jc w:val="center"/>
              <w:ind w:left="1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40" w:type="dxa"/>
            <w:vAlign w:val="bottom"/>
          </w:tcPr>
          <w:p>
            <w:pPr>
              <w:spacing w:after="0"/>
              <w:rPr>
                <w:sz w:val="16"/>
                <w:szCs w:val="16"/>
                <w:color w:val="auto"/>
              </w:rPr>
            </w:pPr>
          </w:p>
        </w:tc>
        <w:tc>
          <w:tcPr>
            <w:tcW w:w="2480" w:type="dxa"/>
            <w:vAlign w:val="bottom"/>
          </w:tcPr>
          <w:p>
            <w:pPr>
              <w:jc w:val="center"/>
              <w:ind w:left="13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6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7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227965</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60"/>
          </w:cols>
          <w:pgMar w:left="320" w:top="368" w:right="10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March 18, 2014, PennantPark Investment Corporation (the “Company”) held a reconvened annual meeting of stockholders and submitted one matter to the vote of stockholders. The proposal is described in detail in the Company’s definitive joint proxy statement filed with the Securities and Exchange Commission on December 5, 2013. As of December 9, 2013, the record date, 66,546,734 shares of common stock were eligible to vote. A summary of the matter voted upon by the stockholders is set forth below.</w:t>
      </w:r>
    </w:p>
    <w:p>
      <w:pPr>
        <w:spacing w:after="0" w:line="183"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Company’s stockholders elected Mr. Marshall Brozost and Mr. Samuel L. Katz each as a Class I director of the Company, each of whom</w:t>
      </w:r>
      <w:r>
        <w:rPr>
          <w:rFonts w:ascii="Arial" w:cs="Arial" w:eastAsia="Arial" w:hAnsi="Arial"/>
          <w:sz w:val="18"/>
          <w:szCs w:val="18"/>
          <w:b w:val="1"/>
          <w:bCs w:val="1"/>
          <w:color w:val="auto"/>
        </w:rPr>
        <w:t xml:space="preserve"> </w:t>
      </w:r>
      <w:r>
        <w:rPr>
          <w:rFonts w:ascii="Arial" w:cs="Arial" w:eastAsia="Arial" w:hAnsi="Arial"/>
          <w:sz w:val="18"/>
          <w:szCs w:val="18"/>
          <w:color w:val="auto"/>
        </w:rPr>
        <w:t>will serve until the 2017 Annual Meeting, or until his successor is duly elected and qualifies or until his earlier resignation, removal from office, death or incapacity. The voting results are set forth below:</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For</w:t>
            </w:r>
          </w:p>
        </w:tc>
        <w:tc>
          <w:tcPr>
            <w:tcW w:w="13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Withheld</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5780" w:type="dxa"/>
            <w:vAlign w:val="bottom"/>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Non Vote</w:t>
            </w:r>
          </w:p>
        </w:tc>
        <w:tc>
          <w:tcPr>
            <w:tcW w:w="0" w:type="dxa"/>
            <w:vAlign w:val="bottom"/>
          </w:tcPr>
          <w:p>
            <w:pPr>
              <w:spacing w:after="0"/>
              <w:rPr>
                <w:sz w:val="1"/>
                <w:szCs w:val="1"/>
                <w:color w:val="auto"/>
              </w:rPr>
            </w:pPr>
          </w:p>
        </w:tc>
      </w:tr>
      <w:tr>
        <w:trPr>
          <w:trHeight w:val="196"/>
        </w:trPr>
        <w:tc>
          <w:tcPr>
            <w:tcW w:w="5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Class I</w:t>
            </w: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Marshall Brozost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35,165,169</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1,699,840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22,947,609</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of Shares Voted</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95.39%</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4.61%</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Samuel L. Katz</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36,177,533</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687,476</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22,947,609</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of Shares Voted</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98.14%</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1.86%</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On March 18, 2014, the Company held a reconvened special meeting of stockholders and submitted one matter to the vote of the stockholders. The proposal is described in detail in the Company’s definitive joint proxy statement filed with the Securities and Exchange Commission on December 5, 2013. As of December 9, 2013, the record date, 66,546,734 shares of common stock were eligible to vote. A summary of the matter voted upon by the stockholders is set forth below.</w:t>
      </w:r>
    </w:p>
    <w:p>
      <w:pPr>
        <w:spacing w:after="0" w:line="183"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The Company’s stockholders approved a proposal to authorize flexibility for the Company, with the approval of its Board of Directors, to sell</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its common stock during the next 12 months at a price below its then current net asset value per share, subject to certain limitations as described the proxy statement. The voting results are set forth below:</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7"/>
              </w:rPr>
              <w:t>For</w:t>
            </w:r>
          </w:p>
        </w:tc>
        <w:tc>
          <w:tcPr>
            <w:tcW w:w="13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Against</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Abstain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 Affiliates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28,039,158</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5,950,704</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274,854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 of Shares Voted</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81.83%</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17.37%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Without Affiliates</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3"/>
              </w:rPr>
              <w:t>27,036,812</w:t>
            </w:r>
          </w:p>
        </w:tc>
        <w:tc>
          <w:tcPr>
            <w:tcW w:w="13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4"/>
              </w:rPr>
              <w:t>5,950,704</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274,854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 of Shares Voted</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color w:val="auto"/>
              </w:rPr>
              <w:t>81.28%</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17.89%</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bl>
    <w:p>
      <w:pPr>
        <w:sectPr>
          <w:pgSz w:w="11900" w:h="16838" w:orient="portrait"/>
          <w:cols w:equalWidth="0" w:num="1">
            <w:col w:w="11180"/>
          </w:cols>
          <w:pgMar w:left="320" w:top="270" w:right="3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Date: March 21, 2014</w:t>
      </w:r>
      <w:r>
        <w:rPr>
          <w:sz w:val="20"/>
          <w:szCs w:val="20"/>
          <w:color w:val="auto"/>
        </w:rPr>
        <w:tab/>
      </w:r>
      <w:r>
        <w:rPr>
          <w:rFonts w:ascii="Arial" w:cs="Arial" w:eastAsia="Arial" w:hAnsi="Arial"/>
          <w:sz w:val="16"/>
          <w:szCs w:val="16"/>
          <w:b w:val="1"/>
          <w:bCs w:val="1"/>
          <w:color w:val="auto"/>
        </w:rPr>
        <w:t>PennantPark Investment Corporation</w:t>
      </w:r>
    </w:p>
    <w:p>
      <w:pPr>
        <w:spacing w:after="0" w:line="22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Chief Financial Officer &amp; Treasurer</w:t>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2020-05-05T15:14:47Z</dcterms:created>
  <dcterms:modified xsi:type="dcterms:W3CDTF">2020-05-05T15:14:47Z</dcterms:modified>
</cp:coreProperties>
</file>