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49" w:lineRule="exact"/>
        <w:rPr>
          <w:sz w:val="24"/>
          <w:szCs w:val="24"/>
          <w:color w:val="auto"/>
        </w:rPr>
      </w:pPr>
    </w:p>
    <w:p>
      <w:pPr>
        <w:ind w:left="3940" w:right="1740" w:hanging="3932"/>
        <w:spacing w:after="0" w:line="441" w:lineRule="auto"/>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 ENDED JUNE 30, 2009</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-588645</wp:posOffset>
            </wp:positionV>
            <wp:extent cx="84455"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455" cy="85725"/>
                    </a:xfrm>
                    <a:prstGeom prst="rect">
                      <a:avLst/>
                    </a:prstGeom>
                    <a:noFill/>
                  </pic:spPr>
                </pic:pic>
              </a:graphicData>
            </a:graphic>
          </wp:anchor>
        </w:drawing>
      </w:r>
    </w:p>
    <w:p>
      <w:pPr>
        <w:spacing w:after="0" w:line="18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-104775</wp:posOffset>
            </wp:positionV>
            <wp:extent cx="84455"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455" cy="85725"/>
                    </a:xfrm>
                    <a:prstGeom prst="rect">
                      <a:avLst/>
                    </a:prstGeom>
                    <a:noFill/>
                  </pic:spPr>
                </pic:pic>
              </a:graphicData>
            </a:graphic>
          </wp:anchor>
        </w:drawing>
      </w:r>
    </w:p>
    <w:p>
      <w:pPr>
        <w:spacing w:after="0" w:line="157" w:lineRule="exact"/>
        <w:rPr>
          <w:sz w:val="24"/>
          <w:szCs w:val="24"/>
          <w:color w:val="auto"/>
        </w:rPr>
      </w:pPr>
    </w:p>
    <w:p>
      <w:pPr>
        <w:ind w:left="3040"/>
        <w:spacing w:after="0"/>
        <w:tabs>
          <w:tab w:leader="none" w:pos="70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5"/>
          <w:szCs w:val="15"/>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3892550</wp:posOffset>
            </wp:positionH>
            <wp:positionV relativeFrom="paragraph">
              <wp:posOffset>-13970</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06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60" w:type="dxa"/>
            <w:vAlign w:val="bottom"/>
          </w:tcPr>
          <w:p>
            <w:pPr>
              <w:jc w:val="right"/>
              <w:ind w:right="282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60" w:type="dxa"/>
            <w:vAlign w:val="bottom"/>
          </w:tcPr>
          <w:p>
            <w:pPr>
              <w:jc w:val="center"/>
              <w:ind w:right="176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5" w:lineRule="exact"/>
        <w:rPr>
          <w:sz w:val="24"/>
          <w:szCs w:val="24"/>
          <w:color w:val="auto"/>
        </w:rPr>
      </w:pPr>
    </w:p>
    <w:p>
      <w:pPr>
        <w:ind w:firstLine="449"/>
        <w:spacing w:after="0" w:line="22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37" w:lineRule="exact"/>
        <w:rPr>
          <w:sz w:val="24"/>
          <w:szCs w:val="24"/>
          <w:color w:val="auto"/>
        </w:rPr>
      </w:pPr>
    </w:p>
    <w:p>
      <w:pPr>
        <w:ind w:right="24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18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120"/>
          </w:cols>
          <w:pgMar w:left="320" w:top="230" w:right="459" w:bottom="1440" w:gutter="0" w:footer="0" w:header="0"/>
        </w:sectPr>
      </w:pPr>
    </w:p>
    <w:p>
      <w:pPr>
        <w:spacing w:after="0" w:line="172" w:lineRule="exact"/>
        <w:rPr>
          <w:sz w:val="24"/>
          <w:szCs w:val="24"/>
          <w:color w:val="auto"/>
        </w:rPr>
      </w:pPr>
    </w:p>
    <w:p>
      <w:pPr>
        <w:ind w:left="5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80"/>
        <w:spacing w:after="0" w:line="161" w:lineRule="exact"/>
        <w:rPr>
          <w:sz w:val="20"/>
          <w:szCs w:val="20"/>
          <w:color w:val="auto"/>
        </w:rPr>
      </w:pPr>
      <w:r>
        <w:rPr>
          <w:rFonts w:ascii="MS PGothic" w:cs="MS PGothic" w:eastAsia="MS PGothic" w:hAnsi="MS PGothic"/>
          <w:sz w:val="16"/>
          <w:szCs w:val="16"/>
          <w:color w:val="auto"/>
        </w:rPr>
        <w:t>☐</w:t>
      </w:r>
    </w:p>
    <w:p>
      <w:pPr>
        <w:spacing w:after="0" w:line="649" w:lineRule="exact"/>
        <w:rPr>
          <w:sz w:val="24"/>
          <w:szCs w:val="24"/>
          <w:color w:val="auto"/>
        </w:rPr>
      </w:pPr>
    </w:p>
    <w:p>
      <w:pPr>
        <w:sectPr>
          <w:pgSz w:w="11900" w:h="16838" w:orient="portrait"/>
          <w:cols w:equalWidth="0" w:num="7">
            <w:col w:w="2140" w:space="80"/>
            <w:col w:w="760" w:space="720"/>
            <w:col w:w="1180" w:space="80"/>
            <w:col w:w="180" w:space="720"/>
            <w:col w:w="2280" w:space="720"/>
            <w:col w:w="1920" w:space="100"/>
            <w:col w:w="240"/>
          </w:cols>
          <w:pgMar w:left="320" w:top="230" w:right="45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80"/>
            <w:col w:w="160" w:space="180"/>
            <w:col w:w="1840"/>
          </w:cols>
          <w:pgMar w:left="320" w:top="230" w:right="45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July 31, 2009 was 21,068,772.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32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w w:val="99"/>
              </w:rPr>
              <w:t>PART I. FINANCIAL INFORMATION</w:t>
            </w:r>
          </w:p>
        </w:tc>
        <w:tc>
          <w:tcPr>
            <w:tcW w:w="1980" w:type="dxa"/>
            <w:vAlign w:val="bottom"/>
          </w:tcPr>
          <w:p>
            <w:pPr>
              <w:spacing w:after="0"/>
              <w:rPr>
                <w:sz w:val="17"/>
                <w:szCs w:val="17"/>
                <w:color w:val="auto"/>
              </w:rPr>
            </w:pPr>
          </w:p>
        </w:tc>
      </w:tr>
      <w:tr>
        <w:trPr>
          <w:trHeight w:val="30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Item 1. Financial Statements</w:t>
            </w:r>
          </w:p>
        </w:tc>
        <w:tc>
          <w:tcPr>
            <w:tcW w:w="1780" w:type="dxa"/>
            <w:vAlign w:val="bottom"/>
          </w:tcPr>
          <w:p>
            <w:pPr>
              <w:spacing w:after="0"/>
              <w:rPr>
                <w:sz w:val="24"/>
                <w:szCs w:val="24"/>
                <w:color w:val="auto"/>
              </w:rPr>
            </w:pPr>
          </w:p>
        </w:tc>
        <w:tc>
          <w:tcPr>
            <w:tcW w:w="2980" w:type="dxa"/>
            <w:vAlign w:val="bottom"/>
            <w:tcBorders>
              <w:top w:val="single" w:sz="8" w:color="auto"/>
            </w:tcBorders>
            <w:gridSpan w:val="3"/>
          </w:tcPr>
          <w:p>
            <w:pPr>
              <w:spacing w:after="0"/>
              <w:rPr>
                <w:sz w:val="24"/>
                <w:szCs w:val="24"/>
                <w:color w:val="auto"/>
              </w:rPr>
            </w:pPr>
          </w:p>
        </w:tc>
        <w:tc>
          <w:tcPr>
            <w:tcW w:w="23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43"/>
        </w:trPr>
        <w:tc>
          <w:tcPr>
            <w:tcW w:w="9260" w:type="dxa"/>
            <w:vAlign w:val="bottom"/>
            <w:gridSpan w:val="6"/>
          </w:tcPr>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Statements of Assets and Liabilities as of June 30, 2009 (unaudited) and September 30, 2008</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260" w:type="dxa"/>
            <w:vAlign w:val="bottom"/>
            <w:gridSpan w:val="6"/>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for the three and nine months ended June 30, 2009 and 2008 (unaudited)</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260" w:type="dxa"/>
            <w:vAlign w:val="bottom"/>
            <w:gridSpan w:val="6"/>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Changes in Net Assets for the nine months ended June 30, 2009 and 2008 (unaudited)</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260" w:type="dxa"/>
            <w:vAlign w:val="bottom"/>
            <w:gridSpan w:val="6"/>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Cash Flows for the nine months ended June 30, 2009 and 2008 (unaudited)</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260" w:type="dxa"/>
            <w:vAlign w:val="bottom"/>
            <w:gridSpan w:val="6"/>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Schedules of Investments as of June 30, 2009 (unaudited) and September 30, 2008</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260" w:type="dxa"/>
            <w:vAlign w:val="bottom"/>
            <w:gridSpan w:val="6"/>
          </w:tcPr>
          <w:p>
            <w:pPr>
              <w:ind w:left="4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Notes to Financial Statements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260" w:type="dxa"/>
            <w:vAlign w:val="bottom"/>
            <w:gridSpan w:val="6"/>
          </w:tcPr>
          <w:p>
            <w:pPr>
              <w:ind w:left="4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Report of Independent Registered Public Accounting Firm</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260" w:type="dxa"/>
            <w:vAlign w:val="bottom"/>
            <w:gridSpan w:val="6"/>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260" w:type="dxa"/>
            <w:vAlign w:val="bottom"/>
            <w:gridSpan w:val="6"/>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3. Quantitative And Qualitative Disclosures About Market Risk</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260" w:type="dxa"/>
            <w:vAlign w:val="bottom"/>
            <w:gridSpan w:val="6"/>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4. Controls and Procedures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94"/>
        </w:trPr>
        <w:tc>
          <w:tcPr>
            <w:tcW w:w="2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II. OTHER INFORMATION</w:t>
            </w:r>
          </w:p>
        </w:tc>
        <w:tc>
          <w:tcPr>
            <w:tcW w:w="2480" w:type="dxa"/>
            <w:vAlign w:val="bottom"/>
            <w:gridSpan w:val="2"/>
          </w:tcPr>
          <w:p>
            <w:pPr>
              <w:spacing w:after="0"/>
              <w:rPr>
                <w:sz w:val="24"/>
                <w:szCs w:val="24"/>
                <w:color w:val="auto"/>
              </w:rPr>
            </w:pPr>
          </w:p>
        </w:tc>
        <w:tc>
          <w:tcPr>
            <w:tcW w:w="1980" w:type="dxa"/>
            <w:vAlign w:val="bottom"/>
          </w:tcPr>
          <w:p>
            <w:pPr>
              <w:spacing w:after="0"/>
              <w:rPr>
                <w:sz w:val="24"/>
                <w:szCs w:val="24"/>
                <w:color w:val="auto"/>
              </w:rPr>
            </w:pPr>
          </w:p>
        </w:tc>
      </w:tr>
      <w:tr>
        <w:trPr>
          <w:trHeight w:val="343"/>
        </w:trPr>
        <w:tc>
          <w:tcPr>
            <w:tcW w:w="9260" w:type="dxa"/>
            <w:vAlign w:val="bottom"/>
            <w:gridSpan w:val="6"/>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1. Legal Proceedings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260" w:type="dxa"/>
            <w:vAlign w:val="bottom"/>
            <w:gridSpan w:val="6"/>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1A. Risk Factors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260" w:type="dxa"/>
            <w:vAlign w:val="bottom"/>
            <w:gridSpan w:val="6"/>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2. Unregistered Sales of Equity Securities and Use of Proceeds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260" w:type="dxa"/>
            <w:vAlign w:val="bottom"/>
            <w:gridSpan w:val="6"/>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3. Defaults Upon Senior Securities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260" w:type="dxa"/>
            <w:vAlign w:val="bottom"/>
            <w:gridSpan w:val="6"/>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4. Submission of Matters to a Vote of Security Holders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260" w:type="dxa"/>
            <w:vAlign w:val="bottom"/>
            <w:gridSpan w:val="6"/>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5. Other Information</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260" w:type="dxa"/>
            <w:vAlign w:val="bottom"/>
            <w:gridSpan w:val="6"/>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6. Exhibits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260" w:type="dxa"/>
            <w:vAlign w:val="bottom"/>
            <w:gridSpan w:val="6"/>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SIGNATURES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77"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color w:val="auto"/>
        </w:rPr>
        <w:t>We are filing this Report in compliance with Rule 13a-13 promulgated by the Securities and Exchange Commission or the SEC. In this Report, “PennantPark Investment”, “we”, “our” and “us” refer to PennantPark Investment Corporation unless the context otherwise requires.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0" w:type="dxa"/>
            <w:vAlign w:val="bottom"/>
          </w:tcPr>
          <w:p>
            <w:pPr>
              <w:spacing w:after="0"/>
              <w:rPr>
                <w:sz w:val="24"/>
                <w:szCs w:val="24"/>
                <w:color w:val="auto"/>
              </w:rPr>
            </w:pPr>
          </w:p>
        </w:tc>
        <w:tc>
          <w:tcPr>
            <w:tcW w:w="7780" w:type="dxa"/>
            <w:vAlign w:val="bottom"/>
          </w:tcPr>
          <w:p>
            <w:pPr>
              <w:ind w:left="2840"/>
              <w:spacing w:after="0"/>
              <w:rPr>
                <w:sz w:val="20"/>
                <w:szCs w:val="20"/>
                <w:color w:val="auto"/>
              </w:rPr>
            </w:pPr>
            <w:r>
              <w:rPr>
                <w:rFonts w:ascii="Arial" w:cs="Arial" w:eastAsia="Arial" w:hAnsi="Arial"/>
                <w:sz w:val="18"/>
                <w:szCs w:val="18"/>
                <w:b w:val="1"/>
                <w:bCs w:val="1"/>
                <w:color w:val="auto"/>
              </w:rPr>
              <w:t>PENNANTPARK INVESTMENT CORPORATION</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7780" w:type="dxa"/>
            <w:vAlign w:val="bottom"/>
          </w:tcPr>
          <w:p>
            <w:pPr>
              <w:ind w:left="2940"/>
              <w:spacing w:after="0"/>
              <w:rPr>
                <w:sz w:val="20"/>
                <w:szCs w:val="20"/>
                <w:color w:val="auto"/>
              </w:rPr>
            </w:pPr>
            <w:r>
              <w:rPr>
                <w:rFonts w:ascii="Arial" w:cs="Arial" w:eastAsia="Arial" w:hAnsi="Arial"/>
                <w:sz w:val="18"/>
                <w:szCs w:val="18"/>
                <w:b w:val="1"/>
                <w:bCs w:val="1"/>
                <w:color w:val="auto"/>
              </w:rPr>
              <w:t>STATEMENTS OF ASSETS AND LIABILITIES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2"/>
              </w:rPr>
              <w:t>June 30, 2009</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(unaudited)</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September 30, 2008</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Non-controlled, non-affiliated investments, at fair value (cost—$435,642,024 and $427,481,745,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377,382,905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354,261,950</w:t>
            </w:r>
          </w:p>
        </w:tc>
        <w:tc>
          <w:tcPr>
            <w:tcW w:w="0" w:type="dxa"/>
            <w:vAlign w:val="bottom"/>
          </w:tcPr>
          <w:p>
            <w:pPr>
              <w:spacing w:after="0"/>
              <w:rPr>
                <w:sz w:val="1"/>
                <w:szCs w:val="1"/>
                <w:color w:val="auto"/>
              </w:rPr>
            </w:pPr>
          </w:p>
        </w:tc>
      </w:tr>
      <w:tr>
        <w:trPr>
          <w:trHeight w:val="216"/>
        </w:trPr>
        <w:tc>
          <w:tcPr>
            <w:tcW w:w="8600" w:type="dxa"/>
            <w:vAlign w:val="bottom"/>
            <w:gridSpan w:val="2"/>
          </w:tcPr>
          <w:p>
            <w:pPr>
              <w:ind w:left="440"/>
              <w:spacing w:after="0"/>
              <w:rPr>
                <w:sz w:val="20"/>
                <w:szCs w:val="20"/>
                <w:color w:val="auto"/>
              </w:rPr>
            </w:pPr>
            <w:r>
              <w:rPr>
                <w:rFonts w:ascii="Arial" w:cs="Arial" w:eastAsia="Arial" w:hAnsi="Arial"/>
                <w:sz w:val="18"/>
                <w:szCs w:val="18"/>
                <w:color w:val="auto"/>
              </w:rPr>
              <w:t>Non-controlled, affiliated investments, at fair value (cost—$17,200,193 and $16,692,261, respectively)</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15,755,326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17,885,870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at fair value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393,138,231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372,147,820</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541,136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40,249,201</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1,381,011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4,770,692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1,271,943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1,367,479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7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7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401,103,013</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419,810,699</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Liabilities</w:t>
            </w:r>
          </w:p>
        </w:tc>
        <w:tc>
          <w:tcPr>
            <w:tcW w:w="7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5,056,505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4,183,666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6,331,385</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(fair value: $134,057,558 and $160,204,000, respectively) (cost: $187,300,000 and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$202,000,000, respectively) (see note 7)</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134,057,558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202,000,000</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72,308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725,317</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1,928,082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85,896</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1,415,872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1,080,397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1,091,688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7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7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154,125,773</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209,082,439</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Net Assets</w:t>
            </w:r>
          </w:p>
        </w:tc>
        <w:tc>
          <w:tcPr>
            <w:tcW w:w="7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0" w:type="dxa"/>
            <w:vAlign w:val="bottom"/>
            <w:gridSpan w:val="2"/>
          </w:tcPr>
          <w:p>
            <w:pPr>
              <w:spacing w:after="0"/>
              <w:rPr>
                <w:sz w:val="20"/>
                <w:szCs w:val="20"/>
                <w:color w:val="auto"/>
              </w:rPr>
            </w:pPr>
            <w:r>
              <w:rPr>
                <w:rFonts w:ascii="Arial" w:cs="Arial" w:eastAsia="Arial" w:hAnsi="Arial"/>
                <w:sz w:val="18"/>
                <w:szCs w:val="18"/>
                <w:color w:val="auto"/>
                <w:w w:val="97"/>
              </w:rPr>
              <w:t>Common stock, par value $0.001 per share, 100,000,000 shares authorized and 21,068,772 shares issued and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21,069</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7"/>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294,586,604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294,586,604</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928,718</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41,796,000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(42,097,607)</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(11,250,567)</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(59,703,986)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(72,026,186)</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Net unrealized depreciation on credit facility</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11,446,442</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77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246,977,240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210,728,260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7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77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401,103,013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419,810,699</w:t>
            </w:r>
          </w:p>
        </w:tc>
        <w:tc>
          <w:tcPr>
            <w:tcW w:w="0" w:type="dxa"/>
            <w:vAlign w:val="bottom"/>
          </w:tcPr>
          <w:p>
            <w:pPr>
              <w:spacing w:after="0"/>
              <w:rPr>
                <w:sz w:val="1"/>
                <w:szCs w:val="1"/>
                <w:color w:val="auto"/>
              </w:rPr>
            </w:pPr>
          </w:p>
        </w:tc>
      </w:tr>
      <w:tr>
        <w:trPr>
          <w:trHeight w:val="28"/>
        </w:trPr>
        <w:tc>
          <w:tcPr>
            <w:tcW w:w="8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3"/>
                <w:szCs w:val="13"/>
                <w:b w:val="1"/>
                <w:bCs w:val="1"/>
                <w:color w:val="auto"/>
                <w:w w:val="99"/>
              </w:rPr>
              <w:t>June 30, 2009</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6"/>
              </w:rPr>
              <w:t>June 30, 2008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3"/>
                <w:szCs w:val="13"/>
                <w:b w:val="1"/>
                <w:bCs w:val="1"/>
                <w:color w:val="auto"/>
                <w:w w:val="99"/>
              </w:rPr>
              <w:t>June 30, 2009</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June 30,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10,347,405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9,212,625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31,930,815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27,148,848</w:t>
            </w: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123,955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111,924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351,449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167,806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298,349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337,832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988,668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1,063,257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10,769,709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9,662,381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33,270,932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28,379,911</w:t>
            </w:r>
          </w:p>
        </w:tc>
        <w:tc>
          <w:tcPr>
            <w:tcW w:w="0" w:type="dxa"/>
            <w:vAlign w:val="bottom"/>
          </w:tcPr>
          <w:p>
            <w:pPr>
              <w:spacing w:after="0"/>
              <w:rPr>
                <w:sz w:val="1"/>
                <w:szCs w:val="1"/>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1,928,082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1,829,909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5,495,505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5,195,750</w:t>
            </w: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1,412,925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985,287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4,175,224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2,433,394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credit facility expenses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1,656,140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3,817,133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4,422,543</w:t>
            </w: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582,177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591,726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1,558,672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1,804,047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658,178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1,523,505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1,823,014</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Expenses before base management fee waiver</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5,103,278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5,721,240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16,570,039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15,678,748</w:t>
            </w:r>
          </w:p>
        </w:tc>
        <w:tc>
          <w:tcPr>
            <w:tcW w:w="0" w:type="dxa"/>
            <w:vAlign w:val="bottom"/>
          </w:tcPr>
          <w:p>
            <w:pPr>
              <w:spacing w:after="0"/>
              <w:rPr>
                <w:sz w:val="1"/>
                <w:szCs w:val="1"/>
                <w:color w:val="auto"/>
              </w:rPr>
            </w:pPr>
          </w:p>
        </w:tc>
      </w:tr>
      <w:tr>
        <w:trPr>
          <w:trHeight w:val="28"/>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waiver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(420,731)</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expenses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5,103,278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5,721,240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16,570,039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15,258,017</w:t>
            </w:r>
          </w:p>
        </w:tc>
        <w:tc>
          <w:tcPr>
            <w:tcW w:w="0" w:type="dxa"/>
            <w:vAlign w:val="bottom"/>
          </w:tcPr>
          <w:p>
            <w:pPr>
              <w:spacing w:after="0"/>
              <w:rPr>
                <w:sz w:val="1"/>
                <w:szCs w:val="1"/>
                <w:color w:val="auto"/>
              </w:rPr>
            </w:pPr>
          </w:p>
        </w:tc>
      </w:tr>
      <w:tr>
        <w:trPr>
          <w:trHeight w:val="28"/>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investment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5,666,431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3,941,141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16,700,893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13,121,894</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Arial" w:cs="Arial" w:eastAsia="Arial" w:hAnsi="Arial"/>
                <w:sz w:val="18"/>
                <w:szCs w:val="18"/>
                <w:b w:val="1"/>
                <w:bCs w:val="1"/>
                <w:color w:val="auto"/>
                <w:w w:val="91"/>
              </w:rPr>
              <w:t>Realized and unrealized gain (loss) on investments, cash equivalents and credit</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Arial" w:cs="Arial" w:eastAsia="Arial" w:hAnsi="Arial"/>
                <w:sz w:val="18"/>
                <w:szCs w:val="18"/>
                <w:b w:val="1"/>
                <w:bCs w:val="1"/>
                <w:color w:val="auto"/>
              </w:rPr>
              <w:t>facility:</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(24,701,776)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(401,624)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(30,847,040)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and cash equivalents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27,736,328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10,700,808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14,960,676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(41,097,670)</w:t>
            </w: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Non-controlled, affiliated investments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(318,107)</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964,139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(2,638,476)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(1,064,091)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(9,202,647)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11,446,442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18,215,574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11,664,947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23,768,642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(42,161,761)</w:t>
            </w: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Net realized and unrealized gain (loss) from investments, cash equivalents, and</w:t>
            </w: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credit facility</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(6,486,202)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11,263,323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(7,078,398)</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(42,782,759)</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increase in net assets resulting from operations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(819,771)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15,204,464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9,622,495</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(29,660,865)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9"/>
              </w:rPr>
              <w:t>Net (decrease) increase in net assets resulting from operations per common share (see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w w:val="89"/>
              </w:rPr>
              <w:t>June 30, 2009</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3"/>
                <w:szCs w:val="13"/>
                <w:b w:val="1"/>
                <w:bCs w:val="1"/>
                <w:color w:val="auto"/>
                <w:w w:val="89"/>
              </w:rPr>
              <w:t>June 30,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16,700,893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13,121,894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(30,847,040)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Net change in unrealized appreciation (depreciation) on investments and cash equivalents</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12,322,200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(42,161,761)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11,446,442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44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9,622,495</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(29,660,865)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to Stockholders: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Dividends from net investment income</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(15,169,515)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(13,905,390)</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(15,169,515)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(13,905,390)</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Total decrease in net assets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(5,547,020)</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(43,566,255)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Beginning of period</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210,728,260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effect of adoption of fair value option on credit facility (see note 7)</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41,796,000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Adjusted beginning of period</w:t>
            </w:r>
          </w:p>
        </w:tc>
        <w:tc>
          <w:tcPr>
            <w:tcW w:w="1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252,524,260</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7"/>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246,977,240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226,826,839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rPr>
              <w:t>Undistributed (distribution in excess of) net investment income, at period end</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928,718</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(980,265)</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8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42"/>
        </w:trPr>
        <w:tc>
          <w:tcPr>
            <w:tcW w:w="8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w w:val="94"/>
              </w:rPr>
              <w:t>June 30, 2009</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w w:val="94"/>
              </w:rPr>
              <w:t>June 30,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Net increase (decrease) in net assets resulting from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9,622,495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(29,660,865)</w:t>
            </w:r>
          </w:p>
        </w:tc>
        <w:tc>
          <w:tcPr>
            <w:tcW w:w="0" w:type="dxa"/>
            <w:vAlign w:val="bottom"/>
          </w:tcPr>
          <w:p>
            <w:pPr>
              <w:spacing w:after="0"/>
              <w:rPr>
                <w:sz w:val="1"/>
                <w:szCs w:val="1"/>
                <w:color w:val="auto"/>
              </w:rPr>
            </w:pPr>
          </w:p>
        </w:tc>
      </w:tr>
      <w:tr>
        <w:trPr>
          <w:trHeight w:val="208"/>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Adjustments to reconcile net increase (decrease) in net assets resulting from operations to net cash used by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880"/>
              <w:spacing w:after="0"/>
              <w:rPr>
                <w:sz w:val="20"/>
                <w:szCs w:val="20"/>
                <w:color w:val="auto"/>
              </w:rPr>
            </w:pPr>
            <w:r>
              <w:rPr>
                <w:rFonts w:ascii="Arial" w:cs="Arial" w:eastAsia="Arial" w:hAnsi="Arial"/>
                <w:sz w:val="18"/>
                <w:szCs w:val="18"/>
                <w:color w:val="auto"/>
              </w:rPr>
              <w:t>Net change in unrealized appreciation (depreciation) on investments and cash equivalents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(12,322,200)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42,161,761</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depreciation on credit facility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(11,446,442)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30,847,040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(1,903,798)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(835,822)</w:t>
            </w:r>
          </w:p>
        </w:tc>
        <w:tc>
          <w:tcPr>
            <w:tcW w:w="0" w:type="dxa"/>
            <w:vAlign w:val="bottom"/>
          </w:tcPr>
          <w:p>
            <w:pPr>
              <w:spacing w:after="0"/>
              <w:rPr>
                <w:sz w:val="1"/>
                <w:szCs w:val="1"/>
                <w:color w:val="auto"/>
              </w:rPr>
            </w:pPr>
          </w:p>
        </w:tc>
      </w:tr>
      <w:tr>
        <w:trPr>
          <w:trHeight w:val="216"/>
        </w:trPr>
        <w:tc>
          <w:tcPr>
            <w:tcW w:w="822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(47,957,218)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(149,312,146)</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(2,528,233)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(1,735,282)</w:t>
            </w:r>
          </w:p>
        </w:tc>
        <w:tc>
          <w:tcPr>
            <w:tcW w:w="0" w:type="dxa"/>
            <w:vAlign w:val="bottom"/>
          </w:tcPr>
          <w:p>
            <w:pPr>
              <w:spacing w:after="0"/>
              <w:rPr>
                <w:sz w:val="1"/>
                <w:szCs w:val="1"/>
                <w:color w:val="auto"/>
              </w:rPr>
            </w:pPr>
          </w:p>
        </w:tc>
      </w:tr>
      <w:tr>
        <w:trPr>
          <w:trHeight w:val="216"/>
        </w:trPr>
        <w:tc>
          <w:tcPr>
            <w:tcW w:w="822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12,873,998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14,410,296</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receivable for investment sold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(1,381,011)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880"/>
              <w:spacing w:after="0"/>
              <w:rPr>
                <w:sz w:val="20"/>
                <w:szCs w:val="20"/>
                <w:color w:val="auto"/>
              </w:rPr>
            </w:pPr>
            <w:r>
              <w:rPr>
                <w:rFonts w:ascii="Arial" w:cs="Arial" w:eastAsia="Arial" w:hAnsi="Arial"/>
                <w:sz w:val="18"/>
                <w:szCs w:val="18"/>
                <w:color w:val="auto"/>
              </w:rPr>
              <w:t>Decrease in interest receivable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1,275,507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493,837</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prepaid expenses and 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95,536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(11,416)</w:t>
            </w:r>
          </w:p>
        </w:tc>
        <w:tc>
          <w:tcPr>
            <w:tcW w:w="0" w:type="dxa"/>
            <w:vAlign w:val="bottom"/>
          </w:tcPr>
          <w:p>
            <w:pPr>
              <w:spacing w:after="0"/>
              <w:rPr>
                <w:sz w:val="1"/>
                <w:szCs w:val="1"/>
                <w:color w:val="auto"/>
              </w:rPr>
            </w:pPr>
          </w:p>
        </w:tc>
      </w:tr>
      <w:tr>
        <w:trPr>
          <w:trHeight w:val="216"/>
        </w:trPr>
        <w:tc>
          <w:tcPr>
            <w:tcW w:w="8220" w:type="dxa"/>
            <w:vAlign w:val="bottom"/>
          </w:tcPr>
          <w:p>
            <w:pPr>
              <w:ind w:left="880"/>
              <w:spacing w:after="0"/>
              <w:rPr>
                <w:sz w:val="20"/>
                <w:szCs w:val="20"/>
                <w:color w:val="auto"/>
              </w:rPr>
            </w:pPr>
            <w:r>
              <w:rPr>
                <w:rFonts w:ascii="Arial" w:cs="Arial" w:eastAsia="Arial" w:hAnsi="Arial"/>
                <w:sz w:val="18"/>
                <w:szCs w:val="18"/>
                <w:color w:val="auto"/>
              </w:rPr>
              <w:t>Decrease in payables for cash equivalents purchased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(252,759,931)</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payables for investments purchased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4,183,666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(16,583,921)</w:t>
            </w:r>
          </w:p>
        </w:tc>
        <w:tc>
          <w:tcPr>
            <w:tcW w:w="0" w:type="dxa"/>
            <w:vAlign w:val="bottom"/>
          </w:tcPr>
          <w:p>
            <w:pPr>
              <w:spacing w:after="0"/>
              <w:rPr>
                <w:sz w:val="1"/>
                <w:szCs w:val="1"/>
                <w:color w:val="auto"/>
              </w:rPr>
            </w:pPr>
          </w:p>
        </w:tc>
      </w:tr>
      <w:tr>
        <w:trPr>
          <w:trHeight w:val="216"/>
        </w:trPr>
        <w:tc>
          <w:tcPr>
            <w:tcW w:w="8220" w:type="dxa"/>
            <w:vAlign w:val="bottom"/>
          </w:tcPr>
          <w:p>
            <w:pPr>
              <w:ind w:left="880"/>
              <w:spacing w:after="0"/>
              <w:rPr>
                <w:sz w:val="20"/>
                <w:szCs w:val="20"/>
                <w:color w:val="auto"/>
              </w:rPr>
            </w:pPr>
            <w:r>
              <w:rPr>
                <w:rFonts w:ascii="Arial" w:cs="Arial" w:eastAsia="Arial" w:hAnsi="Arial"/>
                <w:sz w:val="18"/>
                <w:szCs w:val="18"/>
                <w:color w:val="auto"/>
              </w:rPr>
              <w:t>Increase (decrease) in unfunded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6,331,385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interest payable on credit facility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(653,009)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(36,043)</w:t>
            </w:r>
          </w:p>
        </w:tc>
        <w:tc>
          <w:tcPr>
            <w:tcW w:w="0" w:type="dxa"/>
            <w:vAlign w:val="bottom"/>
          </w:tcPr>
          <w:p>
            <w:pPr>
              <w:spacing w:after="0"/>
              <w:rPr>
                <w:sz w:val="1"/>
                <w:szCs w:val="1"/>
                <w:color w:val="auto"/>
              </w:rPr>
            </w:pPr>
          </w:p>
        </w:tc>
      </w:tr>
      <w:tr>
        <w:trPr>
          <w:trHeight w:val="216"/>
        </w:trPr>
        <w:tc>
          <w:tcPr>
            <w:tcW w:w="8220" w:type="dxa"/>
            <w:vAlign w:val="bottom"/>
          </w:tcPr>
          <w:p>
            <w:pPr>
              <w:ind w:left="880"/>
              <w:spacing w:after="0"/>
              <w:rPr>
                <w:sz w:val="20"/>
                <w:szCs w:val="20"/>
                <w:color w:val="auto"/>
              </w:rPr>
            </w:pPr>
            <w:r>
              <w:rPr>
                <w:rFonts w:ascii="Arial" w:cs="Arial" w:eastAsia="Arial" w:hAnsi="Arial"/>
                <w:sz w:val="18"/>
                <w:szCs w:val="18"/>
                <w:color w:val="auto"/>
              </w:rPr>
              <w:t>Increase (decrease) in management fee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1,842,186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(284,880)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1,292,839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67,695</w:t>
            </w:r>
          </w:p>
        </w:tc>
        <w:tc>
          <w:tcPr>
            <w:tcW w:w="0" w:type="dxa"/>
            <w:vAlign w:val="bottom"/>
          </w:tcPr>
          <w:p>
            <w:pPr>
              <w:spacing w:after="0"/>
              <w:rPr>
                <w:sz w:val="1"/>
                <w:szCs w:val="1"/>
                <w:color w:val="auto"/>
              </w:rPr>
            </w:pPr>
          </w:p>
        </w:tc>
      </w:tr>
      <w:tr>
        <w:trPr>
          <w:trHeight w:val="216"/>
        </w:trPr>
        <w:tc>
          <w:tcPr>
            <w:tcW w:w="8220" w:type="dxa"/>
            <w:vAlign w:val="bottom"/>
          </w:tcPr>
          <w:p>
            <w:pPr>
              <w:ind w:left="880"/>
              <w:spacing w:after="0"/>
              <w:rPr>
                <w:sz w:val="20"/>
                <w:szCs w:val="20"/>
                <w:color w:val="auto"/>
              </w:rPr>
            </w:pPr>
            <w:r>
              <w:rPr>
                <w:rFonts w:ascii="Arial" w:cs="Arial" w:eastAsia="Arial" w:hAnsi="Arial"/>
                <w:sz w:val="18"/>
                <w:szCs w:val="18"/>
                <w:color w:val="auto"/>
              </w:rPr>
              <w:t>(Decrease) increase in accrued other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(11,291)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331,658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used by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(9,838,550)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(397,124,009)</w:t>
            </w:r>
          </w:p>
        </w:tc>
        <w:tc>
          <w:tcPr>
            <w:tcW w:w="0" w:type="dxa"/>
            <w:vAlign w:val="bottom"/>
          </w:tcPr>
          <w:p>
            <w:pPr>
              <w:spacing w:after="0"/>
              <w:rPr>
                <w:sz w:val="1"/>
                <w:szCs w:val="1"/>
                <w:color w:val="auto"/>
              </w:rPr>
            </w:pPr>
          </w:p>
        </w:tc>
      </w:tr>
      <w:tr>
        <w:trPr>
          <w:trHeight w:val="222"/>
        </w:trPr>
        <w:tc>
          <w:tcPr>
            <w:tcW w:w="82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and distributions to stockholders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(15,169,515)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(13,905,390)</w:t>
            </w:r>
          </w:p>
        </w:tc>
        <w:tc>
          <w:tcPr>
            <w:tcW w:w="0" w:type="dxa"/>
            <w:vAlign w:val="bottom"/>
          </w:tcPr>
          <w:p>
            <w:pPr>
              <w:spacing w:after="0"/>
              <w:rPr>
                <w:sz w:val="1"/>
                <w:szCs w:val="1"/>
                <w:color w:val="auto"/>
              </w:rPr>
            </w:pPr>
          </w:p>
        </w:tc>
      </w:tr>
      <w:tr>
        <w:trPr>
          <w:trHeight w:val="216"/>
        </w:trPr>
        <w:tc>
          <w:tcPr>
            <w:tcW w:w="822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85,300,000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359,840,000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(100,000,000)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(165,740,000)</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1300"/>
              <w:spacing w:after="0"/>
              <w:rPr>
                <w:sz w:val="20"/>
                <w:szCs w:val="20"/>
                <w:color w:val="auto"/>
              </w:rPr>
            </w:pPr>
            <w:r>
              <w:rPr>
                <w:rFonts w:ascii="Arial" w:cs="Arial" w:eastAsia="Arial" w:hAnsi="Arial"/>
                <w:sz w:val="18"/>
                <w:szCs w:val="18"/>
                <w:color w:val="auto"/>
              </w:rPr>
              <w:t>Net cash (used) provided by financing activities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(29,869,515)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180,194,610</w:t>
            </w: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(39,708,065)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(216,929,399)</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40,249,201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541,136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41,030,236</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 and non-cash financing activity: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4,270,412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3,840,424</w:t>
            </w:r>
          </w:p>
        </w:tc>
        <w:tc>
          <w:tcPr>
            <w:tcW w:w="0" w:type="dxa"/>
            <w:vAlign w:val="bottom"/>
          </w:tcPr>
          <w:p>
            <w:pPr>
              <w:spacing w:after="0"/>
              <w:rPr>
                <w:sz w:val="1"/>
                <w:szCs w:val="1"/>
                <w:color w:val="auto"/>
              </w:rPr>
            </w:pPr>
          </w:p>
        </w:tc>
      </w:tr>
      <w:tr>
        <w:trPr>
          <w:trHeight w:val="222"/>
        </w:trPr>
        <w:tc>
          <w:tcPr>
            <w:tcW w:w="822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41,796,000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Basis Point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Spread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w w:val="93"/>
              </w:rPr>
              <w:t>Current</w:t>
            </w:r>
          </w:p>
        </w:tc>
        <w:tc>
          <w:tcPr>
            <w:tcW w:w="400" w:type="dxa"/>
            <w:vAlign w:val="bottom"/>
          </w:tcPr>
          <w:p>
            <w:pPr>
              <w:spacing w:after="0"/>
              <w:rPr>
                <w:sz w:val="11"/>
                <w:szCs w:val="11"/>
                <w:color w:val="auto"/>
              </w:rPr>
            </w:pPr>
          </w:p>
        </w:tc>
        <w:tc>
          <w:tcPr>
            <w:tcW w:w="92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w w:val="95"/>
              </w:rPr>
              <w:t>Above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3080" w:type="dxa"/>
            <w:vAlign w:val="bottom"/>
            <w:gridSpan w:val="9"/>
          </w:tcPr>
          <w:p>
            <w:pPr>
              <w:spacing w:after="0"/>
              <w:rPr>
                <w:sz w:val="15"/>
                <w:szCs w:val="15"/>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Maturity</w:t>
            </w:r>
          </w:p>
        </w:tc>
        <w:tc>
          <w:tcPr>
            <w:tcW w:w="2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Par</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5"/>
              </w:rPr>
              <w:t>Fair Value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gridSpan w:val="13"/>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 - 152.8% </w:t>
            </w:r>
            <w:r>
              <w:rPr>
                <w:rFonts w:ascii="Arial" w:cs="Arial" w:eastAsia="Arial" w:hAnsi="Arial"/>
                <w:sz w:val="16"/>
                <w:szCs w:val="16"/>
                <w:b w:val="1"/>
                <w:bCs w:val="1"/>
                <w:color w:val="auto"/>
                <w:vertAlign w:val="superscript"/>
              </w:rPr>
              <w:t>(1)(2)</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auto"/>
            </w:tcBorders>
            <w:gridSpan w:val="7"/>
          </w:tcPr>
          <w:p>
            <w:pPr>
              <w:spacing w:after="0" w:line="135" w:lineRule="exact"/>
              <w:rPr>
                <w:sz w:val="20"/>
                <w:szCs w:val="20"/>
                <w:color w:val="auto"/>
              </w:rPr>
            </w:pPr>
            <w:r>
              <w:rPr>
                <w:rFonts w:ascii="Arial" w:cs="Arial" w:eastAsia="Arial" w:hAnsi="Arial"/>
                <w:sz w:val="13"/>
                <w:szCs w:val="13"/>
                <w:b w:val="1"/>
                <w:bCs w:val="1"/>
                <w:color w:val="auto"/>
                <w:w w:val="95"/>
              </w:rPr>
              <w:t>Subordinated Debt / Corporate Notes - 61.2%</w:t>
            </w:r>
          </w:p>
        </w:tc>
        <w:tc>
          <w:tcPr>
            <w:tcW w:w="1180" w:type="dxa"/>
            <w:vAlign w:val="bottom"/>
            <w:gridSpan w:val="3"/>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40" w:type="dxa"/>
            <w:vAlign w:val="bottom"/>
            <w:gridSpan w:val="10"/>
            <w:shd w:val="clear" w:color="auto" w:fill="CCEEFF"/>
          </w:tcPr>
          <w:p>
            <w:pPr>
              <w:spacing w:after="0" w:line="142" w:lineRule="exact"/>
              <w:rPr>
                <w:sz w:val="20"/>
                <w:szCs w:val="20"/>
                <w:color w:val="auto"/>
              </w:rPr>
            </w:pPr>
            <w:r>
              <w:rPr>
                <w:rFonts w:ascii="Arial" w:cs="Arial" w:eastAsia="Arial" w:hAnsi="Arial"/>
                <w:sz w:val="13"/>
                <w:szCs w:val="13"/>
                <w:color w:val="auto"/>
              </w:rPr>
              <w:t>Affinion Group Holdings, Inc.</w:t>
            </w:r>
          </w:p>
        </w:tc>
        <w:tc>
          <w:tcPr>
            <w:tcW w:w="62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3/1/2012</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8"/>
              </w:rPr>
              <w:t>CONSUMER PRODUCTS</w:t>
            </w:r>
          </w:p>
        </w:tc>
        <w:tc>
          <w:tcPr>
            <w:tcW w:w="82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9.27%</w:t>
            </w:r>
          </w:p>
        </w:tc>
        <w:tc>
          <w:tcPr>
            <w:tcW w:w="40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88"/>
              </w:rPr>
              <w:t>(6)</w:t>
            </w:r>
          </w:p>
        </w:tc>
        <w:tc>
          <w:tcPr>
            <w:tcW w:w="92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3"/>
                <w:szCs w:val="13"/>
                <w:color w:val="auto"/>
              </w:rPr>
              <w:t>L+750</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w w:val="98"/>
              </w:rPr>
              <w:t>22,500,000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21,787,179</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19,980,000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10"/>
          </w:tcPr>
          <w:p>
            <w:pPr>
              <w:spacing w:after="0"/>
              <w:rPr>
                <w:sz w:val="20"/>
                <w:szCs w:val="20"/>
                <w:color w:val="auto"/>
              </w:rPr>
            </w:pPr>
            <w:r>
              <w:rPr>
                <w:rFonts w:ascii="Arial" w:cs="Arial" w:eastAsia="Arial" w:hAnsi="Arial"/>
                <w:sz w:val="13"/>
                <w:szCs w:val="13"/>
                <w:color w:val="auto"/>
              </w:rPr>
              <w:t>Consolidated Foundries,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4/17/2015</w:t>
            </w:r>
          </w:p>
        </w:tc>
        <w:tc>
          <w:tcPr>
            <w:tcW w:w="2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7"/>
              </w:rPr>
              <w:t>AEROSPACE &amp; DEFENSE</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14.25%</w:t>
            </w:r>
          </w:p>
        </w:tc>
        <w:tc>
          <w:tcPr>
            <w:tcW w:w="400" w:type="dxa"/>
            <w:vAlign w:val="bottom"/>
          </w:tcPr>
          <w:p>
            <w:pPr>
              <w:jc w:val="right"/>
              <w:ind w:right="204"/>
              <w:spacing w:after="0"/>
              <w:rPr>
                <w:sz w:val="20"/>
                <w:szCs w:val="20"/>
                <w:color w:val="auto"/>
              </w:rPr>
            </w:pPr>
            <w:r>
              <w:rPr>
                <w:rFonts w:ascii="Arial" w:cs="Arial" w:eastAsia="Arial" w:hAnsi="Arial"/>
                <w:sz w:val="11"/>
                <w:szCs w:val="11"/>
                <w:color w:val="auto"/>
                <w:w w:val="88"/>
              </w:rPr>
              <w:t>(6)</w:t>
            </w:r>
          </w:p>
        </w:tc>
        <w:tc>
          <w:tcPr>
            <w:tcW w:w="9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8,109,468</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7,976,044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8,109,468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10"/>
            <w:shd w:val="clear" w:color="auto" w:fill="CCEEFF"/>
          </w:tcPr>
          <w:p>
            <w:pPr>
              <w:spacing w:after="0"/>
              <w:rPr>
                <w:sz w:val="20"/>
                <w:szCs w:val="20"/>
                <w:color w:val="auto"/>
              </w:rPr>
            </w:pPr>
            <w:r>
              <w:rPr>
                <w:rFonts w:ascii="Arial" w:cs="Arial" w:eastAsia="Arial" w:hAnsi="Arial"/>
                <w:sz w:val="13"/>
                <w:szCs w:val="13"/>
                <w:color w:val="auto"/>
              </w:rPr>
              <w:t>CT Technologies Intermediate Holdings,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3/19/2014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BUSINESS SERVICES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14.00%</w:t>
            </w:r>
          </w:p>
        </w:tc>
        <w:tc>
          <w:tcPr>
            <w:tcW w:w="40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88"/>
              </w:rPr>
              <w:t>(6)</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20,210,550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19,780,909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20,210,550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10"/>
          </w:tcPr>
          <w:p>
            <w:pPr>
              <w:spacing w:after="0"/>
              <w:rPr>
                <w:sz w:val="20"/>
                <w:szCs w:val="20"/>
                <w:color w:val="auto"/>
              </w:rPr>
            </w:pPr>
            <w:r>
              <w:rPr>
                <w:rFonts w:ascii="Arial" w:cs="Arial" w:eastAsia="Arial" w:hAnsi="Arial"/>
                <w:sz w:val="13"/>
                <w:szCs w:val="13"/>
                <w:color w:val="auto"/>
              </w:rPr>
              <w:t>Digicel Ltd.</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4/1/2014</w:t>
            </w:r>
          </w:p>
        </w:tc>
        <w:tc>
          <w:tcPr>
            <w:tcW w:w="2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TELECOMMUNICATIONS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12.00%</w:t>
            </w:r>
          </w:p>
        </w:tc>
        <w:tc>
          <w:tcPr>
            <w:tcW w:w="400" w:type="dxa"/>
            <w:vAlign w:val="bottom"/>
          </w:tcPr>
          <w:p>
            <w:pPr>
              <w:spacing w:after="0"/>
              <w:rPr>
                <w:sz w:val="12"/>
                <w:szCs w:val="12"/>
                <w:color w:val="auto"/>
              </w:rPr>
            </w:pPr>
          </w:p>
        </w:tc>
        <w:tc>
          <w:tcPr>
            <w:tcW w:w="9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995,000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10"/>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6/6/2014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AEROSPACE &amp; DEFENSE</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14.75%</w:t>
            </w:r>
          </w:p>
        </w:tc>
        <w:tc>
          <w:tcPr>
            <w:tcW w:w="40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88"/>
              </w:rPr>
              <w:t>(6)</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22,499,596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22,219,219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22,724,592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10"/>
          </w:tcPr>
          <w:p>
            <w:pPr>
              <w:spacing w:after="0"/>
              <w:rPr>
                <w:sz w:val="20"/>
                <w:szCs w:val="20"/>
                <w:color w:val="auto"/>
              </w:rPr>
            </w:pPr>
            <w:r>
              <w:rPr>
                <w:rFonts w:ascii="Arial" w:cs="Arial" w:eastAsia="Arial" w:hAnsi="Arial"/>
                <w:sz w:val="13"/>
                <w:szCs w:val="13"/>
                <w:color w:val="auto"/>
              </w:rPr>
              <w:t>IDQ Holdings,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5/20/2012</w:t>
            </w:r>
          </w:p>
        </w:tc>
        <w:tc>
          <w:tcPr>
            <w:tcW w:w="2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7"/>
              </w:rPr>
              <w:t>AUTO SECTOR</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13.75%</w:t>
            </w:r>
          </w:p>
        </w:tc>
        <w:tc>
          <w:tcPr>
            <w:tcW w:w="400" w:type="dxa"/>
            <w:vAlign w:val="bottom"/>
          </w:tcPr>
          <w:p>
            <w:pPr>
              <w:spacing w:after="0"/>
              <w:rPr>
                <w:sz w:val="12"/>
                <w:szCs w:val="12"/>
                <w:color w:val="auto"/>
              </w:rPr>
            </w:pPr>
          </w:p>
        </w:tc>
        <w:tc>
          <w:tcPr>
            <w:tcW w:w="9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20,000,000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19,647,170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10"/>
            <w:shd w:val="clear" w:color="auto" w:fill="CCEEFF"/>
          </w:tcPr>
          <w:p>
            <w:pPr>
              <w:spacing w:after="0"/>
              <w:rPr>
                <w:sz w:val="20"/>
                <w:szCs w:val="20"/>
                <w:color w:val="auto"/>
              </w:rPr>
            </w:pPr>
            <w:r>
              <w:rPr>
                <w:rFonts w:ascii="Arial" w:cs="Arial" w:eastAsia="Arial" w:hAnsi="Arial"/>
                <w:sz w:val="13"/>
                <w:szCs w:val="13"/>
                <w:color w:val="auto"/>
              </w:rPr>
              <w:t>Learning Care Group,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12/28/2015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EDUCATION</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13.50%</w:t>
            </w:r>
          </w:p>
        </w:tc>
        <w:tc>
          <w:tcPr>
            <w:tcW w:w="40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88"/>
              </w:rPr>
              <w:t>(6)</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10,259,430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10,129,726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10,054,242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40" w:type="dxa"/>
            <w:vAlign w:val="bottom"/>
            <w:gridSpan w:val="10"/>
          </w:tcPr>
          <w:p>
            <w:pPr>
              <w:spacing w:after="0" w:line="138" w:lineRule="exact"/>
              <w:rPr>
                <w:sz w:val="20"/>
                <w:szCs w:val="20"/>
                <w:color w:val="auto"/>
              </w:rPr>
            </w:pPr>
            <w:r>
              <w:rPr>
                <w:rFonts w:ascii="Arial" w:cs="Arial" w:eastAsia="Arial" w:hAnsi="Arial"/>
                <w:sz w:val="13"/>
                <w:szCs w:val="13"/>
                <w:color w:val="auto"/>
              </w:rPr>
              <w:t>Realogy Corp.</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3"/>
                <w:szCs w:val="13"/>
                <w:color w:val="auto"/>
              </w:rPr>
              <w:t>BUILDINGS &amp; REAL</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4/15/2015</w:t>
            </w:r>
          </w:p>
        </w:tc>
        <w:tc>
          <w:tcPr>
            <w:tcW w:w="2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ESTATE</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12.38%</w:t>
            </w:r>
          </w:p>
        </w:tc>
        <w:tc>
          <w:tcPr>
            <w:tcW w:w="400" w:type="dxa"/>
            <w:vAlign w:val="bottom"/>
          </w:tcPr>
          <w:p>
            <w:pPr>
              <w:spacing w:after="0"/>
              <w:rPr>
                <w:sz w:val="13"/>
                <w:szCs w:val="13"/>
                <w:color w:val="auto"/>
              </w:rPr>
            </w:pPr>
          </w:p>
        </w:tc>
        <w:tc>
          <w:tcPr>
            <w:tcW w:w="9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28,000,000</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26,531,029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7,840,000</w:t>
            </w:r>
          </w:p>
        </w:tc>
        <w:tc>
          <w:tcPr>
            <w:tcW w:w="0" w:type="dxa"/>
            <w:vAlign w:val="bottom"/>
          </w:tcPr>
          <w:p>
            <w:pPr>
              <w:spacing w:after="0"/>
              <w:rPr>
                <w:sz w:val="1"/>
                <w:szCs w:val="1"/>
                <w:color w:val="auto"/>
              </w:rPr>
            </w:pPr>
          </w:p>
        </w:tc>
      </w:tr>
      <w:tr>
        <w:trPr>
          <w:trHeight w:val="148"/>
        </w:trPr>
        <w:tc>
          <w:tcPr>
            <w:tcW w:w="3840" w:type="dxa"/>
            <w:vAlign w:val="bottom"/>
            <w:gridSpan w:val="10"/>
            <w:shd w:val="clear" w:color="auto" w:fill="CCEEFF"/>
          </w:tcPr>
          <w:p>
            <w:pPr>
              <w:spacing w:after="0"/>
              <w:rPr>
                <w:sz w:val="20"/>
                <w:szCs w:val="20"/>
                <w:color w:val="auto"/>
              </w:rPr>
            </w:pPr>
            <w:r>
              <w:rPr>
                <w:rFonts w:ascii="Arial" w:cs="Arial" w:eastAsia="Arial" w:hAnsi="Arial"/>
                <w:sz w:val="13"/>
                <w:szCs w:val="13"/>
                <w:color w:val="auto"/>
              </w:rPr>
              <w:t>TZ Merger Sub,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10/1/2016</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INSURANCE</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13.50%</w:t>
            </w:r>
          </w:p>
        </w:tc>
        <w:tc>
          <w:tcPr>
            <w:tcW w:w="40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88"/>
              </w:rPr>
              <w:t>(6)</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20,197,856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20,020,106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20,197,856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10"/>
          </w:tcPr>
          <w:p>
            <w:pPr>
              <w:spacing w:after="0"/>
              <w:rPr>
                <w:sz w:val="20"/>
                <w:szCs w:val="20"/>
                <w:color w:val="auto"/>
              </w:rPr>
            </w:pPr>
            <w:r>
              <w:rPr>
                <w:rFonts w:ascii="Arial" w:cs="Arial" w:eastAsia="Arial" w:hAnsi="Arial"/>
                <w:sz w:val="13"/>
                <w:szCs w:val="13"/>
                <w:color w:val="auto"/>
              </w:rPr>
              <w:t>UP Acquisition Sub Inc.</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2/8/2015</w:t>
            </w:r>
          </w:p>
        </w:tc>
        <w:tc>
          <w:tcPr>
            <w:tcW w:w="2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OIL &amp; GAS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13.50%</w:t>
            </w:r>
          </w:p>
        </w:tc>
        <w:tc>
          <w:tcPr>
            <w:tcW w:w="400" w:type="dxa"/>
            <w:vAlign w:val="bottom"/>
          </w:tcPr>
          <w:p>
            <w:pPr>
              <w:spacing w:after="0"/>
              <w:rPr>
                <w:sz w:val="12"/>
                <w:szCs w:val="12"/>
                <w:color w:val="auto"/>
              </w:rPr>
            </w:pPr>
          </w:p>
        </w:tc>
        <w:tc>
          <w:tcPr>
            <w:tcW w:w="9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21,000,000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20,531,948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10"/>
            <w:shd w:val="clear" w:color="auto" w:fill="CCEEFF"/>
          </w:tcPr>
          <w:p>
            <w:pPr>
              <w:spacing w:after="0"/>
              <w:rPr>
                <w:sz w:val="20"/>
                <w:szCs w:val="20"/>
                <w:color w:val="auto"/>
              </w:rPr>
            </w:pPr>
            <w:r>
              <w:rPr>
                <w:rFonts w:ascii="Arial" w:cs="Arial" w:eastAsia="Arial" w:hAnsi="Arial"/>
                <w:sz w:val="13"/>
                <w:szCs w:val="13"/>
                <w:b w:val="1"/>
                <w:bCs w:val="1"/>
                <w:color w:val="auto"/>
              </w:rPr>
              <w:t>Total Subordinated Debt / Corporate Notes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8"/>
              </w:rPr>
              <w:t>173,776,900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169,618,330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151,216,708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gridSpan w:val="10"/>
          </w:tcPr>
          <w:p>
            <w:pPr>
              <w:spacing w:after="0" w:line="142" w:lineRule="exact"/>
              <w:rPr>
                <w:sz w:val="20"/>
                <w:szCs w:val="20"/>
                <w:color w:val="auto"/>
              </w:rPr>
            </w:pPr>
            <w:r>
              <w:rPr>
                <w:rFonts w:ascii="Arial" w:cs="Arial" w:eastAsia="Arial" w:hAnsi="Arial"/>
                <w:sz w:val="13"/>
                <w:szCs w:val="13"/>
                <w:b w:val="1"/>
                <w:bCs w:val="1"/>
                <w:color w:val="auto"/>
              </w:rPr>
              <w:t>Second Lien Secured Debt - 41.9%</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40" w:type="dxa"/>
            <w:vAlign w:val="bottom"/>
            <w:gridSpan w:val="10"/>
            <w:shd w:val="clear" w:color="auto" w:fill="CCEEFF"/>
          </w:tcPr>
          <w:p>
            <w:pPr>
              <w:spacing w:after="0" w:line="142" w:lineRule="exact"/>
              <w:rPr>
                <w:sz w:val="20"/>
                <w:szCs w:val="20"/>
                <w:color w:val="auto"/>
              </w:rPr>
            </w:pPr>
            <w:r>
              <w:rPr>
                <w:rFonts w:ascii="Arial" w:cs="Arial" w:eastAsia="Arial" w:hAnsi="Arial"/>
                <w:sz w:val="13"/>
                <w:szCs w:val="13"/>
                <w:color w:val="auto"/>
              </w:rPr>
              <w:t>Brand Energy and Infrastucture Services, Inc.</w:t>
            </w:r>
          </w:p>
        </w:tc>
        <w:tc>
          <w:tcPr>
            <w:tcW w:w="62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2/7/2015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rPr>
              <w:t>ENERGY/UTILITIES</w:t>
            </w:r>
          </w:p>
        </w:tc>
        <w:tc>
          <w:tcPr>
            <w:tcW w:w="82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6.46%</w:t>
            </w: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3"/>
                <w:szCs w:val="13"/>
                <w:color w:val="auto"/>
              </w:rPr>
              <w:t>L+600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w w:val="98"/>
              </w:rPr>
              <w:t>13,600,000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13,130,857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12,267,200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10"/>
          </w:tcPr>
          <w:p>
            <w:pPr>
              <w:spacing w:after="0"/>
              <w:rPr>
                <w:sz w:val="20"/>
                <w:szCs w:val="20"/>
                <w:color w:val="auto"/>
              </w:rPr>
            </w:pPr>
            <w:r>
              <w:rPr>
                <w:rFonts w:ascii="Arial" w:cs="Arial" w:eastAsia="Arial" w:hAnsi="Arial"/>
                <w:sz w:val="13"/>
                <w:szCs w:val="13"/>
                <w:color w:val="auto"/>
              </w:rPr>
              <w:t>Brand Energy and Infrastucture Services,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2/7/2015</w:t>
            </w:r>
          </w:p>
        </w:tc>
        <w:tc>
          <w:tcPr>
            <w:tcW w:w="2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ENERGY/UTILITIES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7.69%</w:t>
            </w:r>
          </w:p>
        </w:tc>
        <w:tc>
          <w:tcPr>
            <w:tcW w:w="400" w:type="dxa"/>
            <w:vAlign w:val="bottom"/>
          </w:tcPr>
          <w:p>
            <w:pPr>
              <w:spacing w:after="0"/>
              <w:rPr>
                <w:sz w:val="12"/>
                <w:szCs w:val="12"/>
                <w:color w:val="auto"/>
              </w:rPr>
            </w:pPr>
          </w:p>
        </w:tc>
        <w:tc>
          <w:tcPr>
            <w:tcW w:w="920" w:type="dxa"/>
            <w:vAlign w:val="bottom"/>
            <w:gridSpan w:val="2"/>
          </w:tcPr>
          <w:p>
            <w:pPr>
              <w:ind w:left="300"/>
              <w:spacing w:after="0"/>
              <w:rPr>
                <w:sz w:val="20"/>
                <w:szCs w:val="20"/>
                <w:color w:val="auto"/>
              </w:rPr>
            </w:pPr>
            <w:r>
              <w:rPr>
                <w:rFonts w:ascii="Arial" w:cs="Arial" w:eastAsia="Arial" w:hAnsi="Arial"/>
                <w:sz w:val="13"/>
                <w:szCs w:val="13"/>
                <w:color w:val="auto"/>
              </w:rPr>
              <w:t>L+700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12,000,000</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11,720,122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11,232,000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Generics International (U.S.), Inc.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rPr>
              <w:t>HEALTHCARE,</w:t>
            </w: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EDUCATION &amp;</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4/30/2015</w:t>
            </w: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CHILDCARE</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8.10%</w:t>
            </w:r>
          </w:p>
        </w:tc>
        <w:tc>
          <w:tcPr>
            <w:tcW w:w="4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L+750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12,000,000</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11,953,089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11,076,000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gridSpan w:val="10"/>
          </w:tcPr>
          <w:p>
            <w:pPr>
              <w:spacing w:after="0"/>
              <w:rPr>
                <w:sz w:val="20"/>
                <w:szCs w:val="20"/>
                <w:color w:val="auto"/>
              </w:rPr>
            </w:pPr>
            <w:r>
              <w:rPr>
                <w:rFonts w:ascii="Arial" w:cs="Arial" w:eastAsia="Arial" w:hAnsi="Arial"/>
                <w:sz w:val="13"/>
                <w:szCs w:val="13"/>
                <w:color w:val="auto"/>
              </w:rPr>
              <w:t>Greatwide Logistics Services,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3/1/2014</w:t>
            </w:r>
          </w:p>
        </w:tc>
        <w:tc>
          <w:tcPr>
            <w:tcW w:w="2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8"/>
              </w:rPr>
              <w:t>CARGO TRANSPORT</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11.00%</w:t>
            </w:r>
          </w:p>
        </w:tc>
        <w:tc>
          <w:tcPr>
            <w:tcW w:w="400" w:type="dxa"/>
            <w:vAlign w:val="bottom"/>
          </w:tcPr>
          <w:p>
            <w:pPr>
              <w:jc w:val="right"/>
              <w:ind w:right="204"/>
              <w:spacing w:after="0"/>
              <w:rPr>
                <w:sz w:val="20"/>
                <w:szCs w:val="20"/>
                <w:color w:val="auto"/>
              </w:rPr>
            </w:pPr>
            <w:r>
              <w:rPr>
                <w:rFonts w:ascii="Arial" w:cs="Arial" w:eastAsia="Arial" w:hAnsi="Arial"/>
                <w:sz w:val="11"/>
                <w:szCs w:val="11"/>
                <w:color w:val="auto"/>
                <w:w w:val="88"/>
              </w:rPr>
              <w:t>(6)</w:t>
            </w:r>
          </w:p>
        </w:tc>
        <w:tc>
          <w:tcPr>
            <w:tcW w:w="92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2,182,000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2,182,000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10"/>
            <w:shd w:val="clear" w:color="auto" w:fill="CCEEFF"/>
          </w:tcPr>
          <w:p>
            <w:pPr>
              <w:spacing w:after="0"/>
              <w:rPr>
                <w:sz w:val="20"/>
                <w:szCs w:val="20"/>
                <w:color w:val="auto"/>
              </w:rPr>
            </w:pPr>
            <w:r>
              <w:rPr>
                <w:rFonts w:ascii="Arial" w:cs="Arial" w:eastAsia="Arial" w:hAnsi="Arial"/>
                <w:sz w:val="13"/>
                <w:szCs w:val="13"/>
                <w:color w:val="auto"/>
              </w:rPr>
              <w:t>Questex Media Group,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11/4/2014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OTHER MEDIA</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6.91%</w:t>
            </w:r>
          </w:p>
        </w:tc>
        <w:tc>
          <w:tcPr>
            <w:tcW w:w="40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88"/>
              </w:rPr>
              <w:t>(7)</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L+650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10,000,000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10,000,000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10"/>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5/15/2017</w:t>
            </w:r>
          </w:p>
        </w:tc>
        <w:tc>
          <w:tcPr>
            <w:tcW w:w="2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8"/>
              </w:rPr>
              <w:t>TRANSPORTATION</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12.50%</w:t>
            </w:r>
          </w:p>
        </w:tc>
        <w:tc>
          <w:tcPr>
            <w:tcW w:w="400" w:type="dxa"/>
            <w:vAlign w:val="bottom"/>
          </w:tcPr>
          <w:p>
            <w:pPr>
              <w:spacing w:after="0"/>
              <w:rPr>
                <w:sz w:val="12"/>
                <w:szCs w:val="12"/>
                <w:color w:val="auto"/>
              </w:rPr>
            </w:pPr>
          </w:p>
        </w:tc>
        <w:tc>
          <w:tcPr>
            <w:tcW w:w="9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19,000,000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16,840,878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10"/>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5/15/2015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TRANSPORTATION</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8.63%</w:t>
            </w: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L+775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10,000,000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9,965,034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40" w:type="dxa"/>
            <w:vAlign w:val="bottom"/>
            <w:gridSpan w:val="10"/>
          </w:tcPr>
          <w:p>
            <w:pPr>
              <w:spacing w:after="0" w:line="138" w:lineRule="exact"/>
              <w:rPr>
                <w:sz w:val="20"/>
                <w:szCs w:val="20"/>
                <w:color w:val="auto"/>
              </w:rPr>
            </w:pPr>
            <w:r>
              <w:rPr>
                <w:rFonts w:ascii="Arial" w:cs="Arial" w:eastAsia="Arial" w:hAnsi="Arial"/>
                <w:sz w:val="13"/>
                <w:szCs w:val="13"/>
                <w:color w:val="auto"/>
              </w:rPr>
              <w:t>Sheridan Holdings, Inc.</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3"/>
                <w:szCs w:val="13"/>
                <w:color w:val="auto"/>
              </w:rPr>
              <w:t>HEALTHCARE,</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EDUCATION &amp;</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vMerge w:val="restart"/>
          </w:tcPr>
          <w:p>
            <w:pPr>
              <w:jc w:val="right"/>
              <w:ind w:right="204"/>
              <w:spacing w:after="0"/>
              <w:rPr>
                <w:sz w:val="20"/>
                <w:szCs w:val="20"/>
                <w:color w:val="auto"/>
              </w:rPr>
            </w:pPr>
            <w:r>
              <w:rPr>
                <w:rFonts w:ascii="Arial" w:cs="Arial" w:eastAsia="Arial" w:hAnsi="Arial"/>
                <w:sz w:val="11"/>
                <w:szCs w:val="11"/>
                <w:color w:val="auto"/>
                <w:w w:val="88"/>
              </w:rPr>
              <w:t>(6)</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6/15/2015</w:t>
            </w:r>
          </w:p>
        </w:tc>
        <w:tc>
          <w:tcPr>
            <w:tcW w:w="2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CHILDCARE</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6.07%</w:t>
            </w:r>
          </w:p>
        </w:tc>
        <w:tc>
          <w:tcPr>
            <w:tcW w:w="400" w:type="dxa"/>
            <w:vAlign w:val="bottom"/>
            <w:vMerge w:val="continue"/>
          </w:tcPr>
          <w:p>
            <w:pPr>
              <w:spacing w:after="0"/>
              <w:rPr>
                <w:sz w:val="13"/>
                <w:szCs w:val="13"/>
                <w:color w:val="auto"/>
              </w:rPr>
            </w:pPr>
          </w:p>
        </w:tc>
        <w:tc>
          <w:tcPr>
            <w:tcW w:w="920" w:type="dxa"/>
            <w:vAlign w:val="bottom"/>
            <w:gridSpan w:val="2"/>
          </w:tcPr>
          <w:p>
            <w:pPr>
              <w:ind w:left="300"/>
              <w:spacing w:after="0"/>
              <w:rPr>
                <w:sz w:val="20"/>
                <w:szCs w:val="20"/>
                <w:color w:val="auto"/>
              </w:rPr>
            </w:pPr>
            <w:r>
              <w:rPr>
                <w:rFonts w:ascii="Arial" w:cs="Arial" w:eastAsia="Arial" w:hAnsi="Arial"/>
                <w:sz w:val="13"/>
                <w:szCs w:val="13"/>
                <w:color w:val="auto"/>
              </w:rPr>
              <w:t>L+575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21,500,000</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18,786,899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18,253,500</w:t>
            </w:r>
          </w:p>
        </w:tc>
        <w:tc>
          <w:tcPr>
            <w:tcW w:w="0" w:type="dxa"/>
            <w:vAlign w:val="bottom"/>
          </w:tcPr>
          <w:p>
            <w:pPr>
              <w:spacing w:after="0"/>
              <w:rPr>
                <w:sz w:val="1"/>
                <w:szCs w:val="1"/>
                <w:color w:val="auto"/>
              </w:rPr>
            </w:pPr>
          </w:p>
        </w:tc>
      </w:tr>
      <w:tr>
        <w:trPr>
          <w:trHeight w:val="138"/>
        </w:trPr>
        <w:tc>
          <w:tcPr>
            <w:tcW w:w="38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Specialized Technology Resources, Inc.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rPr>
              <w:t>CHEMICALS, PLASTICS</w:t>
            </w: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204"/>
              <w:spacing w:after="0"/>
              <w:rPr>
                <w:sz w:val="20"/>
                <w:szCs w:val="20"/>
                <w:color w:val="auto"/>
              </w:rPr>
            </w:pPr>
            <w:r>
              <w:rPr>
                <w:rFonts w:ascii="Arial" w:cs="Arial" w:eastAsia="Arial" w:hAnsi="Arial"/>
                <w:sz w:val="11"/>
                <w:szCs w:val="11"/>
                <w:color w:val="auto"/>
                <w:w w:val="88"/>
              </w:rPr>
              <w:t>(6)</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12/15/2014</w:t>
            </w: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&amp; RUBBER</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7.31%</w:t>
            </w:r>
          </w:p>
        </w:tc>
        <w:tc>
          <w:tcPr>
            <w:tcW w:w="400" w:type="dxa"/>
            <w:vAlign w:val="bottom"/>
            <w:vMerge w:val="continue"/>
            <w:shd w:val="clear" w:color="auto" w:fill="CCEEFF"/>
          </w:tcPr>
          <w:p>
            <w:pPr>
              <w:spacing w:after="0"/>
              <w:rPr>
                <w:sz w:val="13"/>
                <w:szCs w:val="13"/>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L+700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22,500,000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22,487,594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gridSpan w:val="10"/>
          </w:tcPr>
          <w:p>
            <w:pPr>
              <w:spacing w:after="0"/>
              <w:rPr>
                <w:sz w:val="20"/>
                <w:szCs w:val="20"/>
                <w:color w:val="auto"/>
              </w:rPr>
            </w:pPr>
            <w:r>
              <w:rPr>
                <w:rFonts w:ascii="Arial" w:cs="Arial" w:eastAsia="Arial" w:hAnsi="Arial"/>
                <w:sz w:val="13"/>
                <w:szCs w:val="13"/>
                <w:color w:val="auto"/>
              </w:rPr>
              <w:t>TransFirst Holdings,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6/15/2015</w:t>
            </w:r>
          </w:p>
        </w:tc>
        <w:tc>
          <w:tcPr>
            <w:tcW w:w="2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FINANCIAL SERVICES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7.06%</w:t>
            </w:r>
          </w:p>
        </w:tc>
        <w:tc>
          <w:tcPr>
            <w:tcW w:w="400" w:type="dxa"/>
            <w:vAlign w:val="bottom"/>
          </w:tcPr>
          <w:p>
            <w:pPr>
              <w:jc w:val="right"/>
              <w:ind w:right="204"/>
              <w:spacing w:after="0"/>
              <w:rPr>
                <w:sz w:val="20"/>
                <w:szCs w:val="20"/>
                <w:color w:val="auto"/>
              </w:rPr>
            </w:pPr>
            <w:r>
              <w:rPr>
                <w:rFonts w:ascii="Arial" w:cs="Arial" w:eastAsia="Arial" w:hAnsi="Arial"/>
                <w:sz w:val="11"/>
                <w:szCs w:val="11"/>
                <w:color w:val="auto"/>
                <w:w w:val="88"/>
              </w:rPr>
              <w:t>(6)</w:t>
            </w:r>
          </w:p>
        </w:tc>
        <w:tc>
          <w:tcPr>
            <w:tcW w:w="920" w:type="dxa"/>
            <w:vAlign w:val="bottom"/>
            <w:gridSpan w:val="2"/>
          </w:tcPr>
          <w:p>
            <w:pPr>
              <w:ind w:left="300"/>
              <w:spacing w:after="0"/>
              <w:rPr>
                <w:sz w:val="20"/>
                <w:szCs w:val="20"/>
                <w:color w:val="auto"/>
              </w:rPr>
            </w:pPr>
            <w:r>
              <w:rPr>
                <w:rFonts w:ascii="Arial" w:cs="Arial" w:eastAsia="Arial" w:hAnsi="Arial"/>
                <w:sz w:val="13"/>
                <w:szCs w:val="13"/>
                <w:color w:val="auto"/>
              </w:rPr>
              <w:t>L+675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16,500,000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15,936,742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13,909,500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40" w:type="dxa"/>
            <w:vAlign w:val="bottom"/>
            <w:gridSpan w:val="10"/>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8"/>
              </w:rPr>
              <w:t>139,282,000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133,003,215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103,370,200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Shares</w:t>
            </w: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320" w:type="dxa"/>
            <w:vAlign w:val="bottom"/>
            <w:tcBorders>
              <w:bottom w:val="single" w:sz="8" w:color="CCEEFF"/>
            </w:tcBorders>
            <w:gridSpan w:val="3"/>
            <w:vMerge w:val="restart"/>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5"/>
              </w:rPr>
              <w:t>Preferred Equity / Partnership Interests</w:t>
            </w:r>
          </w:p>
        </w:tc>
        <w:tc>
          <w:tcPr>
            <w:tcW w:w="160" w:type="dxa"/>
            <w:vAlign w:val="bottom"/>
            <w:tcBorders>
              <w:bottom w:val="single" w:sz="8" w:color="auto"/>
            </w:tcBorders>
            <w:gridSpan w:val="3"/>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rPr>
              <w:t>(7)</w:t>
            </w:r>
          </w:p>
        </w:tc>
        <w:tc>
          <w:tcPr>
            <w:tcW w:w="420" w:type="dxa"/>
            <w:vAlign w:val="bottom"/>
            <w:tcBorders>
              <w:bottom w:val="single" w:sz="8" w:color="CCEEFF"/>
            </w:tcBorders>
            <w:gridSpan w:val="3"/>
            <w:vMerge w:val="restart"/>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- 4.2%</w:t>
            </w:r>
          </w:p>
        </w:tc>
        <w:tc>
          <w:tcPr>
            <w:tcW w:w="940" w:type="dxa"/>
            <w:vAlign w:val="bottom"/>
            <w:tcBorders>
              <w:bottom w:val="single" w:sz="8" w:color="CCEEFF"/>
            </w:tcBorders>
            <w:vMerge w:val="restart"/>
            <w:shd w:val="clear" w:color="auto" w:fill="CCEEFF"/>
          </w:tcPr>
          <w:p>
            <w:pPr>
              <w:spacing w:after="0"/>
              <w:rPr>
                <w:sz w:val="7"/>
                <w:szCs w:val="7"/>
                <w:color w:val="auto"/>
              </w:rPr>
            </w:pPr>
          </w:p>
        </w:tc>
        <w:tc>
          <w:tcPr>
            <w:tcW w:w="6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58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auto"/>
            </w:tcBorders>
            <w:gridSpan w:val="3"/>
            <w:vMerge w:val="continue"/>
            <w:shd w:val="clear" w:color="auto" w:fill="CCEEFF"/>
          </w:tcPr>
          <w:p>
            <w:pPr>
              <w:spacing w:after="0" w:line="20" w:lineRule="exact"/>
              <w:rPr>
                <w:sz w:val="1"/>
                <w:szCs w:val="1"/>
                <w:color w:val="auto"/>
              </w:rPr>
            </w:pPr>
          </w:p>
        </w:tc>
        <w:tc>
          <w:tcPr>
            <w:tcW w:w="160" w:type="dxa"/>
            <w:vAlign w:val="bottom"/>
            <w:tcBorders>
              <w:bottom w:val="single" w:sz="8" w:color="CCEEFF"/>
            </w:tcBorders>
            <w:gridSpan w:val="3"/>
            <w:shd w:val="clear" w:color="auto" w:fill="CCEEFF"/>
          </w:tcPr>
          <w:p>
            <w:pPr>
              <w:spacing w:after="0" w:line="20" w:lineRule="exact"/>
              <w:rPr>
                <w:sz w:val="1"/>
                <w:szCs w:val="1"/>
                <w:color w:val="auto"/>
              </w:rPr>
            </w:pPr>
          </w:p>
        </w:tc>
        <w:tc>
          <w:tcPr>
            <w:tcW w:w="420" w:type="dxa"/>
            <w:vAlign w:val="bottom"/>
            <w:tcBorders>
              <w:bottom w:val="single" w:sz="8" w:color="auto"/>
            </w:tcBorders>
            <w:gridSpan w:val="3"/>
            <w:vMerge w:val="continue"/>
            <w:shd w:val="clear" w:color="auto" w:fill="CCEEFF"/>
          </w:tcPr>
          <w:p>
            <w:pPr>
              <w:spacing w:after="0" w:line="20" w:lineRule="exact"/>
              <w:rPr>
                <w:sz w:val="1"/>
                <w:szCs w:val="1"/>
                <w:color w:val="auto"/>
              </w:rPr>
            </w:pPr>
          </w:p>
        </w:tc>
        <w:tc>
          <w:tcPr>
            <w:tcW w:w="9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62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158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70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840" w:type="dxa"/>
            <w:vAlign w:val="bottom"/>
            <w:gridSpan w:val="10"/>
          </w:tcPr>
          <w:p>
            <w:pPr>
              <w:spacing w:after="0" w:line="142" w:lineRule="exact"/>
              <w:rPr>
                <w:sz w:val="20"/>
                <w:szCs w:val="20"/>
                <w:color w:val="auto"/>
              </w:rPr>
            </w:pPr>
            <w:r>
              <w:rPr>
                <w:rFonts w:ascii="Arial" w:cs="Arial" w:eastAsia="Arial" w:hAnsi="Arial"/>
                <w:sz w:val="13"/>
                <w:szCs w:val="13"/>
                <w:color w:val="auto"/>
              </w:rPr>
              <w:t>CFHC Holdings, Inc. Class A (Consolidated Foundries,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3"/>
                <w:szCs w:val="13"/>
                <w:color w:val="auto"/>
                <w:w w:val="97"/>
              </w:rPr>
              <w:t>AEROSPACE &amp; DEFENSE</w:t>
            </w:r>
          </w:p>
        </w:tc>
        <w:tc>
          <w:tcPr>
            <w:tcW w:w="8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12.00%</w:t>
            </w:r>
          </w:p>
        </w:tc>
        <w:tc>
          <w:tcPr>
            <w:tcW w:w="400" w:type="dxa"/>
            <w:vAlign w:val="bottom"/>
          </w:tcPr>
          <w:p>
            <w:pPr>
              <w:spacing w:after="0"/>
              <w:rPr>
                <w:sz w:val="12"/>
                <w:szCs w:val="12"/>
                <w:color w:val="auto"/>
              </w:rPr>
            </w:pPr>
          </w:p>
        </w:tc>
        <w:tc>
          <w:tcPr>
            <w:tcW w:w="920" w:type="dxa"/>
            <w:vAlign w:val="bottom"/>
            <w:gridSpan w:val="2"/>
          </w:tcPr>
          <w:p>
            <w:pPr>
              <w:ind w:left="4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797</w:t>
            </w: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797,288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921,359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10"/>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AEROSPACE &amp; DEFENSE</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12.00%</w:t>
            </w: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3,960,000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10"/>
          </w:tcPr>
          <w:p>
            <w:pPr>
              <w:spacing w:after="0"/>
              <w:rPr>
                <w:sz w:val="20"/>
                <w:szCs w:val="20"/>
                <w:color w:val="auto"/>
              </w:rPr>
            </w:pPr>
            <w:r>
              <w:rPr>
                <w:rFonts w:ascii="Arial" w:cs="Arial" w:eastAsia="Arial" w:hAnsi="Arial"/>
                <w:sz w:val="13"/>
                <w:szCs w:val="13"/>
                <w:color w:val="auto"/>
              </w:rPr>
              <w:t>TZ Holdings, L.P., Series A (TZ Merger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INSURANCE</w:t>
            </w:r>
          </w:p>
        </w:tc>
        <w:tc>
          <w:tcPr>
            <w:tcW w:w="2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9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686</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685,820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10"/>
            <w:shd w:val="clear" w:color="auto" w:fill="CCEEFF"/>
          </w:tcPr>
          <w:p>
            <w:pPr>
              <w:spacing w:after="0"/>
              <w:rPr>
                <w:sz w:val="20"/>
                <w:szCs w:val="20"/>
                <w:color w:val="auto"/>
              </w:rPr>
            </w:pPr>
            <w:r>
              <w:rPr>
                <w:rFonts w:ascii="Arial" w:cs="Arial" w:eastAsia="Arial" w:hAnsi="Arial"/>
                <w:sz w:val="13"/>
                <w:szCs w:val="13"/>
                <w:color w:val="auto"/>
              </w:rPr>
              <w:t>TZ Holdings, L.P., Series B (TZ Merger Sub,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INSURANCE</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6.50%</w:t>
            </w: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1,312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1,312,006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10"/>
          </w:tcPr>
          <w:p>
            <w:pPr>
              <w:spacing w:after="0"/>
              <w:rPr>
                <w:sz w:val="20"/>
                <w:szCs w:val="20"/>
                <w:color w:val="auto"/>
              </w:rPr>
            </w:pPr>
            <w:r>
              <w:rPr>
                <w:rFonts w:ascii="Arial" w:cs="Arial" w:eastAsia="Arial" w:hAnsi="Arial"/>
                <w:sz w:val="13"/>
                <w:szCs w:val="13"/>
                <w:color w:val="auto"/>
              </w:rPr>
              <w:t>UP Holdings Inc., Class A-1 (UP Acquisition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OIL &amp; GAS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8.00%</w:t>
            </w:r>
          </w:p>
        </w:tc>
        <w:tc>
          <w:tcPr>
            <w:tcW w:w="400" w:type="dxa"/>
            <w:vAlign w:val="bottom"/>
          </w:tcPr>
          <w:p>
            <w:pPr>
              <w:spacing w:after="0"/>
              <w:rPr>
                <w:sz w:val="12"/>
                <w:szCs w:val="12"/>
                <w:color w:val="auto"/>
              </w:rPr>
            </w:pPr>
          </w:p>
        </w:tc>
        <w:tc>
          <w:tcPr>
            <w:tcW w:w="9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91,608</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2,499,066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2,778,961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10"/>
            <w:shd w:val="clear" w:color="auto" w:fill="CCEEFF"/>
          </w:tcPr>
          <w:p>
            <w:pPr>
              <w:spacing w:after="0"/>
              <w:rPr>
                <w:sz w:val="20"/>
                <w:szCs w:val="20"/>
                <w:color w:val="auto"/>
              </w:rPr>
            </w:pPr>
            <w:r>
              <w:rPr>
                <w:rFonts w:ascii="Arial" w:cs="Arial" w:eastAsia="Arial" w:hAnsi="Arial"/>
                <w:sz w:val="13"/>
                <w:szCs w:val="13"/>
                <w:color w:val="auto"/>
              </w:rPr>
              <w:t>VSS-AHC Holdings, L.L.C. (Advanstar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OTHER MEDIA</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20.00%</w:t>
            </w: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318,896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10"/>
            <w:vMerge w:val="restart"/>
          </w:tcPr>
          <w:p>
            <w:pPr>
              <w:spacing w:after="0"/>
              <w:rPr>
                <w:sz w:val="20"/>
                <w:szCs w:val="20"/>
                <w:color w:val="auto"/>
              </w:rPr>
            </w:pPr>
            <w:r>
              <w:rPr>
                <w:rFonts w:ascii="Arial" w:cs="Arial" w:eastAsia="Arial" w:hAnsi="Arial"/>
                <w:sz w:val="13"/>
                <w:szCs w:val="13"/>
                <w:b w:val="1"/>
                <w:bCs w:val="1"/>
                <w:color w:val="auto"/>
              </w:rPr>
              <w:t>Total Preferred Equity / Partnership Interests</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40" w:type="dxa"/>
            <w:vAlign w:val="bottom"/>
            <w:gridSpan w:val="10"/>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4,054,722</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9,573,076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10,259,189</w:t>
            </w:r>
          </w:p>
        </w:tc>
        <w:tc>
          <w:tcPr>
            <w:tcW w:w="0" w:type="dxa"/>
            <w:vAlign w:val="bottom"/>
          </w:tcPr>
          <w:p>
            <w:pPr>
              <w:spacing w:after="0"/>
              <w:rPr>
                <w:sz w:val="1"/>
                <w:szCs w:val="1"/>
                <w:color w:val="auto"/>
              </w:rPr>
            </w:pPr>
          </w:p>
        </w:tc>
      </w:tr>
      <w:tr>
        <w:trPr>
          <w:trHeight w:val="95"/>
        </w:trPr>
        <w:tc>
          <w:tcPr>
            <w:tcW w:w="2340" w:type="dxa"/>
            <w:vAlign w:val="bottom"/>
            <w:tcBorders>
              <w:bottom w:val="single" w:sz="8" w:color="CCEEFF"/>
            </w:tcBorders>
            <w:gridSpan w:val="4"/>
            <w:vMerge w:val="restart"/>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6"/>
              </w:rPr>
              <w:t>Common Equity / Partnership Interests</w:t>
            </w:r>
          </w:p>
        </w:tc>
        <w:tc>
          <w:tcPr>
            <w:tcW w:w="120" w:type="dxa"/>
            <w:vAlign w:val="bottom"/>
            <w:tcBorders>
              <w:bottom w:val="single" w:sz="8" w:color="auto"/>
            </w:tcBorders>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rPr>
              <w:t>(7)</w:t>
            </w:r>
          </w:p>
        </w:tc>
        <w:tc>
          <w:tcPr>
            <w:tcW w:w="420" w:type="dxa"/>
            <w:vAlign w:val="bottom"/>
            <w:tcBorders>
              <w:bottom w:val="single" w:sz="8" w:color="CCEEFF"/>
            </w:tcBorders>
            <w:gridSpan w:val="3"/>
            <w:vMerge w:val="restart"/>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- 5.5%</w:t>
            </w:r>
          </w:p>
        </w:tc>
        <w:tc>
          <w:tcPr>
            <w:tcW w:w="960" w:type="dxa"/>
            <w:vAlign w:val="bottom"/>
            <w:tcBorders>
              <w:bottom w:val="single" w:sz="8" w:color="CCEEFF"/>
            </w:tcBorders>
            <w:gridSpan w:val="2"/>
            <w:vMerge w:val="restart"/>
            <w:shd w:val="clear" w:color="auto" w:fill="CCEEFF"/>
          </w:tcPr>
          <w:p>
            <w:pPr>
              <w:spacing w:after="0"/>
              <w:rPr>
                <w:sz w:val="8"/>
                <w:szCs w:val="8"/>
                <w:color w:val="auto"/>
              </w:rPr>
            </w:pPr>
          </w:p>
        </w:tc>
        <w:tc>
          <w:tcPr>
            <w:tcW w:w="6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58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660" w:type="dxa"/>
            <w:vAlign w:val="bottom"/>
            <w:tcBorders>
              <w:top w:val="single" w:sz="8" w:color="auto"/>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66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700" w:type="dxa"/>
            <w:vAlign w:val="bottom"/>
            <w:tcBorders>
              <w:top w:val="single" w:sz="8" w:color="auto"/>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340" w:type="dxa"/>
            <w:vAlign w:val="bottom"/>
            <w:tcBorders>
              <w:bottom w:val="single" w:sz="8" w:color="auto"/>
            </w:tcBorders>
            <w:gridSpan w:val="4"/>
            <w:vMerge w:val="continue"/>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auto"/>
            </w:tcBorders>
            <w:gridSpan w:val="3"/>
            <w:vMerge w:val="continue"/>
            <w:shd w:val="clear" w:color="auto" w:fill="CCEEFF"/>
          </w:tcPr>
          <w:p>
            <w:pPr>
              <w:spacing w:after="0" w:line="20" w:lineRule="exact"/>
              <w:rPr>
                <w:sz w:val="1"/>
                <w:szCs w:val="1"/>
                <w:color w:val="auto"/>
              </w:rPr>
            </w:pPr>
          </w:p>
        </w:tc>
        <w:tc>
          <w:tcPr>
            <w:tcW w:w="96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62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158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70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840" w:type="dxa"/>
            <w:vAlign w:val="bottom"/>
            <w:gridSpan w:val="10"/>
          </w:tcPr>
          <w:p>
            <w:pPr>
              <w:spacing w:after="0" w:line="142" w:lineRule="exact"/>
              <w:rPr>
                <w:sz w:val="20"/>
                <w:szCs w:val="20"/>
                <w:color w:val="auto"/>
              </w:rPr>
            </w:pPr>
            <w:r>
              <w:rPr>
                <w:rFonts w:ascii="Arial" w:cs="Arial" w:eastAsia="Arial" w:hAnsi="Arial"/>
                <w:sz w:val="13"/>
                <w:szCs w:val="13"/>
                <w:color w:val="auto"/>
              </w:rPr>
              <w:t>AHC Mezzanine (Advanstar,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3"/>
                <w:szCs w:val="13"/>
                <w:color w:val="auto"/>
              </w:rPr>
              <w:t>OTHER MEDIA</w:t>
            </w:r>
          </w:p>
        </w:tc>
        <w:tc>
          <w:tcPr>
            <w:tcW w:w="22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920" w:type="dxa"/>
            <w:vAlign w:val="bottom"/>
            <w:gridSpan w:val="2"/>
          </w:tcPr>
          <w:p>
            <w:pPr>
              <w:ind w:left="4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3,000</w:t>
            </w: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3,005,163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10"/>
            <w:shd w:val="clear" w:color="auto" w:fill="CCEEFF"/>
          </w:tcPr>
          <w:p>
            <w:pPr>
              <w:spacing w:after="0"/>
              <w:rPr>
                <w:sz w:val="20"/>
                <w:szCs w:val="20"/>
                <w:color w:val="auto"/>
              </w:rPr>
            </w:pPr>
            <w:r>
              <w:rPr>
                <w:rFonts w:ascii="Arial" w:cs="Arial" w:eastAsia="Arial" w:hAnsi="Arial"/>
                <w:sz w:val="13"/>
                <w:szCs w:val="13"/>
                <w:color w:val="auto"/>
              </w:rPr>
              <w:t>CFHC Holdings, Inc. (Consolidated Foundries,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AEROSPACE &amp; DEFENSE</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1,627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16,271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40" w:type="dxa"/>
            <w:vAlign w:val="bottom"/>
            <w:gridSpan w:val="10"/>
          </w:tcPr>
          <w:p>
            <w:pPr>
              <w:spacing w:after="0" w:line="138" w:lineRule="exact"/>
              <w:rPr>
                <w:sz w:val="20"/>
                <w:szCs w:val="20"/>
                <w:color w:val="auto"/>
              </w:rPr>
            </w:pPr>
            <w:r>
              <w:rPr>
                <w:rFonts w:ascii="Arial" w:cs="Arial" w:eastAsia="Arial" w:hAnsi="Arial"/>
                <w:sz w:val="13"/>
                <w:szCs w:val="13"/>
                <w:color w:val="auto"/>
              </w:rPr>
              <w:t>CT Technologies Holdings, L.L.C (CT Technologies Intermediate</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840" w:type="dxa"/>
            <w:vAlign w:val="bottom"/>
            <w:gridSpan w:val="10"/>
          </w:tcPr>
          <w:p>
            <w:pPr>
              <w:ind w:left="220"/>
              <w:spacing w:after="0"/>
              <w:rPr>
                <w:sz w:val="20"/>
                <w:szCs w:val="20"/>
                <w:color w:val="auto"/>
              </w:rPr>
            </w:pPr>
            <w:r>
              <w:rPr>
                <w:rFonts w:ascii="Arial" w:cs="Arial" w:eastAsia="Arial" w:hAnsi="Arial"/>
                <w:sz w:val="13"/>
                <w:szCs w:val="13"/>
                <w:color w:val="auto"/>
              </w:rPr>
              <w:t>Holdings, Inc.)</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6"/>
              </w:rPr>
              <w:t>BUSINESS SERVICES</w:t>
            </w:r>
          </w:p>
        </w:tc>
        <w:tc>
          <w:tcPr>
            <w:tcW w:w="2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9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5,556</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3,200,000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6,462,006</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Basis Point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Spread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20"/>
              <w:spacing w:after="0" w:line="134" w:lineRule="exact"/>
              <w:rPr>
                <w:sz w:val="20"/>
                <w:szCs w:val="20"/>
                <w:color w:val="auto"/>
              </w:rPr>
            </w:pPr>
            <w:r>
              <w:rPr>
                <w:rFonts w:ascii="Arial" w:cs="Arial" w:eastAsia="Arial" w:hAnsi="Arial"/>
                <w:sz w:val="13"/>
                <w:szCs w:val="13"/>
                <w:b w:val="1"/>
                <w:bCs w:val="1"/>
                <w:color w:val="auto"/>
                <w:w w:val="97"/>
              </w:rPr>
              <w:t>Current</w:t>
            </w:r>
          </w:p>
        </w:tc>
        <w:tc>
          <w:tcPr>
            <w:tcW w:w="400" w:type="dxa"/>
            <w:vAlign w:val="bottom"/>
          </w:tcPr>
          <w:p>
            <w:pPr>
              <w:spacing w:after="0"/>
              <w:rPr>
                <w:sz w:val="11"/>
                <w:szCs w:val="11"/>
                <w:color w:val="auto"/>
              </w:rPr>
            </w:pPr>
          </w:p>
        </w:tc>
        <w:tc>
          <w:tcPr>
            <w:tcW w:w="90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w w:val="90"/>
              </w:rPr>
              <w:t>Above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3120" w:type="dxa"/>
            <w:vAlign w:val="bottom"/>
            <w:gridSpan w:val="7"/>
          </w:tcPr>
          <w:p>
            <w:pPr>
              <w:spacing w:after="0"/>
              <w:rPr>
                <w:sz w:val="15"/>
                <w:szCs w:val="15"/>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Fair Value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gridSpan w:val="8"/>
            <w:shd w:val="clear" w:color="auto" w:fill="CCEEFF"/>
          </w:tcPr>
          <w:p>
            <w:pPr>
              <w:spacing w:after="0" w:line="142" w:lineRule="exact"/>
              <w:rPr>
                <w:sz w:val="20"/>
                <w:szCs w:val="20"/>
                <w:color w:val="auto"/>
              </w:rPr>
            </w:pPr>
            <w:r>
              <w:rPr>
                <w:rFonts w:ascii="Arial" w:cs="Arial" w:eastAsia="Arial" w:hAnsi="Arial"/>
                <w:sz w:val="13"/>
                <w:szCs w:val="13"/>
                <w:color w:val="auto"/>
              </w:rPr>
              <w:t>i2 Holdings Ltd.</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7"/>
              </w:rPr>
              <w:t>AEROSPACE &amp; DEFENSE</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440,000</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    440,000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   2,467,643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gridSpan w:val="8"/>
          </w:tcPr>
          <w:p>
            <w:pPr>
              <w:spacing w:after="0" w:line="138" w:lineRule="exact"/>
              <w:rPr>
                <w:sz w:val="20"/>
                <w:szCs w:val="20"/>
                <w:color w:val="auto"/>
              </w:rPr>
            </w:pPr>
            <w:r>
              <w:rPr>
                <w:rFonts w:ascii="Arial" w:cs="Arial" w:eastAsia="Arial" w:hAnsi="Arial"/>
                <w:sz w:val="13"/>
                <w:szCs w:val="13"/>
                <w:color w:val="auto"/>
              </w:rPr>
              <w:t>Transportation 100 Holdco, L.L.C. (Greatwide Logistics Services,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80" w:type="dxa"/>
            <w:vAlign w:val="bottom"/>
            <w:gridSpan w:val="8"/>
          </w:tcPr>
          <w:p>
            <w:pPr>
              <w:ind w:left="220"/>
              <w:spacing w:after="0"/>
              <w:rPr>
                <w:sz w:val="20"/>
                <w:szCs w:val="20"/>
                <w:color w:val="auto"/>
              </w:rPr>
            </w:pPr>
            <w:r>
              <w:rPr>
                <w:rFonts w:ascii="Arial" w:cs="Arial" w:eastAsia="Arial" w:hAnsi="Arial"/>
                <w:sz w:val="13"/>
                <w:szCs w:val="13"/>
                <w:color w:val="auto"/>
              </w:rPr>
              <w:t>L.L.C.)</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7"/>
              </w:rPr>
              <w:t>CARGO TRANSPORT</w:t>
            </w:r>
          </w:p>
        </w:tc>
        <w:tc>
          <w:tcPr>
            <w:tcW w:w="22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106,299</w:t>
            </w:r>
          </w:p>
        </w:tc>
        <w:tc>
          <w:tcPr>
            <w:tcW w:w="740" w:type="dxa"/>
            <w:vAlign w:val="bottom"/>
          </w:tcPr>
          <w:p>
            <w:pPr>
              <w:jc w:val="right"/>
              <w:spacing w:after="0"/>
              <w:rPr>
                <w:sz w:val="20"/>
                <w:szCs w:val="20"/>
                <w:color w:val="auto"/>
              </w:rPr>
            </w:pPr>
            <w:r>
              <w:rPr>
                <w:rFonts w:ascii="Arial" w:cs="Arial" w:eastAsia="Arial" w:hAnsi="Arial"/>
                <w:sz w:val="13"/>
                <w:szCs w:val="13"/>
                <w:color w:val="auto"/>
              </w:rPr>
              <w:t>1,779,455</w:t>
            </w:r>
          </w:p>
        </w:tc>
        <w:tc>
          <w:tcPr>
            <w:tcW w:w="120" w:type="dxa"/>
            <w:vAlign w:val="bottom"/>
          </w:tcPr>
          <w:p>
            <w:pPr>
              <w:spacing w:after="0"/>
              <w:rPr>
                <w:sz w:val="13"/>
                <w:szCs w:val="13"/>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2,034,392</w:t>
            </w:r>
          </w:p>
        </w:tc>
        <w:tc>
          <w:tcPr>
            <w:tcW w:w="0" w:type="dxa"/>
            <w:vAlign w:val="bottom"/>
          </w:tcPr>
          <w:p>
            <w:pPr>
              <w:spacing w:after="0"/>
              <w:rPr>
                <w:sz w:val="1"/>
                <w:szCs w:val="1"/>
                <w:color w:val="auto"/>
              </w:rPr>
            </w:pPr>
          </w:p>
        </w:tc>
      </w:tr>
      <w:tr>
        <w:trPr>
          <w:trHeight w:val="148"/>
        </w:trPr>
        <w:tc>
          <w:tcPr>
            <w:tcW w:w="3880" w:type="dxa"/>
            <w:vAlign w:val="bottom"/>
            <w:gridSpan w:val="8"/>
            <w:shd w:val="clear" w:color="auto" w:fill="CCEEFF"/>
          </w:tcPr>
          <w:p>
            <w:pPr>
              <w:spacing w:after="0"/>
              <w:rPr>
                <w:sz w:val="20"/>
                <w:szCs w:val="20"/>
                <w:color w:val="auto"/>
              </w:rPr>
            </w:pPr>
            <w:r>
              <w:rPr>
                <w:rFonts w:ascii="Arial" w:cs="Arial" w:eastAsia="Arial" w:hAnsi="Arial"/>
                <w:sz w:val="13"/>
                <w:szCs w:val="13"/>
                <w:color w:val="auto"/>
              </w:rPr>
              <w:t>TZ Holdings, L.P., (TZ Merger Sub, Inc.)</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INSURANCE</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1,122,240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8"/>
          </w:tcPr>
          <w:p>
            <w:pPr>
              <w:spacing w:after="0"/>
              <w:rPr>
                <w:sz w:val="20"/>
                <w:szCs w:val="20"/>
                <w:color w:val="auto"/>
              </w:rPr>
            </w:pPr>
            <w:r>
              <w:rPr>
                <w:rFonts w:ascii="Arial" w:cs="Arial" w:eastAsia="Arial" w:hAnsi="Arial"/>
                <w:sz w:val="13"/>
                <w:szCs w:val="13"/>
                <w:color w:val="auto"/>
              </w:rPr>
              <w:t>UP Holdings Inc., (UP Acquisition Sub Inc.)</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OIL &amp; GAS</w:t>
            </w:r>
          </w:p>
        </w:tc>
        <w:tc>
          <w:tcPr>
            <w:tcW w:w="2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91,608</w:t>
            </w:r>
          </w:p>
        </w:tc>
        <w:tc>
          <w:tcPr>
            <w:tcW w:w="740" w:type="dxa"/>
            <w:vAlign w:val="bottom"/>
          </w:tcPr>
          <w:p>
            <w:pPr>
              <w:jc w:val="right"/>
              <w:spacing w:after="0"/>
              <w:rPr>
                <w:sz w:val="20"/>
                <w:szCs w:val="20"/>
                <w:color w:val="auto"/>
              </w:rPr>
            </w:pPr>
            <w:r>
              <w:rPr>
                <w:rFonts w:ascii="Arial" w:cs="Arial" w:eastAsia="Arial" w:hAnsi="Arial"/>
                <w:sz w:val="13"/>
                <w:szCs w:val="13"/>
                <w:color w:val="auto"/>
              </w:rPr>
              <w:t>916</w:t>
            </w: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1,607,618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80" w:type="dxa"/>
            <w:vAlign w:val="bottom"/>
            <w:gridSpan w:val="8"/>
            <w:shd w:val="clear" w:color="auto" w:fill="CCEEFF"/>
          </w:tcPr>
          <w:p>
            <w:pPr>
              <w:spacing w:after="0"/>
              <w:rPr>
                <w:sz w:val="20"/>
                <w:szCs w:val="20"/>
                <w:color w:val="auto"/>
              </w:rPr>
            </w:pPr>
            <w:r>
              <w:rPr>
                <w:rFonts w:ascii="Arial" w:cs="Arial" w:eastAsia="Arial" w:hAnsi="Arial"/>
                <w:sz w:val="13"/>
                <w:szCs w:val="13"/>
                <w:b w:val="1"/>
                <w:bCs w:val="1"/>
                <w:color w:val="auto"/>
              </w:rPr>
              <w:t>Total Common Equity / Partnership Interests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648,092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8,448,272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13,704,085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100" w:type="dxa"/>
            <w:vAlign w:val="bottom"/>
            <w:gridSpan w:val="2"/>
            <w:vMerge w:val="restart"/>
          </w:tcPr>
          <w:p>
            <w:pPr>
              <w:spacing w:after="0" w:line="142" w:lineRule="exact"/>
              <w:rPr>
                <w:sz w:val="20"/>
                <w:szCs w:val="20"/>
                <w:color w:val="auto"/>
              </w:rPr>
            </w:pPr>
            <w:r>
              <w:rPr>
                <w:rFonts w:ascii="Arial" w:cs="Arial" w:eastAsia="Arial" w:hAnsi="Arial"/>
                <w:sz w:val="13"/>
                <w:szCs w:val="13"/>
                <w:b w:val="1"/>
                <w:bCs w:val="1"/>
                <w:color w:val="auto"/>
              </w:rPr>
              <w:t>Equity - Warrants</w:t>
            </w:r>
          </w:p>
        </w:tc>
        <w:tc>
          <w:tcPr>
            <w:tcW w:w="140" w:type="dxa"/>
            <w:vAlign w:val="bottom"/>
            <w:tcBorders>
              <w:bottom w:val="single" w:sz="8" w:color="auto"/>
            </w:tcBorders>
          </w:tcPr>
          <w:p>
            <w:pPr>
              <w:jc w:val="right"/>
              <w:spacing w:after="0" w:line="82" w:lineRule="exact"/>
              <w:rPr>
                <w:sz w:val="20"/>
                <w:szCs w:val="20"/>
                <w:color w:val="auto"/>
              </w:rPr>
            </w:pPr>
            <w:r>
              <w:rPr>
                <w:rFonts w:ascii="Arial" w:cs="Arial" w:eastAsia="Arial" w:hAnsi="Arial"/>
                <w:sz w:val="9"/>
                <w:szCs w:val="9"/>
                <w:b w:val="1"/>
                <w:bCs w:val="1"/>
                <w:color w:val="auto"/>
              </w:rPr>
              <w:t>(7)</w:t>
            </w:r>
          </w:p>
        </w:tc>
        <w:tc>
          <w:tcPr>
            <w:tcW w:w="380" w:type="dxa"/>
            <w:vAlign w:val="bottom"/>
            <w:vMerge w:val="restart"/>
          </w:tcPr>
          <w:p>
            <w:pPr>
              <w:jc w:val="right"/>
              <w:spacing w:after="0" w:line="142" w:lineRule="exact"/>
              <w:rPr>
                <w:sz w:val="20"/>
                <w:szCs w:val="20"/>
                <w:color w:val="auto"/>
              </w:rPr>
            </w:pPr>
            <w:r>
              <w:rPr>
                <w:rFonts w:ascii="Arial" w:cs="Arial" w:eastAsia="Arial" w:hAnsi="Arial"/>
                <w:sz w:val="13"/>
                <w:szCs w:val="13"/>
                <w:b w:val="1"/>
                <w:bCs w:val="1"/>
                <w:color w:val="auto"/>
                <w:w w:val="95"/>
              </w:rPr>
              <w:t>- 0.0%</w:t>
            </w:r>
          </w:p>
        </w:tc>
        <w:tc>
          <w:tcPr>
            <w:tcW w:w="2260" w:type="dxa"/>
            <w:vAlign w:val="bottom"/>
            <w:gridSpan w:val="4"/>
            <w:vMerge w:val="restart"/>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vMerge w:val="continue"/>
          </w:tcPr>
          <w:p>
            <w:pPr>
              <w:spacing w:after="0" w:line="20" w:lineRule="exact"/>
              <w:rPr>
                <w:sz w:val="1"/>
                <w:szCs w:val="1"/>
                <w:color w:val="auto"/>
              </w:rPr>
            </w:pPr>
          </w:p>
        </w:tc>
        <w:tc>
          <w:tcPr>
            <w:tcW w:w="2260" w:type="dxa"/>
            <w:vAlign w:val="bottom"/>
            <w:gridSpan w:val="4"/>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880" w:type="dxa"/>
            <w:vAlign w:val="bottom"/>
            <w:gridSpan w:val="8"/>
            <w:shd w:val="clear" w:color="auto" w:fill="CCEEFF"/>
          </w:tcPr>
          <w:p>
            <w:pPr>
              <w:spacing w:after="0" w:line="142" w:lineRule="exact"/>
              <w:rPr>
                <w:sz w:val="20"/>
                <w:szCs w:val="20"/>
                <w:color w:val="auto"/>
              </w:rPr>
            </w:pPr>
            <w:r>
              <w:rPr>
                <w:rFonts w:ascii="Arial" w:cs="Arial" w:eastAsia="Arial" w:hAnsi="Arial"/>
                <w:sz w:val="13"/>
                <w:szCs w:val="13"/>
                <w:color w:val="auto"/>
              </w:rPr>
              <w:t>VSS-AHC HOLDINGS, LLC (expires 11/6/18)</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rPr>
              <w:t>OTHER MEDIA</w:t>
            </w:r>
          </w:p>
        </w:tc>
        <w:tc>
          <w:tcPr>
            <w:tcW w:w="82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20.00%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85</w:t>
            </w:r>
          </w:p>
        </w:tc>
        <w:tc>
          <w:tcPr>
            <w:tcW w:w="8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80" w:type="dxa"/>
            <w:vAlign w:val="bottom"/>
            <w:gridSpan w:val="8"/>
          </w:tcPr>
          <w:p>
            <w:pPr>
              <w:spacing w:after="0"/>
              <w:rPr>
                <w:sz w:val="20"/>
                <w:szCs w:val="20"/>
                <w:color w:val="auto"/>
              </w:rPr>
            </w:pPr>
            <w:r>
              <w:rPr>
                <w:rFonts w:ascii="Arial" w:cs="Arial" w:eastAsia="Arial" w:hAnsi="Arial"/>
                <w:sz w:val="13"/>
                <w:szCs w:val="13"/>
                <w:color w:val="auto"/>
              </w:rPr>
              <w:t>(Advanstar, Inc.)</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Par</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880" w:type="dxa"/>
            <w:vAlign w:val="bottom"/>
            <w:tcBorders>
              <w:bottom w:val="single" w:sz="8" w:color="auto"/>
            </w:tcBorders>
            <w:gridSpan w:val="5"/>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5"/>
              </w:rPr>
              <w:t>First Lien Secured Debt - 40.0%</w:t>
            </w:r>
          </w:p>
        </w:tc>
        <w:tc>
          <w:tcPr>
            <w:tcW w:w="2000" w:type="dxa"/>
            <w:vAlign w:val="bottom"/>
            <w:tcBorders>
              <w:bottom w:val="single" w:sz="8" w:color="CCEEFF"/>
            </w:tcBorders>
            <w:gridSpan w:val="3"/>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5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80" w:type="dxa"/>
            <w:vAlign w:val="bottom"/>
            <w:gridSpan w:val="8"/>
          </w:tcPr>
          <w:p>
            <w:pPr>
              <w:spacing w:after="0" w:line="142" w:lineRule="exact"/>
              <w:rPr>
                <w:sz w:val="20"/>
                <w:szCs w:val="20"/>
                <w:color w:val="auto"/>
              </w:rPr>
            </w:pPr>
            <w:r>
              <w:rPr>
                <w:rFonts w:ascii="Arial" w:cs="Arial" w:eastAsia="Arial" w:hAnsi="Arial"/>
                <w:sz w:val="13"/>
                <w:szCs w:val="13"/>
                <w:color w:val="auto"/>
              </w:rPr>
              <w:t>1-800 Contacts, Inc.</w:t>
            </w:r>
          </w:p>
        </w:tc>
        <w:tc>
          <w:tcPr>
            <w:tcW w:w="620" w:type="dxa"/>
            <w:vAlign w:val="bottom"/>
          </w:tcPr>
          <w:p>
            <w:pPr>
              <w:jc w:val="center"/>
              <w:spacing w:after="0" w:line="142" w:lineRule="exact"/>
              <w:rPr>
                <w:sz w:val="20"/>
                <w:szCs w:val="20"/>
                <w:color w:val="auto"/>
              </w:rPr>
            </w:pPr>
            <w:r>
              <w:rPr>
                <w:rFonts w:ascii="Arial" w:cs="Arial" w:eastAsia="Arial" w:hAnsi="Arial"/>
                <w:sz w:val="13"/>
                <w:szCs w:val="13"/>
                <w:color w:val="auto"/>
                <w:w w:val="94"/>
              </w:rPr>
              <w:t>3/4/2015</w:t>
            </w:r>
          </w:p>
        </w:tc>
        <w:tc>
          <w:tcPr>
            <w:tcW w:w="20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3"/>
                <w:szCs w:val="13"/>
                <w:color w:val="auto"/>
              </w:rPr>
              <w:t>DISTRIBUTION</w:t>
            </w:r>
          </w:p>
        </w:tc>
        <w:tc>
          <w:tcPr>
            <w:tcW w:w="8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7.70%</w:t>
            </w:r>
          </w:p>
        </w:tc>
        <w:tc>
          <w:tcPr>
            <w:tcW w:w="400" w:type="dxa"/>
            <w:vAlign w:val="bottom"/>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0"/>
                <w:szCs w:val="10"/>
                <w:color w:val="auto"/>
              </w:rPr>
              <w:t>P+295</w:t>
            </w:r>
            <w:r>
              <w:rPr>
                <w:rFonts w:ascii="Arial" w:cs="Arial" w:eastAsia="Arial" w:hAnsi="Arial"/>
                <w:sz w:val="16"/>
                <w:szCs w:val="16"/>
                <w:color w:val="auto"/>
                <w:vertAlign w:val="superscript"/>
              </w:rPr>
              <w:t>(8)</w:t>
            </w:r>
          </w:p>
        </w:tc>
        <w:tc>
          <w:tcPr>
            <w:tcW w:w="1080" w:type="dxa"/>
            <w:vAlign w:val="bottom"/>
            <w:gridSpan w:val="3"/>
          </w:tcPr>
          <w:p>
            <w:pPr>
              <w:jc w:val="right"/>
              <w:ind w:right="220"/>
              <w:spacing w:after="0" w:line="142" w:lineRule="exact"/>
              <w:rPr>
                <w:sz w:val="20"/>
                <w:szCs w:val="20"/>
                <w:color w:val="auto"/>
              </w:rPr>
            </w:pPr>
            <w:r>
              <w:rPr>
                <w:rFonts w:ascii="Arial" w:cs="Arial" w:eastAsia="Arial" w:hAnsi="Arial"/>
                <w:sz w:val="13"/>
                <w:szCs w:val="13"/>
                <w:color w:val="auto"/>
              </w:rPr>
              <w:t>$ 13,964,912</w:t>
            </w:r>
          </w:p>
        </w:tc>
        <w:tc>
          <w:tcPr>
            <w:tcW w:w="8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11,852,349</w:t>
            </w:r>
          </w:p>
        </w:tc>
        <w:tc>
          <w:tcPr>
            <w:tcW w:w="9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13,154,947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8"/>
            <w:shd w:val="clear" w:color="auto" w:fill="CCEEFF"/>
          </w:tcPr>
          <w:p>
            <w:pPr>
              <w:spacing w:after="0"/>
              <w:rPr>
                <w:sz w:val="20"/>
                <w:szCs w:val="20"/>
                <w:color w:val="auto"/>
              </w:rPr>
            </w:pPr>
            <w:r>
              <w:rPr>
                <w:rFonts w:ascii="Arial" w:cs="Arial" w:eastAsia="Arial" w:hAnsi="Arial"/>
                <w:sz w:val="13"/>
                <w:szCs w:val="13"/>
                <w:color w:val="auto"/>
              </w:rPr>
              <w:t>Burlington Coat Factory Warehouse Corp.</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5/28/2013</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RETAIL STORE</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2.56%</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L+225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7,877,863</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7,871,705</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6,125,038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gridSpan w:val="8"/>
          </w:tcPr>
          <w:p>
            <w:pPr>
              <w:spacing w:after="0" w:line="138" w:lineRule="exact"/>
              <w:rPr>
                <w:sz w:val="20"/>
                <w:szCs w:val="20"/>
                <w:color w:val="auto"/>
              </w:rPr>
            </w:pPr>
            <w:r>
              <w:rPr>
                <w:rFonts w:ascii="Arial" w:cs="Arial" w:eastAsia="Arial" w:hAnsi="Arial"/>
                <w:sz w:val="13"/>
                <w:szCs w:val="13"/>
                <w:color w:val="auto"/>
              </w:rPr>
              <w:t>EnviroSolutions, Inc.</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3"/>
                <w:szCs w:val="13"/>
                <w:color w:val="auto"/>
              </w:rPr>
              <w:t>ENVIRONMENTAL</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vMerge w:val="restart"/>
          </w:tcPr>
          <w:p>
            <w:pPr>
              <w:jc w:val="right"/>
              <w:ind w:right="184"/>
              <w:spacing w:after="0"/>
              <w:rPr>
                <w:sz w:val="20"/>
                <w:szCs w:val="20"/>
                <w:color w:val="auto"/>
              </w:rPr>
            </w:pPr>
            <w:r>
              <w:rPr>
                <w:rFonts w:ascii="Arial" w:cs="Arial" w:eastAsia="Arial" w:hAnsi="Arial"/>
                <w:sz w:val="11"/>
                <w:szCs w:val="11"/>
                <w:color w:val="auto"/>
              </w:rPr>
              <w:t>(6)</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3"/>
                <w:szCs w:val="13"/>
                <w:color w:val="auto"/>
                <w:w w:val="89"/>
              </w:rPr>
              <w:t xml:space="preserve">L+775 </w:t>
            </w:r>
            <w:r>
              <w:rPr>
                <w:rFonts w:ascii="Arial" w:cs="Arial" w:eastAsia="Arial" w:hAnsi="Arial"/>
                <w:sz w:val="22"/>
                <w:szCs w:val="22"/>
                <w:color w:val="auto"/>
                <w:w w:val="89"/>
                <w:vertAlign w:val="superscript"/>
              </w:rPr>
              <w:t>(8)</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7/7/2012</w:t>
            </w:r>
          </w:p>
        </w:tc>
        <w:tc>
          <w:tcPr>
            <w:tcW w:w="2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4"/>
              </w:rPr>
              <w:t>SERVICES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11.00%</w:t>
            </w:r>
          </w:p>
        </w:tc>
        <w:tc>
          <w:tcPr>
            <w:tcW w:w="4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14,122,062</w:t>
            </w:r>
          </w:p>
        </w:tc>
        <w:tc>
          <w:tcPr>
            <w:tcW w:w="740" w:type="dxa"/>
            <w:vAlign w:val="bottom"/>
          </w:tcPr>
          <w:p>
            <w:pPr>
              <w:jc w:val="right"/>
              <w:spacing w:after="0"/>
              <w:rPr>
                <w:sz w:val="20"/>
                <w:szCs w:val="20"/>
                <w:color w:val="auto"/>
              </w:rPr>
            </w:pPr>
            <w:r>
              <w:rPr>
                <w:rFonts w:ascii="Arial" w:cs="Arial" w:eastAsia="Arial" w:hAnsi="Arial"/>
                <w:sz w:val="13"/>
                <w:szCs w:val="13"/>
                <w:color w:val="auto"/>
              </w:rPr>
              <w:t>13,281,220</w:t>
            </w:r>
          </w:p>
        </w:tc>
        <w:tc>
          <w:tcPr>
            <w:tcW w:w="120" w:type="dxa"/>
            <w:vAlign w:val="bottom"/>
          </w:tcPr>
          <w:p>
            <w:pPr>
              <w:spacing w:after="0"/>
              <w:rPr>
                <w:sz w:val="13"/>
                <w:szCs w:val="13"/>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14,122,062</w:t>
            </w:r>
          </w:p>
        </w:tc>
        <w:tc>
          <w:tcPr>
            <w:tcW w:w="0" w:type="dxa"/>
            <w:vAlign w:val="bottom"/>
          </w:tcPr>
          <w:p>
            <w:pPr>
              <w:spacing w:after="0"/>
              <w:rPr>
                <w:sz w:val="1"/>
                <w:szCs w:val="1"/>
                <w:color w:val="auto"/>
              </w:rPr>
            </w:pPr>
          </w:p>
        </w:tc>
      </w:tr>
      <w:tr>
        <w:trPr>
          <w:trHeight w:val="148"/>
        </w:trPr>
        <w:tc>
          <w:tcPr>
            <w:tcW w:w="3880" w:type="dxa"/>
            <w:vAlign w:val="bottom"/>
            <w:gridSpan w:val="8"/>
            <w:shd w:val="clear" w:color="auto" w:fill="CCEEFF"/>
          </w:tcPr>
          <w:p>
            <w:pPr>
              <w:spacing w:after="0"/>
              <w:rPr>
                <w:sz w:val="20"/>
                <w:szCs w:val="20"/>
                <w:color w:val="auto"/>
              </w:rPr>
            </w:pPr>
            <w:r>
              <w:rPr>
                <w:rFonts w:ascii="Arial" w:cs="Arial" w:eastAsia="Arial" w:hAnsi="Arial"/>
                <w:sz w:val="13"/>
                <w:szCs w:val="13"/>
                <w:color w:val="auto"/>
              </w:rPr>
              <w:t>Hanley-Wood,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3/8/2014</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OTHER MEDIA</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2.57%</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8"/>
              </w:rPr>
              <w:t>L+225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8,865,000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8,865,000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6,232,096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8"/>
          </w:tcPr>
          <w:p>
            <w:pPr>
              <w:spacing w:after="0"/>
              <w:rPr>
                <w:sz w:val="20"/>
                <w:szCs w:val="20"/>
                <w:color w:val="auto"/>
              </w:rPr>
            </w:pPr>
            <w:r>
              <w:rPr>
                <w:rFonts w:ascii="Arial" w:cs="Arial" w:eastAsia="Arial" w:hAnsi="Arial"/>
                <w:sz w:val="13"/>
                <w:szCs w:val="13"/>
                <w:color w:val="auto"/>
              </w:rPr>
              <w:t>Hughes Network Systems,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4/15/2014</w:t>
            </w:r>
          </w:p>
        </w:tc>
        <w:tc>
          <w:tcPr>
            <w:tcW w:w="2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TELECOMMUNICATIONS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3.19%</w:t>
            </w:r>
          </w:p>
        </w:tc>
        <w:tc>
          <w:tcPr>
            <w:tcW w:w="40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L+250</w:t>
            </w: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5,000,000</w:t>
            </w:r>
          </w:p>
        </w:tc>
        <w:tc>
          <w:tcPr>
            <w:tcW w:w="740" w:type="dxa"/>
            <w:vAlign w:val="bottom"/>
          </w:tcPr>
          <w:p>
            <w:pPr>
              <w:jc w:val="right"/>
              <w:spacing w:after="0"/>
              <w:rPr>
                <w:sz w:val="20"/>
                <w:szCs w:val="20"/>
                <w:color w:val="auto"/>
              </w:rPr>
            </w:pPr>
            <w:r>
              <w:rPr>
                <w:rFonts w:ascii="Arial" w:cs="Arial" w:eastAsia="Arial" w:hAnsi="Arial"/>
                <w:sz w:val="13"/>
                <w:szCs w:val="13"/>
                <w:color w:val="auto"/>
              </w:rPr>
              <w:t>5,000,000</w:t>
            </w: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4,462,500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gridSpan w:val="8"/>
            <w:shd w:val="clear" w:color="auto" w:fill="CCEEFF"/>
          </w:tcPr>
          <w:p>
            <w:pPr>
              <w:spacing w:after="0" w:line="138" w:lineRule="exact"/>
              <w:rPr>
                <w:sz w:val="20"/>
                <w:szCs w:val="20"/>
                <w:color w:val="auto"/>
              </w:rPr>
            </w:pPr>
            <w:r>
              <w:rPr>
                <w:rFonts w:ascii="Arial" w:cs="Arial" w:eastAsia="Arial" w:hAnsi="Arial"/>
                <w:sz w:val="13"/>
                <w:szCs w:val="13"/>
                <w:color w:val="auto"/>
              </w:rPr>
              <w:t>Jacuzzi Brands Corp.</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rPr>
              <w:t>HOME &amp; OFFICE</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FURNISHINGS,</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HOUSEWARES, &amp;</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DURABLE CONSUMER</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2/7/2014</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PRODUCTS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2.58%</w:t>
            </w:r>
          </w:p>
        </w:tc>
        <w:tc>
          <w:tcPr>
            <w:tcW w:w="4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8"/>
              </w:rPr>
              <w:t>L+225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9,835,811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9,835,811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4,081,861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gridSpan w:val="8"/>
          </w:tcPr>
          <w:p>
            <w:pPr>
              <w:spacing w:after="0"/>
              <w:rPr>
                <w:sz w:val="20"/>
                <w:szCs w:val="20"/>
                <w:color w:val="auto"/>
              </w:rPr>
            </w:pPr>
            <w:r>
              <w:rPr>
                <w:rFonts w:ascii="Arial" w:cs="Arial" w:eastAsia="Arial" w:hAnsi="Arial"/>
                <w:sz w:val="13"/>
                <w:szCs w:val="13"/>
                <w:color w:val="auto"/>
              </w:rPr>
              <w:t>Levlad, L.L.C.</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3/8/2014</w:t>
            </w:r>
          </w:p>
        </w:tc>
        <w:tc>
          <w:tcPr>
            <w:tcW w:w="2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7"/>
              </w:rPr>
              <w:t>CONSUMER PRODUCTS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7.75%</w:t>
            </w:r>
          </w:p>
        </w:tc>
        <w:tc>
          <w:tcPr>
            <w:tcW w:w="40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L+475</w:t>
            </w: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4,446,133</w:t>
            </w:r>
          </w:p>
        </w:tc>
        <w:tc>
          <w:tcPr>
            <w:tcW w:w="740" w:type="dxa"/>
            <w:vAlign w:val="bottom"/>
          </w:tcPr>
          <w:p>
            <w:pPr>
              <w:jc w:val="right"/>
              <w:spacing w:after="0"/>
              <w:rPr>
                <w:sz w:val="20"/>
                <w:szCs w:val="20"/>
                <w:color w:val="auto"/>
              </w:rPr>
            </w:pPr>
            <w:r>
              <w:rPr>
                <w:rFonts w:ascii="Arial" w:cs="Arial" w:eastAsia="Arial" w:hAnsi="Arial"/>
                <w:sz w:val="13"/>
                <w:szCs w:val="13"/>
                <w:color w:val="auto"/>
              </w:rPr>
              <w:t>4,446,133</w:t>
            </w: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2,769,937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gridSpan w:val="8"/>
            <w:shd w:val="clear" w:color="auto" w:fill="CCEEFF"/>
          </w:tcPr>
          <w:p>
            <w:pPr>
              <w:spacing w:after="0" w:line="138" w:lineRule="exact"/>
              <w:rPr>
                <w:sz w:val="20"/>
                <w:szCs w:val="20"/>
                <w:color w:val="auto"/>
              </w:rPr>
            </w:pPr>
            <w:r>
              <w:rPr>
                <w:rFonts w:ascii="Arial" w:cs="Arial" w:eastAsia="Arial" w:hAnsi="Arial"/>
                <w:sz w:val="13"/>
                <w:szCs w:val="13"/>
                <w:color w:val="auto"/>
              </w:rPr>
              <w:t>Lyondell Chemical Co.</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rPr>
              <w:t>CHEMICALS, PLASTICS</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3"/>
                <w:szCs w:val="13"/>
                <w:color w:val="auto"/>
                <w:w w:val="91"/>
              </w:rPr>
              <w:t>L+1,000</w:t>
            </w:r>
            <w:r>
              <w:rPr>
                <w:rFonts w:ascii="Arial" w:cs="Arial" w:eastAsia="Arial" w:hAnsi="Arial"/>
                <w:sz w:val="22"/>
                <w:szCs w:val="22"/>
                <w:color w:val="auto"/>
                <w:w w:val="91"/>
                <w:vertAlign w:val="superscript"/>
              </w:rPr>
              <w:t>(8)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12/15/2009</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&amp; RUBBER</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13.00%</w:t>
            </w:r>
          </w:p>
        </w:tc>
        <w:tc>
          <w:tcPr>
            <w:tcW w:w="40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12,668,615</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12,862,512</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13,037,589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80" w:type="dxa"/>
            <w:vAlign w:val="bottom"/>
            <w:gridSpan w:val="8"/>
          </w:tcPr>
          <w:p>
            <w:pPr>
              <w:spacing w:after="0" w:line="138" w:lineRule="exact"/>
              <w:rPr>
                <w:sz w:val="20"/>
                <w:szCs w:val="20"/>
                <w:color w:val="auto"/>
              </w:rPr>
            </w:pPr>
            <w:r>
              <w:rPr>
                <w:rFonts w:ascii="Arial" w:cs="Arial" w:eastAsia="Arial" w:hAnsi="Arial"/>
                <w:sz w:val="10"/>
                <w:szCs w:val="10"/>
                <w:color w:val="auto"/>
              </w:rPr>
              <w:t xml:space="preserve">Lyondell Chemical Co. </w:t>
            </w:r>
            <w:r>
              <w:rPr>
                <w:rFonts w:ascii="Arial" w:cs="Arial" w:eastAsia="Arial" w:hAnsi="Arial"/>
                <w:sz w:val="15"/>
                <w:szCs w:val="15"/>
                <w:color w:val="auto"/>
                <w:vertAlign w:val="superscript"/>
              </w:rPr>
              <w:t>(9)</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3"/>
                <w:szCs w:val="13"/>
                <w:color w:val="auto"/>
              </w:rPr>
              <w:t>CHEMICALS, PLASTICS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12/15/2009</w:t>
            </w:r>
          </w:p>
        </w:tc>
        <w:tc>
          <w:tcPr>
            <w:tcW w:w="2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&amp; RUBBER</w:t>
            </w:r>
          </w:p>
        </w:tc>
        <w:tc>
          <w:tcPr>
            <w:tcW w:w="22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6,331,385</w:t>
            </w:r>
          </w:p>
        </w:tc>
        <w:tc>
          <w:tcPr>
            <w:tcW w:w="740" w:type="dxa"/>
            <w:vAlign w:val="bottom"/>
          </w:tcPr>
          <w:p>
            <w:pPr>
              <w:jc w:val="right"/>
              <w:spacing w:after="0"/>
              <w:rPr>
                <w:sz w:val="20"/>
                <w:szCs w:val="20"/>
                <w:color w:val="auto"/>
              </w:rPr>
            </w:pPr>
            <w:r>
              <w:rPr>
                <w:rFonts w:ascii="Arial" w:cs="Arial" w:eastAsia="Arial" w:hAnsi="Arial"/>
                <w:sz w:val="13"/>
                <w:szCs w:val="13"/>
                <w:color w:val="auto"/>
              </w:rPr>
              <w:t>6,382,317</w:t>
            </w:r>
          </w:p>
        </w:tc>
        <w:tc>
          <w:tcPr>
            <w:tcW w:w="120" w:type="dxa"/>
            <w:vAlign w:val="bottom"/>
          </w:tcPr>
          <w:p>
            <w:pPr>
              <w:spacing w:after="0"/>
              <w:rPr>
                <w:sz w:val="13"/>
                <w:szCs w:val="13"/>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6,515,786</w:t>
            </w:r>
          </w:p>
        </w:tc>
        <w:tc>
          <w:tcPr>
            <w:tcW w:w="0" w:type="dxa"/>
            <w:vAlign w:val="bottom"/>
          </w:tcPr>
          <w:p>
            <w:pPr>
              <w:spacing w:after="0"/>
              <w:rPr>
                <w:sz w:val="1"/>
                <w:szCs w:val="1"/>
                <w:color w:val="auto"/>
              </w:rPr>
            </w:pPr>
          </w:p>
        </w:tc>
      </w:tr>
      <w:tr>
        <w:trPr>
          <w:trHeight w:val="138"/>
        </w:trPr>
        <w:tc>
          <w:tcPr>
            <w:tcW w:w="3880" w:type="dxa"/>
            <w:vAlign w:val="bottom"/>
            <w:gridSpan w:val="8"/>
            <w:shd w:val="clear" w:color="auto" w:fill="CCEEFF"/>
          </w:tcPr>
          <w:p>
            <w:pPr>
              <w:spacing w:after="0" w:line="138" w:lineRule="exact"/>
              <w:rPr>
                <w:sz w:val="20"/>
                <w:szCs w:val="20"/>
                <w:color w:val="auto"/>
              </w:rPr>
            </w:pPr>
            <w:r>
              <w:rPr>
                <w:rFonts w:ascii="Arial" w:cs="Arial" w:eastAsia="Arial" w:hAnsi="Arial"/>
                <w:sz w:val="13"/>
                <w:szCs w:val="13"/>
                <w:color w:val="auto"/>
              </w:rPr>
              <w:t>Mattress Holding Corp.</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rPr>
              <w:t>HOME &amp; OFFICE</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FURNISHINGS,</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HOUSEWARES, &amp;</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DURABLE CONSUMER</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1/18/2014</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PRODUCTS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2.56%</w:t>
            </w:r>
          </w:p>
        </w:tc>
        <w:tc>
          <w:tcPr>
            <w:tcW w:w="4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8"/>
              </w:rPr>
              <w:t>L+225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3,920,175</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3,920,175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2,944,051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gridSpan w:val="8"/>
          </w:tcPr>
          <w:p>
            <w:pPr>
              <w:spacing w:after="0"/>
              <w:rPr>
                <w:sz w:val="20"/>
                <w:szCs w:val="20"/>
                <w:color w:val="auto"/>
              </w:rPr>
            </w:pPr>
            <w:r>
              <w:rPr>
                <w:rFonts w:ascii="Arial" w:cs="Arial" w:eastAsia="Arial" w:hAnsi="Arial"/>
                <w:sz w:val="13"/>
                <w:szCs w:val="13"/>
                <w:color w:val="auto"/>
              </w:rPr>
              <w:t>Mitchell International, Inc.</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3/28/2014</w:t>
            </w:r>
          </w:p>
        </w:tc>
        <w:tc>
          <w:tcPr>
            <w:tcW w:w="2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6"/>
              </w:rPr>
              <w:t>BUSINESS SERVICES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2.63%</w:t>
            </w:r>
          </w:p>
        </w:tc>
        <w:tc>
          <w:tcPr>
            <w:tcW w:w="40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L+200</w:t>
            </w: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1,915,102</w:t>
            </w:r>
          </w:p>
        </w:tc>
        <w:tc>
          <w:tcPr>
            <w:tcW w:w="740" w:type="dxa"/>
            <w:vAlign w:val="bottom"/>
          </w:tcPr>
          <w:p>
            <w:pPr>
              <w:jc w:val="right"/>
              <w:spacing w:after="0"/>
              <w:rPr>
                <w:sz w:val="20"/>
                <w:szCs w:val="20"/>
                <w:color w:val="auto"/>
              </w:rPr>
            </w:pPr>
            <w:r>
              <w:rPr>
                <w:rFonts w:ascii="Arial" w:cs="Arial" w:eastAsia="Arial" w:hAnsi="Arial"/>
                <w:sz w:val="13"/>
                <w:szCs w:val="13"/>
                <w:color w:val="auto"/>
              </w:rPr>
              <w:t>1,915,102</w:t>
            </w: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1,599,110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gridSpan w:val="8"/>
            <w:shd w:val="clear" w:color="auto" w:fill="CCEEFF"/>
          </w:tcPr>
          <w:p>
            <w:pPr>
              <w:spacing w:after="0" w:line="138" w:lineRule="exact"/>
              <w:rPr>
                <w:sz w:val="20"/>
                <w:szCs w:val="20"/>
                <w:color w:val="auto"/>
              </w:rPr>
            </w:pPr>
            <w:r>
              <w:rPr>
                <w:rFonts w:ascii="Arial" w:cs="Arial" w:eastAsia="Arial" w:hAnsi="Arial"/>
                <w:sz w:val="13"/>
                <w:szCs w:val="13"/>
                <w:color w:val="auto"/>
              </w:rPr>
              <w:t>National Bedding Co., L.L.C.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rPr>
              <w:t>HOME &amp; OFFICE</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FURNISHINGS,</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HOUSEWARES, &amp;</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DURABLE CONSUMER</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2/28/2013</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PRODUCTS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2.38%</w:t>
            </w:r>
          </w:p>
        </w:tc>
        <w:tc>
          <w:tcPr>
            <w:tcW w:w="4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8"/>
              </w:rPr>
              <w:t>L+200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6,842,500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6,847,056</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5,838,931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gridSpan w:val="8"/>
          </w:tcPr>
          <w:p>
            <w:pPr>
              <w:spacing w:after="0"/>
              <w:rPr>
                <w:sz w:val="20"/>
                <w:szCs w:val="20"/>
                <w:color w:val="auto"/>
              </w:rPr>
            </w:pPr>
            <w:r>
              <w:rPr>
                <w:rFonts w:ascii="Arial" w:cs="Arial" w:eastAsia="Arial" w:hAnsi="Arial"/>
                <w:sz w:val="13"/>
                <w:szCs w:val="13"/>
                <w:color w:val="auto"/>
              </w:rPr>
              <w:t>Penton Media, Inc.</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2/1/2013</w:t>
            </w:r>
          </w:p>
        </w:tc>
        <w:tc>
          <w:tcPr>
            <w:tcW w:w="2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OTHER MEDIA</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3.22%</w:t>
            </w:r>
          </w:p>
        </w:tc>
        <w:tc>
          <w:tcPr>
            <w:tcW w:w="40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L+225</w:t>
            </w: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4,887,500</w:t>
            </w:r>
          </w:p>
        </w:tc>
        <w:tc>
          <w:tcPr>
            <w:tcW w:w="740" w:type="dxa"/>
            <w:vAlign w:val="bottom"/>
          </w:tcPr>
          <w:p>
            <w:pPr>
              <w:jc w:val="right"/>
              <w:spacing w:after="0"/>
              <w:rPr>
                <w:sz w:val="20"/>
                <w:szCs w:val="20"/>
                <w:color w:val="auto"/>
              </w:rPr>
            </w:pPr>
            <w:r>
              <w:rPr>
                <w:rFonts w:ascii="Arial" w:cs="Arial" w:eastAsia="Arial" w:hAnsi="Arial"/>
                <w:sz w:val="13"/>
                <w:szCs w:val="13"/>
                <w:color w:val="auto"/>
              </w:rPr>
              <w:t>4,887,500</w:t>
            </w: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3,597,200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8"/>
            <w:shd w:val="clear" w:color="auto" w:fill="CCEEFF"/>
          </w:tcPr>
          <w:p>
            <w:pPr>
              <w:spacing w:after="0"/>
              <w:rPr>
                <w:sz w:val="20"/>
                <w:szCs w:val="20"/>
                <w:color w:val="auto"/>
              </w:rPr>
            </w:pPr>
            <w:r>
              <w:rPr>
                <w:rFonts w:ascii="Arial" w:cs="Arial" w:eastAsia="Arial" w:hAnsi="Arial"/>
                <w:sz w:val="13"/>
                <w:szCs w:val="13"/>
                <w:color w:val="auto"/>
              </w:rPr>
              <w:t>Philosophy,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3/16/2014</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CONSUMER PRODUCTS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2.31%</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8"/>
              </w:rPr>
              <w:t>L+200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1,426,506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1,426,506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1,154,043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8"/>
          </w:tcPr>
          <w:p>
            <w:pPr>
              <w:spacing w:after="0"/>
              <w:rPr>
                <w:sz w:val="20"/>
                <w:szCs w:val="20"/>
                <w:color w:val="auto"/>
              </w:rPr>
            </w:pPr>
            <w:r>
              <w:rPr>
                <w:rFonts w:ascii="Arial" w:cs="Arial" w:eastAsia="Arial" w:hAnsi="Arial"/>
                <w:sz w:val="13"/>
                <w:szCs w:val="13"/>
                <w:color w:val="auto"/>
              </w:rPr>
              <w:t>Quebecor World, Inc.</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7/21/2012</w:t>
            </w:r>
          </w:p>
        </w:tc>
        <w:tc>
          <w:tcPr>
            <w:tcW w:w="2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PRINTING</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9.00%</w:t>
            </w:r>
          </w:p>
        </w:tc>
        <w:tc>
          <w:tcPr>
            <w:tcW w:w="40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L+600</w:t>
            </w: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3,500,000</w:t>
            </w:r>
          </w:p>
        </w:tc>
        <w:tc>
          <w:tcPr>
            <w:tcW w:w="740" w:type="dxa"/>
            <w:vAlign w:val="bottom"/>
          </w:tcPr>
          <w:p>
            <w:pPr>
              <w:jc w:val="right"/>
              <w:spacing w:after="0"/>
              <w:rPr>
                <w:sz w:val="20"/>
                <w:szCs w:val="20"/>
                <w:color w:val="auto"/>
              </w:rPr>
            </w:pPr>
            <w:r>
              <w:rPr>
                <w:rFonts w:ascii="Arial" w:cs="Arial" w:eastAsia="Arial" w:hAnsi="Arial"/>
                <w:sz w:val="13"/>
                <w:szCs w:val="13"/>
                <w:color w:val="auto"/>
              </w:rPr>
              <w:t>3,150,000</w:t>
            </w: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3,220,000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8"/>
            <w:shd w:val="clear" w:color="auto" w:fill="CCEEFF"/>
          </w:tcPr>
          <w:p>
            <w:pPr>
              <w:spacing w:after="0"/>
              <w:rPr>
                <w:sz w:val="20"/>
                <w:szCs w:val="20"/>
                <w:color w:val="auto"/>
              </w:rPr>
            </w:pPr>
            <w:r>
              <w:rPr>
                <w:rFonts w:ascii="Arial" w:cs="Arial" w:eastAsia="Arial" w:hAnsi="Arial"/>
                <w:sz w:val="13"/>
                <w:szCs w:val="13"/>
                <w:color w:val="auto"/>
              </w:rPr>
              <w:t>Questex Media Group,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5/4/2014</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OTHER MEDIA</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5.25%</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8"/>
              </w:rPr>
              <w:t>L+200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4,886,667</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4,886,667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3,127,467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8"/>
          </w:tcPr>
          <w:p>
            <w:pPr>
              <w:spacing w:after="0"/>
              <w:rPr>
                <w:sz w:val="20"/>
                <w:szCs w:val="20"/>
                <w:color w:val="auto"/>
              </w:rPr>
            </w:pPr>
            <w:r>
              <w:rPr>
                <w:rFonts w:ascii="Arial" w:cs="Arial" w:eastAsia="Arial" w:hAnsi="Arial"/>
                <w:sz w:val="13"/>
                <w:szCs w:val="13"/>
                <w:color w:val="auto"/>
              </w:rPr>
              <w:t>Rexair, L.L.C.</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6/30/2010</w:t>
            </w:r>
          </w:p>
        </w:tc>
        <w:tc>
          <w:tcPr>
            <w:tcW w:w="2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RETAIL</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4.85%</w:t>
            </w:r>
          </w:p>
        </w:tc>
        <w:tc>
          <w:tcPr>
            <w:tcW w:w="40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L+425</w:t>
            </w: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2,658,369</w:t>
            </w:r>
          </w:p>
        </w:tc>
        <w:tc>
          <w:tcPr>
            <w:tcW w:w="740" w:type="dxa"/>
            <w:vAlign w:val="bottom"/>
          </w:tcPr>
          <w:p>
            <w:pPr>
              <w:jc w:val="right"/>
              <w:spacing w:after="0"/>
              <w:rPr>
                <w:sz w:val="20"/>
                <w:szCs w:val="20"/>
                <w:color w:val="auto"/>
              </w:rPr>
            </w:pPr>
            <w:r>
              <w:rPr>
                <w:rFonts w:ascii="Arial" w:cs="Arial" w:eastAsia="Arial" w:hAnsi="Arial"/>
                <w:sz w:val="13"/>
                <w:szCs w:val="13"/>
                <w:color w:val="auto"/>
              </w:rPr>
              <w:t>1,991,445</w:t>
            </w: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1,993,777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gridSpan w:val="8"/>
            <w:shd w:val="clear" w:color="auto" w:fill="CCEEFF"/>
          </w:tcPr>
          <w:p>
            <w:pPr>
              <w:spacing w:after="0" w:line="138" w:lineRule="exact"/>
              <w:rPr>
                <w:sz w:val="20"/>
                <w:szCs w:val="20"/>
                <w:color w:val="auto"/>
              </w:rPr>
            </w:pPr>
            <w:r>
              <w:rPr>
                <w:rFonts w:ascii="Arial" w:cs="Arial" w:eastAsia="Arial" w:hAnsi="Arial"/>
                <w:sz w:val="13"/>
                <w:szCs w:val="13"/>
                <w:color w:val="auto"/>
              </w:rPr>
              <w:t>Rexnord, L.L.C.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rPr>
              <w:t>MANUFACTURING/</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7/19/2013</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BASIC INDUSTRY</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2.31%</w:t>
            </w:r>
          </w:p>
        </w:tc>
        <w:tc>
          <w:tcPr>
            <w:tcW w:w="4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8"/>
              </w:rPr>
              <w:t>L+200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2,895,305</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2,895,305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2,461,009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gridSpan w:val="8"/>
          </w:tcPr>
          <w:p>
            <w:pPr>
              <w:spacing w:after="0"/>
              <w:rPr>
                <w:sz w:val="20"/>
                <w:szCs w:val="20"/>
                <w:color w:val="auto"/>
              </w:rPr>
            </w:pPr>
            <w:r>
              <w:rPr>
                <w:rFonts w:ascii="Arial" w:cs="Arial" w:eastAsia="Arial" w:hAnsi="Arial"/>
                <w:sz w:val="13"/>
                <w:szCs w:val="13"/>
                <w:color w:val="auto"/>
              </w:rPr>
              <w:t>Sitel, L.L.C.</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1/30/2014</w:t>
            </w:r>
          </w:p>
        </w:tc>
        <w:tc>
          <w:tcPr>
            <w:tcW w:w="2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6"/>
              </w:rPr>
              <w:t>BUSINESS SERVICES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6.38%</w:t>
            </w:r>
          </w:p>
        </w:tc>
        <w:tc>
          <w:tcPr>
            <w:tcW w:w="40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L+550</w:t>
            </w: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2,682,328</w:t>
            </w:r>
          </w:p>
        </w:tc>
        <w:tc>
          <w:tcPr>
            <w:tcW w:w="740" w:type="dxa"/>
            <w:vAlign w:val="bottom"/>
          </w:tcPr>
          <w:p>
            <w:pPr>
              <w:jc w:val="right"/>
              <w:spacing w:after="0"/>
              <w:rPr>
                <w:sz w:val="20"/>
                <w:szCs w:val="20"/>
                <w:color w:val="auto"/>
              </w:rPr>
            </w:pPr>
            <w:r>
              <w:rPr>
                <w:rFonts w:ascii="Arial" w:cs="Arial" w:eastAsia="Arial" w:hAnsi="Arial"/>
                <w:sz w:val="13"/>
                <w:szCs w:val="13"/>
                <w:color w:val="auto"/>
              </w:rPr>
              <w:t>2,682,328</w:t>
            </w: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2,395,319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gridSpan w:val="8"/>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9"/>
              </w:rPr>
              <w:t>118,726,233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114,999,131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98,832,723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880" w:type="dxa"/>
            <w:vAlign w:val="bottom"/>
            <w:gridSpan w:val="8"/>
          </w:tcPr>
          <w:p>
            <w:pPr>
              <w:spacing w:after="0" w:line="143" w:lineRule="exact"/>
              <w:rPr>
                <w:sz w:val="20"/>
                <w:szCs w:val="20"/>
                <w:color w:val="auto"/>
              </w:rPr>
            </w:pPr>
            <w:r>
              <w:rPr>
                <w:rFonts w:ascii="Arial" w:cs="Arial" w:eastAsia="Arial" w:hAnsi="Arial"/>
                <w:sz w:val="13"/>
                <w:szCs w:val="13"/>
                <w:b w:val="1"/>
                <w:bCs w:val="1"/>
                <w:color w:val="auto"/>
              </w:rPr>
              <w:t>Investments in Non-Controlled, Non-Affiliated Portfolio</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80" w:type="dxa"/>
            <w:vAlign w:val="bottom"/>
            <w:gridSpan w:val="8"/>
          </w:tcPr>
          <w:p>
            <w:pPr>
              <w:ind w:left="220"/>
              <w:spacing w:after="0"/>
              <w:rPr>
                <w:sz w:val="20"/>
                <w:szCs w:val="20"/>
                <w:color w:val="auto"/>
              </w:rPr>
            </w:pPr>
            <w:r>
              <w:rPr>
                <w:rFonts w:ascii="Arial" w:cs="Arial" w:eastAsia="Arial" w:hAnsi="Arial"/>
                <w:sz w:val="13"/>
                <w:szCs w:val="13"/>
                <w:b w:val="1"/>
                <w:bCs w:val="1"/>
                <w:color w:val="auto"/>
              </w:rPr>
              <w:t>Companies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9"/>
              </w:rPr>
              <w:t>435,642,024</w:t>
            </w:r>
          </w:p>
        </w:tc>
        <w:tc>
          <w:tcPr>
            <w:tcW w:w="12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377,382,905</w:t>
            </w:r>
          </w:p>
        </w:tc>
        <w:tc>
          <w:tcPr>
            <w:tcW w:w="0" w:type="dxa"/>
            <w:vAlign w:val="bottom"/>
          </w:tcPr>
          <w:p>
            <w:pPr>
              <w:spacing w:after="0"/>
              <w:rPr>
                <w:sz w:val="1"/>
                <w:szCs w:val="1"/>
                <w:color w:val="auto"/>
              </w:rPr>
            </w:pPr>
          </w:p>
        </w:tc>
      </w:tr>
      <w:tr>
        <w:trPr>
          <w:trHeight w:val="122"/>
        </w:trPr>
        <w:tc>
          <w:tcPr>
            <w:tcW w:w="3880" w:type="dxa"/>
            <w:vAlign w:val="bottom"/>
            <w:gridSpan w:val="8"/>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Investments in Non-Controlled, Affiliated Portfolio Companies</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1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20"/>
                <w:szCs w:val="20"/>
                <w:b w:val="1"/>
                <w:bCs w:val="1"/>
                <w:color w:val="auto"/>
                <w:vertAlign w:val="subscript"/>
              </w:rPr>
              <w:t>- 6.4%</w:t>
            </w:r>
            <w:r>
              <w:rPr>
                <w:rFonts w:ascii="Arial" w:cs="Arial" w:eastAsia="Arial" w:hAnsi="Arial"/>
                <w:sz w:val="10"/>
                <w:szCs w:val="10"/>
                <w:b w:val="1"/>
                <w:bCs w:val="1"/>
                <w:color w:val="auto"/>
              </w:rPr>
              <w:t xml:space="preserve"> (1)(2)</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80" w:type="dxa"/>
            <w:vAlign w:val="bottom"/>
            <w:gridSpan w:val="8"/>
          </w:tcPr>
          <w:p>
            <w:pPr>
              <w:spacing w:after="0" w:line="135" w:lineRule="exact"/>
              <w:rPr>
                <w:sz w:val="20"/>
                <w:szCs w:val="20"/>
                <w:color w:val="auto"/>
              </w:rPr>
            </w:pPr>
            <w:r>
              <w:rPr>
                <w:rFonts w:ascii="Arial" w:cs="Arial" w:eastAsia="Arial" w:hAnsi="Arial"/>
                <w:sz w:val="13"/>
                <w:szCs w:val="13"/>
                <w:b w:val="1"/>
                <w:bCs w:val="1"/>
                <w:color w:val="auto"/>
              </w:rPr>
              <w:t>Subordinated Debt / Corporate Notes - 2.0%</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80" w:type="dxa"/>
            <w:vAlign w:val="bottom"/>
            <w:tcBorders>
              <w:top w:val="single" w:sz="8" w:color="auto"/>
            </w:tcBorders>
            <w:gridSpan w:val="7"/>
            <w:shd w:val="clear" w:color="auto" w:fill="CCEEFF"/>
          </w:tcPr>
          <w:p>
            <w:pPr>
              <w:spacing w:after="0" w:line="131" w:lineRule="exact"/>
              <w:rPr>
                <w:sz w:val="20"/>
                <w:szCs w:val="20"/>
                <w:color w:val="auto"/>
              </w:rPr>
            </w:pPr>
            <w:r>
              <w:rPr>
                <w:rFonts w:ascii="Arial" w:cs="Arial" w:eastAsia="Arial" w:hAnsi="Arial"/>
                <w:sz w:val="13"/>
                <w:szCs w:val="13"/>
                <w:color w:val="auto"/>
              </w:rPr>
              <w:t>Performance Holdings, Inc.</w:t>
            </w:r>
          </w:p>
        </w:tc>
        <w:tc>
          <w:tcPr>
            <w:tcW w:w="1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color w:val="auto"/>
              </w:rPr>
              <w:t>LEISURE, AMUSEMENT,</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MOTION PICTURES,</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184"/>
              <w:spacing w:after="0"/>
              <w:rPr>
                <w:sz w:val="20"/>
                <w:szCs w:val="20"/>
                <w:color w:val="auto"/>
              </w:rPr>
            </w:pPr>
            <w:r>
              <w:rPr>
                <w:rFonts w:ascii="Arial" w:cs="Arial" w:eastAsia="Arial" w:hAnsi="Arial"/>
                <w:sz w:val="11"/>
                <w:szCs w:val="11"/>
                <w:color w:val="auto"/>
              </w:rPr>
              <w:t>(6)</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7/2/2014</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ENTERTAINMENT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14.25%</w:t>
            </w:r>
          </w:p>
        </w:tc>
        <w:tc>
          <w:tcPr>
            <w:tcW w:w="400" w:type="dxa"/>
            <w:vAlign w:val="bottom"/>
            <w:vMerge w:val="continue"/>
            <w:shd w:val="clear" w:color="auto" w:fill="CCEEFF"/>
          </w:tcPr>
          <w:p>
            <w:pPr>
              <w:spacing w:after="0"/>
              <w:rPr>
                <w:sz w:val="13"/>
                <w:szCs w:val="13"/>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4,903,147</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4,700,193</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4,817,342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80" w:type="dxa"/>
            <w:vAlign w:val="bottom"/>
            <w:gridSpan w:val="8"/>
          </w:tcPr>
          <w:p>
            <w:pPr>
              <w:spacing w:after="0" w:line="142" w:lineRule="exact"/>
              <w:rPr>
                <w:sz w:val="20"/>
                <w:szCs w:val="20"/>
                <w:color w:val="auto"/>
              </w:rPr>
            </w:pPr>
            <w:r>
              <w:rPr>
                <w:rFonts w:ascii="Arial" w:cs="Arial" w:eastAsia="Arial" w:hAnsi="Arial"/>
                <w:sz w:val="13"/>
                <w:szCs w:val="13"/>
                <w:b w:val="1"/>
                <w:bCs w:val="1"/>
                <w:color w:val="auto"/>
              </w:rPr>
              <w:t>Second Lien Secured Debt - 3.2%</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40" w:type="dxa"/>
            <w:vAlign w:val="bottom"/>
            <w:tcBorders>
              <w:top w:val="single" w:sz="8" w:color="auto"/>
            </w:tcBorders>
            <w:gridSpan w:val="6"/>
            <w:shd w:val="clear" w:color="auto" w:fill="CCEEFF"/>
          </w:tcPr>
          <w:p>
            <w:pPr>
              <w:spacing w:after="0" w:line="131" w:lineRule="exact"/>
              <w:rPr>
                <w:sz w:val="20"/>
                <w:szCs w:val="20"/>
                <w:color w:val="auto"/>
              </w:rPr>
            </w:pPr>
            <w:r>
              <w:rPr>
                <w:rFonts w:ascii="Arial" w:cs="Arial" w:eastAsia="Arial" w:hAnsi="Arial"/>
                <w:sz w:val="13"/>
                <w:szCs w:val="13"/>
                <w:color w:val="auto"/>
              </w:rPr>
              <w:t>Performance, Inc.</w:t>
            </w:r>
          </w:p>
        </w:tc>
        <w:tc>
          <w:tcPr>
            <w:tcW w:w="1940" w:type="dxa"/>
            <w:vAlign w:val="bottom"/>
            <w:gridSpan w:val="2"/>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color w:val="auto"/>
              </w:rPr>
              <w:t>LEISURE, AMUSEMENT,</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MOTION PICTURES,</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7/2/2013</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ENTERTAINMENT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6.78%</w:t>
            </w:r>
          </w:p>
        </w:tc>
        <w:tc>
          <w:tcPr>
            <w:tcW w:w="4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8"/>
              </w:rPr>
              <w:t>L+575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8,750,000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8,750,000</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7,848,750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3"/>
                <w:szCs w:val="13"/>
                <w:b w:val="1"/>
                <w:bCs w:val="1"/>
                <w:color w:val="auto"/>
                <w:w w:val="97"/>
              </w:rPr>
              <w:t>Current</w:t>
            </w:r>
          </w:p>
        </w:tc>
        <w:tc>
          <w:tcPr>
            <w:tcW w:w="22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Above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Arial" w:cs="Arial" w:eastAsia="Arial" w:hAnsi="Arial"/>
                <w:sz w:val="13"/>
                <w:szCs w:val="13"/>
                <w:b w:val="1"/>
                <w:bCs w:val="1"/>
                <w:color w:val="auto"/>
                <w:w w:val="95"/>
              </w:rPr>
              <w:t>Issuer Name</w:t>
            </w:r>
          </w:p>
        </w:tc>
        <w:tc>
          <w:tcPr>
            <w:tcW w:w="4400" w:type="dxa"/>
            <w:vAlign w:val="bottom"/>
            <w:gridSpan w:val="4"/>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w w:val="98"/>
              </w:rPr>
              <w:t>Maturity</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Industry</w:t>
            </w:r>
          </w:p>
        </w:tc>
        <w:tc>
          <w:tcPr>
            <w:tcW w:w="22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w w:val="89"/>
              </w:rPr>
              <w:t>Coupon</w:t>
            </w:r>
          </w:p>
        </w:tc>
        <w:tc>
          <w:tcPr>
            <w:tcW w:w="2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2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Fair Value (3)</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320" w:type="dxa"/>
            <w:vAlign w:val="bottom"/>
            <w:tcBorders>
              <w:bottom w:val="single" w:sz="8" w:color="CCEEFF"/>
            </w:tcBorders>
            <w:gridSpan w:val="2"/>
            <w:vMerge w:val="restart"/>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5"/>
              </w:rPr>
              <w:t>Common Equity / Partnership Interests</w:t>
            </w:r>
          </w:p>
        </w:tc>
        <w:tc>
          <w:tcPr>
            <w:tcW w:w="140" w:type="dxa"/>
            <w:vAlign w:val="bottom"/>
            <w:tcBorders>
              <w:bottom w:val="single" w:sz="8" w:color="auto"/>
            </w:tcBorders>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rPr>
              <w:t>(7)</w:t>
            </w:r>
          </w:p>
        </w:tc>
        <w:tc>
          <w:tcPr>
            <w:tcW w:w="420" w:type="dxa"/>
            <w:vAlign w:val="bottom"/>
            <w:tcBorders>
              <w:bottom w:val="single" w:sz="8" w:color="CCEEFF"/>
            </w:tcBorders>
            <w:vMerge w:val="restart"/>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- 1.2%</w:t>
            </w:r>
          </w:p>
        </w:tc>
        <w:tc>
          <w:tcPr>
            <w:tcW w:w="2280" w:type="dxa"/>
            <w:vAlign w:val="bottom"/>
            <w:tcBorders>
              <w:bottom w:val="single" w:sz="8" w:color="CCEEFF"/>
            </w:tcBorders>
            <w:vMerge w:val="restart"/>
            <w:shd w:val="clear" w:color="auto" w:fill="CCEEFF"/>
          </w:tcPr>
          <w:p>
            <w:pPr>
              <w:spacing w:after="0"/>
              <w:rPr>
                <w:sz w:val="7"/>
                <w:szCs w:val="7"/>
                <w:color w:val="auto"/>
              </w:rPr>
            </w:pPr>
          </w:p>
        </w:tc>
        <w:tc>
          <w:tcPr>
            <w:tcW w:w="5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64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320" w:type="dxa"/>
            <w:vAlign w:val="bottom"/>
            <w:tcBorders>
              <w:bottom w:val="single" w:sz="8" w:color="auto"/>
            </w:tcBorders>
            <w:gridSpan w:val="2"/>
            <w:vMerge w:val="continue"/>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auto"/>
            </w:tcBorders>
            <w:vMerge w:val="continue"/>
            <w:shd w:val="clear" w:color="auto" w:fill="CCEEFF"/>
          </w:tcPr>
          <w:p>
            <w:pPr>
              <w:spacing w:after="0" w:line="20" w:lineRule="exact"/>
              <w:rPr>
                <w:sz w:val="1"/>
                <w:szCs w:val="1"/>
                <w:color w:val="auto"/>
              </w:rPr>
            </w:pPr>
          </w:p>
        </w:tc>
        <w:tc>
          <w:tcPr>
            <w:tcW w:w="2280" w:type="dxa"/>
            <w:vAlign w:val="bottom"/>
            <w:tcBorders>
              <w:bottom w:val="single" w:sz="8" w:color="CCEEFF"/>
            </w:tcBorders>
            <w:vMerge w:val="continue"/>
            <w:shd w:val="clear" w:color="auto" w:fill="CCEEFF"/>
          </w:tcPr>
          <w:p>
            <w:pPr>
              <w:spacing w:after="0" w:line="20" w:lineRule="exact"/>
              <w:rPr>
                <w:sz w:val="1"/>
                <w:szCs w:val="1"/>
                <w:color w:val="auto"/>
              </w:rPr>
            </w:pPr>
          </w:p>
        </w:tc>
        <w:tc>
          <w:tcPr>
            <w:tcW w:w="52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112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7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5160" w:type="dxa"/>
            <w:vAlign w:val="bottom"/>
            <w:gridSpan w:val="5"/>
          </w:tcPr>
          <w:p>
            <w:pPr>
              <w:spacing w:after="0" w:line="131" w:lineRule="exact"/>
              <w:rPr>
                <w:sz w:val="20"/>
                <w:szCs w:val="20"/>
                <w:color w:val="auto"/>
              </w:rPr>
            </w:pPr>
            <w:r>
              <w:rPr>
                <w:rFonts w:ascii="Arial" w:cs="Arial" w:eastAsia="Arial" w:hAnsi="Arial"/>
                <w:sz w:val="13"/>
                <w:szCs w:val="13"/>
                <w:color w:val="auto"/>
              </w:rPr>
              <w:t>NCP-Performance (Performance Holdings, Inc.)</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Arial" w:cs="Arial" w:eastAsia="Arial" w:hAnsi="Arial"/>
                <w:sz w:val="13"/>
                <w:szCs w:val="13"/>
                <w:color w:val="auto"/>
              </w:rPr>
              <w:t>LEISURE,</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AMUSEMENT,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MOTION</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PICTURES,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20" w:type="dxa"/>
            <w:vAlign w:val="bottom"/>
          </w:tcPr>
          <w:p>
            <w:pPr>
              <w:ind w:lef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ENTERTAINMENT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w w:val="90"/>
              </w:rPr>
              <w:t>37,500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3,750,000</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3,089,234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gridSpan w:val="5"/>
            <w:shd w:val="clear" w:color="auto" w:fill="CCEEFF"/>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17,200,193</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15,755,326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160" w:type="dxa"/>
            <w:vAlign w:val="bottom"/>
            <w:gridSpan w:val="5"/>
          </w:tcPr>
          <w:p>
            <w:pPr>
              <w:spacing w:after="0"/>
              <w:rPr>
                <w:sz w:val="20"/>
                <w:szCs w:val="20"/>
                <w:color w:val="auto"/>
              </w:rPr>
            </w:pPr>
            <w:r>
              <w:rPr>
                <w:rFonts w:ascii="Arial" w:cs="Arial" w:eastAsia="Arial" w:hAnsi="Arial"/>
                <w:sz w:val="13"/>
                <w:szCs w:val="13"/>
                <w:b w:val="1"/>
                <w:bCs w:val="1"/>
                <w:color w:val="auto"/>
              </w:rPr>
              <w:t>Total Investments- 159.2%</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8"/>
              </w:rPr>
              <w:t>452,842,217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393,138,231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Cash Equivalents - 0.2%</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541,136</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541,136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60" w:type="dxa"/>
            <w:vAlign w:val="bottom"/>
            <w:gridSpan w:val="5"/>
          </w:tcPr>
          <w:p>
            <w:pPr>
              <w:spacing w:after="0"/>
              <w:rPr>
                <w:sz w:val="20"/>
                <w:szCs w:val="20"/>
                <w:color w:val="auto"/>
              </w:rPr>
            </w:pPr>
            <w:r>
              <w:rPr>
                <w:rFonts w:ascii="Arial" w:cs="Arial" w:eastAsia="Arial" w:hAnsi="Arial"/>
                <w:sz w:val="13"/>
                <w:szCs w:val="13"/>
                <w:b w:val="1"/>
                <w:bCs w:val="1"/>
                <w:color w:val="auto"/>
              </w:rPr>
              <w:t>Total Investments and Cash Equivalents - 159.4%</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8"/>
              </w:rPr>
              <w:t>453,383,353</w:t>
            </w:r>
          </w:p>
        </w:tc>
        <w:tc>
          <w:tcPr>
            <w:tcW w:w="300" w:type="dxa"/>
            <w:vAlign w:val="bottom"/>
            <w:gridSpan w:val="2"/>
          </w:tcPr>
          <w:p>
            <w:pPr>
              <w:ind w:left="220"/>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96"/>
              </w:rPr>
              <w:t>393,679,367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gridSpan w:val="5"/>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Liabilities in Excess of Other Assets - (59.4%)</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w w:val="91"/>
              </w:rPr>
              <w:t>(146,702,127)</w:t>
            </w:r>
          </w:p>
        </w:tc>
        <w:tc>
          <w:tcPr>
            <w:tcW w:w="0" w:type="dxa"/>
            <w:vAlign w:val="bottom"/>
          </w:tcPr>
          <w:p>
            <w:pPr>
              <w:spacing w:after="0"/>
              <w:rPr>
                <w:sz w:val="1"/>
                <w:szCs w:val="1"/>
                <w:color w:val="auto"/>
              </w:rPr>
            </w:pPr>
          </w:p>
        </w:tc>
      </w:tr>
      <w:tr>
        <w:trPr>
          <w:trHeight w:val="148"/>
        </w:trPr>
        <w:tc>
          <w:tcPr>
            <w:tcW w:w="5160" w:type="dxa"/>
            <w:vAlign w:val="bottom"/>
            <w:gridSpan w:val="5"/>
          </w:tcPr>
          <w:p>
            <w:pPr>
              <w:spacing w:after="0"/>
              <w:rPr>
                <w:sz w:val="20"/>
                <w:szCs w:val="20"/>
                <w:color w:val="auto"/>
              </w:rPr>
            </w:pPr>
            <w:r>
              <w:rPr>
                <w:rFonts w:ascii="Arial" w:cs="Arial" w:eastAsia="Arial" w:hAnsi="Arial"/>
                <w:sz w:val="13"/>
                <w:szCs w:val="13"/>
                <w:b w:val="1"/>
                <w:bCs w:val="1"/>
                <w:color w:val="auto"/>
              </w:rPr>
              <w:t>Net Assets - 100.0%</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w w:val="96"/>
              </w:rPr>
              <w:t>246,977,240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As used in this Schedule of Investments and in accordance with the Investment Company Act of 1940 (the “1940 Act”) “non-controlled” means we own less than 25% of a portfolio company’s voting securities.</w:t>
      </w:r>
    </w:p>
    <w:p>
      <w:pPr>
        <w:spacing w:after="0" w:line="76" w:lineRule="exact"/>
        <w:rPr>
          <w:rFonts w:ascii="Arial" w:cs="Arial" w:eastAsia="Arial" w:hAnsi="Arial"/>
          <w:sz w:val="22"/>
          <w:szCs w:val="22"/>
          <w:color w:val="auto"/>
          <w:vertAlign w:val="superscript"/>
        </w:rPr>
      </w:pPr>
    </w:p>
    <w:p>
      <w:pPr>
        <w:ind w:left="460" w:right="420" w:hanging="452"/>
        <w:spacing w:after="0" w:line="241" w:lineRule="auto"/>
        <w:tabs>
          <w:tab w:leader="none" w:pos="460" w:val="left"/>
        </w:tabs>
        <w:numPr>
          <w:ilvl w:val="0"/>
          <w:numId w:val="3"/>
        </w:numPr>
        <w:rPr>
          <w:rFonts w:ascii="Arial" w:cs="Arial" w:eastAsia="Arial" w:hAnsi="Arial"/>
          <w:sz w:val="21"/>
          <w:szCs w:val="21"/>
          <w:color w:val="auto"/>
          <w:vertAlign w:val="superscript"/>
        </w:rPr>
      </w:pPr>
      <w:r>
        <w:rPr>
          <w:rFonts w:ascii="Arial" w:cs="Arial" w:eastAsia="Arial" w:hAnsi="Arial"/>
          <w:sz w:val="17"/>
          <w:szCs w:val="17"/>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ectPr>
          <w:pgSz w:w="11900" w:h="16838" w:orient="portrait"/>
          <w:cols w:equalWidth="0" w:num="1">
            <w:col w:w="11240"/>
          </w:cols>
          <w:pgMar w:left="320" w:top="459" w:right="339" w:bottom="144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Valued based on our accounting policy (see Note 2 to our financial statements).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 or Prime Rate (Prime or “P”).</w:t>
      </w:r>
    </w:p>
    <w:p>
      <w:pPr>
        <w:spacing w:after="0" w:line="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Coupon payable in cash and/or payment-in-kind (“PIK”).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Non-income producing.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LIBOR or Prime rate floor applies.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Represents purchases of securities with delayed settlement. These securities do not have a basis point spread above index.</w:t>
      </w:r>
    </w:p>
    <w:p>
      <w:pPr>
        <w:spacing w:after="0" w:line="17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140" w:space="320"/>
            <w:col w:w="10780"/>
          </w:cols>
          <w:pgMar w:left="320" w:top="459"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Basis Point</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auto"/>
              </w:rPr>
              <w:t>Spread</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ind w:right="160"/>
              <w:spacing w:after="0" w:line="134" w:lineRule="exact"/>
              <w:rPr>
                <w:sz w:val="20"/>
                <w:szCs w:val="20"/>
                <w:color w:val="auto"/>
              </w:rPr>
            </w:pPr>
            <w:r>
              <w:rPr>
                <w:rFonts w:ascii="Arial" w:cs="Arial" w:eastAsia="Arial" w:hAnsi="Arial"/>
                <w:sz w:val="13"/>
                <w:szCs w:val="13"/>
                <w:b w:val="1"/>
                <w:bCs w:val="1"/>
                <w:color w:val="auto"/>
                <w:w w:val="97"/>
              </w:rPr>
              <w:t>Current</w:t>
            </w:r>
          </w:p>
        </w:tc>
        <w:tc>
          <w:tcPr>
            <w:tcW w:w="420" w:type="dxa"/>
            <w:vAlign w:val="bottom"/>
          </w:tcPr>
          <w:p>
            <w:pPr>
              <w:spacing w:after="0"/>
              <w:rPr>
                <w:sz w:val="11"/>
                <w:szCs w:val="11"/>
                <w:color w:val="auto"/>
              </w:rPr>
            </w:pPr>
          </w:p>
        </w:tc>
        <w:tc>
          <w:tcPr>
            <w:tcW w:w="880" w:type="dxa"/>
            <w:vAlign w:val="bottom"/>
            <w:gridSpan w:val="2"/>
          </w:tcPr>
          <w:p>
            <w:pPr>
              <w:ind w:left="140"/>
              <w:spacing w:after="0" w:line="134" w:lineRule="exact"/>
              <w:rPr>
                <w:sz w:val="20"/>
                <w:szCs w:val="20"/>
                <w:color w:val="auto"/>
              </w:rPr>
            </w:pPr>
            <w:r>
              <w:rPr>
                <w:rFonts w:ascii="Arial" w:cs="Arial" w:eastAsia="Arial" w:hAnsi="Arial"/>
                <w:sz w:val="13"/>
                <w:szCs w:val="13"/>
                <w:b w:val="1"/>
                <w:bCs w:val="1"/>
                <w:color w:val="auto"/>
              </w:rPr>
              <w:t>Above</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19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2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Industry</w:t>
            </w:r>
          </w:p>
        </w:tc>
        <w:tc>
          <w:tcPr>
            <w:tcW w:w="22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Borders>
              <w:bottom w:val="single" w:sz="8" w:color="auto"/>
            </w:tcBorders>
          </w:tcPr>
          <w:p>
            <w:pPr>
              <w:jc w:val="right"/>
              <w:ind w:right="16"/>
              <w:spacing w:after="0" w:line="176"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20"/>
                <w:szCs w:val="20"/>
                <w:b w:val="1"/>
                <w:bCs w:val="1"/>
                <w:color w:val="auto"/>
                <w:vertAlign w:val="superscript"/>
              </w:rPr>
              <w:t>(4)</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Par</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w w:val="96"/>
              </w:rPr>
              <w:t>Investments in Non-Controlled, Non-Affiliated Portfolio Companies – 168.1%</w:t>
            </w:r>
            <w:r>
              <w:rPr>
                <w:rFonts w:ascii="Arial" w:cs="Arial" w:eastAsia="Arial" w:hAnsi="Arial"/>
                <w:sz w:val="11"/>
                <w:szCs w:val="11"/>
                <w:b w:val="1"/>
                <w:bCs w:val="1"/>
                <w:color w:val="auto"/>
                <w:w w:val="96"/>
              </w:rPr>
              <w:t>(1)(2)</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4"/>
          </w:tcPr>
          <w:p>
            <w:pPr>
              <w:spacing w:after="0"/>
              <w:rPr>
                <w:sz w:val="20"/>
                <w:szCs w:val="20"/>
                <w:color w:val="auto"/>
              </w:rPr>
            </w:pPr>
            <w:r>
              <w:rPr>
                <w:rFonts w:ascii="Arial" w:cs="Arial" w:eastAsia="Arial" w:hAnsi="Arial"/>
                <w:sz w:val="18"/>
                <w:szCs w:val="18"/>
                <w:b w:val="1"/>
                <w:bCs w:val="1"/>
                <w:color w:val="auto"/>
                <w:w w:val="95"/>
              </w:rPr>
              <w:t>Subordinated Debt / Corporate Notes - 76.8%</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Advanstar, Inc.</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11/30/2015</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Media</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10.76%</w:t>
            </w:r>
          </w:p>
        </w:tc>
        <w:tc>
          <w:tcPr>
            <w:tcW w:w="42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rPr>
              <w:t>(6)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L+700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$ 16,268,634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$ 16,268,634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$ 12,567,520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Affinion Group Holdings, Inc.</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03/01/2012</w:t>
            </w:r>
          </w:p>
        </w:tc>
        <w:tc>
          <w:tcPr>
            <w:tcW w:w="2040" w:type="dxa"/>
            <w:vAlign w:val="bottom"/>
          </w:tcPr>
          <w:p>
            <w:pPr>
              <w:jc w:val="center"/>
              <w:spacing w:after="0"/>
              <w:rPr>
                <w:sz w:val="20"/>
                <w:szCs w:val="20"/>
                <w:color w:val="auto"/>
              </w:rPr>
            </w:pPr>
            <w:r>
              <w:rPr>
                <w:rFonts w:ascii="Arial" w:cs="Arial" w:eastAsia="Arial" w:hAnsi="Arial"/>
                <w:sz w:val="18"/>
                <w:szCs w:val="18"/>
                <w:color w:val="auto"/>
                <w:w w:val="86"/>
              </w:rPr>
              <w:t>Consumer Products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9.37%</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L+625</w:t>
            </w:r>
          </w:p>
        </w:tc>
        <w:tc>
          <w:tcPr>
            <w:tcW w:w="960" w:type="dxa"/>
            <w:vAlign w:val="bottom"/>
          </w:tcPr>
          <w:p>
            <w:pPr>
              <w:jc w:val="right"/>
              <w:spacing w:after="0"/>
              <w:rPr>
                <w:sz w:val="20"/>
                <w:szCs w:val="20"/>
                <w:color w:val="auto"/>
              </w:rPr>
            </w:pPr>
            <w:r>
              <w:rPr>
                <w:rFonts w:ascii="Arial" w:cs="Arial" w:eastAsia="Arial" w:hAnsi="Arial"/>
                <w:sz w:val="18"/>
                <w:szCs w:val="18"/>
                <w:color w:val="auto"/>
              </w:rPr>
              <w:t>22,500,000</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21,587,384</w:t>
            </w:r>
          </w:p>
        </w:tc>
        <w:tc>
          <w:tcPr>
            <w:tcW w:w="980" w:type="dxa"/>
            <w:vAlign w:val="bottom"/>
          </w:tcPr>
          <w:p>
            <w:pPr>
              <w:jc w:val="right"/>
              <w:spacing w:after="0"/>
              <w:rPr>
                <w:sz w:val="20"/>
                <w:szCs w:val="20"/>
                <w:color w:val="auto"/>
              </w:rPr>
            </w:pPr>
            <w:r>
              <w:rPr>
                <w:rFonts w:ascii="Arial" w:cs="Arial" w:eastAsia="Arial" w:hAnsi="Arial"/>
                <w:sz w:val="18"/>
                <w:szCs w:val="18"/>
                <w:color w:val="auto"/>
              </w:rPr>
              <w:t>18,562,500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Foundries, Inc.</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04/17/2015</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Aerospace and Defense</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14.25%</w:t>
            </w:r>
          </w:p>
        </w:tc>
        <w:tc>
          <w:tcPr>
            <w:tcW w:w="42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rPr>
              <w:t>(6)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7,831,761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60" w:type="dxa"/>
            <w:vAlign w:val="bottom"/>
            <w:gridSpan w:val="2"/>
          </w:tcPr>
          <w:p>
            <w:pPr>
              <w:spacing w:after="0"/>
              <w:rPr>
                <w:sz w:val="20"/>
                <w:szCs w:val="20"/>
                <w:color w:val="auto"/>
              </w:rPr>
            </w:pPr>
            <w:r>
              <w:rPr>
                <w:rFonts w:ascii="Arial" w:cs="Arial" w:eastAsia="Arial" w:hAnsi="Arial"/>
                <w:sz w:val="18"/>
                <w:szCs w:val="18"/>
                <w:color w:val="auto"/>
              </w:rPr>
              <w:t>CT Technologies Intermediate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gridSpan w:val="2"/>
          </w:tcPr>
          <w:p>
            <w:pPr>
              <w:ind w:left="220"/>
              <w:spacing w:after="0"/>
              <w:rPr>
                <w:sz w:val="20"/>
                <w:szCs w:val="20"/>
                <w:color w:val="auto"/>
              </w:rPr>
            </w:pPr>
            <w:r>
              <w:rPr>
                <w:rFonts w:ascii="Arial" w:cs="Arial" w:eastAsia="Arial" w:hAnsi="Arial"/>
                <w:sz w:val="18"/>
                <w:szCs w:val="18"/>
                <w:color w:val="auto"/>
              </w:rPr>
              <w:t>Holdings, Inc.</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03/19/2014</w:t>
            </w:r>
          </w:p>
        </w:tc>
        <w:tc>
          <w:tcPr>
            <w:tcW w:w="2040" w:type="dxa"/>
            <w:vAlign w:val="bottom"/>
          </w:tcPr>
          <w:p>
            <w:pPr>
              <w:jc w:val="center"/>
              <w:spacing w:after="0"/>
              <w:rPr>
                <w:sz w:val="20"/>
                <w:szCs w:val="20"/>
                <w:color w:val="auto"/>
              </w:rPr>
            </w:pPr>
            <w:r>
              <w:rPr>
                <w:rFonts w:ascii="Arial" w:cs="Arial" w:eastAsia="Arial" w:hAnsi="Arial"/>
                <w:sz w:val="18"/>
                <w:szCs w:val="18"/>
                <w:color w:val="auto"/>
                <w:w w:val="87"/>
              </w:rPr>
              <w:t>Business Services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14.00%</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(6)</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19,502,246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8"/>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06/06/2014</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Aerospace and Defense</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14.75%</w:t>
            </w:r>
          </w:p>
        </w:tc>
        <w:tc>
          <w:tcPr>
            <w:tcW w:w="42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rPr>
              <w:t>(6)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22,041,438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21,649,325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22,041,438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IDQ Holdings, Inc.</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05/20/2012</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Auto Sector</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13.75%</w:t>
            </w: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19,555,782</w:t>
            </w:r>
          </w:p>
        </w:tc>
        <w:tc>
          <w:tcPr>
            <w:tcW w:w="98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12/28/2015</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Education</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13.50%</w:t>
            </w:r>
          </w:p>
        </w:tc>
        <w:tc>
          <w:tcPr>
            <w:tcW w:w="42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rPr>
              <w:t>(6)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10,067,361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9,922,722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Realogy Corp.</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04/15/2015</w:t>
            </w:r>
          </w:p>
        </w:tc>
        <w:tc>
          <w:tcPr>
            <w:tcW w:w="2040" w:type="dxa"/>
            <w:vAlign w:val="bottom"/>
          </w:tcPr>
          <w:p>
            <w:pPr>
              <w:jc w:val="center"/>
              <w:spacing w:after="0"/>
              <w:rPr>
                <w:sz w:val="20"/>
                <w:szCs w:val="20"/>
                <w:color w:val="auto"/>
              </w:rPr>
            </w:pPr>
            <w:r>
              <w:rPr>
                <w:rFonts w:ascii="Arial" w:cs="Arial" w:eastAsia="Arial" w:hAnsi="Arial"/>
                <w:sz w:val="18"/>
                <w:szCs w:val="18"/>
                <w:color w:val="auto"/>
                <w:w w:val="87"/>
              </w:rPr>
              <w:t>Buildings and Real Estate</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12.38%</w:t>
            </w: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28,000,000</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26,337,698</w:t>
            </w:r>
          </w:p>
        </w:tc>
        <w:tc>
          <w:tcPr>
            <w:tcW w:w="980" w:type="dxa"/>
            <w:vAlign w:val="bottom"/>
          </w:tcPr>
          <w:p>
            <w:pPr>
              <w:jc w:val="right"/>
              <w:spacing w:after="0"/>
              <w:rPr>
                <w:sz w:val="20"/>
                <w:szCs w:val="20"/>
                <w:color w:val="auto"/>
              </w:rPr>
            </w:pPr>
            <w:r>
              <w:rPr>
                <w:rFonts w:ascii="Arial" w:cs="Arial" w:eastAsia="Arial" w:hAnsi="Arial"/>
                <w:sz w:val="18"/>
                <w:szCs w:val="18"/>
                <w:color w:val="auto"/>
              </w:rPr>
              <w:t>9,520,000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Merger Sub, Inc.</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10/01/2016</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Insurance</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13.50%</w:t>
            </w:r>
          </w:p>
        </w:tc>
        <w:tc>
          <w:tcPr>
            <w:tcW w:w="42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rPr>
              <w:t>(6)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19,811,785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spacing w:after="0"/>
              <w:rPr>
                <w:sz w:val="20"/>
                <w:szCs w:val="20"/>
                <w:color w:val="auto"/>
              </w:rPr>
            </w:pPr>
            <w:r>
              <w:rPr>
                <w:rFonts w:ascii="Arial" w:cs="Arial" w:eastAsia="Arial" w:hAnsi="Arial"/>
                <w:sz w:val="18"/>
                <w:szCs w:val="18"/>
                <w:color w:val="auto"/>
              </w:rPr>
              <w:t>UP Acquisitions Sub Inc.</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02/08/2015</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Oil and Gas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13.50%</w:t>
            </w:r>
          </w:p>
        </w:tc>
        <w:tc>
          <w:tcPr>
            <w:tcW w:w="4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21,000,000</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20,428,146</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Subordinated Debt / Corporate Notes</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187,877,433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182,895,483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161,758,819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w w:val="88"/>
              </w:rPr>
              <w:t>Second Lien Secured Debt – 45.5%</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Brand Energy and Infrastructure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 Inc.</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02/07/2015</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Energy / Utilities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9.81%</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L+700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11,682,795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60" w:type="dxa"/>
            <w:vAlign w:val="bottom"/>
            <w:gridSpan w:val="2"/>
          </w:tcPr>
          <w:p>
            <w:pPr>
              <w:spacing w:after="0"/>
              <w:rPr>
                <w:sz w:val="20"/>
                <w:szCs w:val="20"/>
                <w:color w:val="auto"/>
              </w:rPr>
            </w:pPr>
            <w:r>
              <w:rPr>
                <w:rFonts w:ascii="Arial" w:cs="Arial" w:eastAsia="Arial" w:hAnsi="Arial"/>
                <w:sz w:val="18"/>
                <w:szCs w:val="18"/>
                <w:color w:val="auto"/>
              </w:rPr>
              <w:t>Brand Energy and Infrastructure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20"/>
              <w:spacing w:after="0"/>
              <w:rPr>
                <w:sz w:val="20"/>
                <w:szCs w:val="20"/>
                <w:color w:val="auto"/>
              </w:rPr>
            </w:pPr>
            <w:r>
              <w:rPr>
                <w:rFonts w:ascii="Arial" w:cs="Arial" w:eastAsia="Arial" w:hAnsi="Arial"/>
                <w:sz w:val="18"/>
                <w:szCs w:val="18"/>
                <w:color w:val="auto"/>
              </w:rPr>
              <w:t>Services, Inc.</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02/07/2015</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Energy / Utilities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8.81%</w:t>
            </w:r>
          </w:p>
        </w:tc>
        <w:tc>
          <w:tcPr>
            <w:tcW w:w="4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L+600</w:t>
            </w:r>
          </w:p>
        </w:tc>
        <w:tc>
          <w:tcPr>
            <w:tcW w:w="960" w:type="dxa"/>
            <w:vAlign w:val="bottom"/>
          </w:tcPr>
          <w:p>
            <w:pPr>
              <w:jc w:val="right"/>
              <w:spacing w:after="0"/>
              <w:rPr>
                <w:sz w:val="20"/>
                <w:szCs w:val="20"/>
                <w:color w:val="auto"/>
              </w:rPr>
            </w:pPr>
            <w:r>
              <w:rPr>
                <w:rFonts w:ascii="Arial" w:cs="Arial" w:eastAsia="Arial" w:hAnsi="Arial"/>
                <w:sz w:val="18"/>
                <w:szCs w:val="18"/>
                <w:color w:val="auto"/>
              </w:rPr>
              <w:t>13,600,000</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13,068,290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12,342,000</w:t>
            </w: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Healthcare, Education and</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Generics International (U.S.), Inc.</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04/30/2015</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Childcare</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11.26%</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L+750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11,947,073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Questex Media Group, Inc.</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11/04/2014</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Other Media</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9.31%</w:t>
            </w:r>
          </w:p>
        </w:tc>
        <w:tc>
          <w:tcPr>
            <w:tcW w:w="4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L+650</w:t>
            </w:r>
          </w:p>
        </w:tc>
        <w:tc>
          <w:tcPr>
            <w:tcW w:w="9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980" w:type="dxa"/>
            <w:vAlign w:val="bottom"/>
          </w:tcPr>
          <w:p>
            <w:pPr>
              <w:jc w:val="right"/>
              <w:spacing w:after="0"/>
              <w:rPr>
                <w:sz w:val="20"/>
                <w:szCs w:val="20"/>
                <w:color w:val="auto"/>
              </w:rPr>
            </w:pPr>
            <w:r>
              <w:rPr>
                <w:rFonts w:ascii="Arial" w:cs="Arial" w:eastAsia="Arial" w:hAnsi="Arial"/>
                <w:sz w:val="18"/>
                <w:szCs w:val="18"/>
                <w:color w:val="auto"/>
              </w:rPr>
              <w:t>8,700,000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Saint Acquisition Corp.</w:t>
            </w:r>
            <w:r>
              <w:rPr>
                <w:rFonts w:ascii="Arial" w:cs="Arial" w:eastAsia="Arial" w:hAnsi="Arial"/>
                <w:sz w:val="11"/>
                <w:szCs w:val="11"/>
                <w:color w:val="auto"/>
              </w:rPr>
              <w:t>(5)</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05/15/2015</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Transportation</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10.55%</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L+775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9,951,058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Saint Acquisition Corp.</w:t>
            </w:r>
            <w:r>
              <w:rPr>
                <w:rFonts w:ascii="Arial" w:cs="Arial" w:eastAsia="Arial" w:hAnsi="Arial"/>
                <w:sz w:val="11"/>
                <w:szCs w:val="11"/>
                <w:color w:val="auto"/>
              </w:rPr>
              <w:t>(5)</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05/15/2017</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Transportation</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12.50%</w:t>
            </w: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19,000,000</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16,565,952</w:t>
            </w:r>
          </w:p>
        </w:tc>
        <w:tc>
          <w:tcPr>
            <w:tcW w:w="980" w:type="dxa"/>
            <w:vAlign w:val="bottom"/>
          </w:tcPr>
          <w:p>
            <w:pPr>
              <w:jc w:val="right"/>
              <w:spacing w:after="0"/>
              <w:rPr>
                <w:sz w:val="20"/>
                <w:szCs w:val="20"/>
                <w:color w:val="auto"/>
              </w:rPr>
            </w:pPr>
            <w:r>
              <w:rPr>
                <w:rFonts w:ascii="Arial" w:cs="Arial" w:eastAsia="Arial" w:hAnsi="Arial"/>
                <w:sz w:val="18"/>
                <w:szCs w:val="18"/>
                <w:color w:val="auto"/>
              </w:rPr>
              <w:t>6,270,000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Healthcare, Education and</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Sheridan Holdings, Inc.</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06/15/2015</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Childcare</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42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rPr>
              <w:t>(6)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L+575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11,838,114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60" w:type="dxa"/>
            <w:vAlign w:val="bottom"/>
            <w:gridSpan w:val="2"/>
          </w:tcPr>
          <w:p>
            <w:pPr>
              <w:spacing w:after="0"/>
              <w:rPr>
                <w:sz w:val="20"/>
                <w:szCs w:val="20"/>
                <w:color w:val="auto"/>
              </w:rPr>
            </w:pPr>
            <w:r>
              <w:rPr>
                <w:rFonts w:ascii="Arial" w:cs="Arial" w:eastAsia="Arial" w:hAnsi="Arial"/>
                <w:sz w:val="18"/>
                <w:szCs w:val="18"/>
                <w:color w:val="auto"/>
              </w:rPr>
              <w:t>Specialized Technology</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7"/>
              </w:rPr>
              <w:t>Chemical, Plastics and</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gridSpan w:val="2"/>
          </w:tcPr>
          <w:p>
            <w:pPr>
              <w:ind w:left="220"/>
              <w:spacing w:after="0"/>
              <w:rPr>
                <w:sz w:val="20"/>
                <w:szCs w:val="20"/>
                <w:color w:val="auto"/>
              </w:rPr>
            </w:pPr>
            <w:r>
              <w:rPr>
                <w:rFonts w:ascii="Arial" w:cs="Arial" w:eastAsia="Arial" w:hAnsi="Arial"/>
                <w:sz w:val="18"/>
                <w:szCs w:val="18"/>
                <w:color w:val="auto"/>
              </w:rPr>
              <w:t>Resources, Inc.</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12/15/2014</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Rubber</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10.70%</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L+700</w:t>
            </w:r>
          </w:p>
        </w:tc>
        <w:tc>
          <w:tcPr>
            <w:tcW w:w="960" w:type="dxa"/>
            <w:vAlign w:val="bottom"/>
          </w:tcPr>
          <w:p>
            <w:pPr>
              <w:jc w:val="right"/>
              <w:spacing w:after="0"/>
              <w:rPr>
                <w:sz w:val="20"/>
                <w:szCs w:val="20"/>
                <w:color w:val="auto"/>
              </w:rPr>
            </w:pPr>
            <w:r>
              <w:rPr>
                <w:rFonts w:ascii="Arial" w:cs="Arial" w:eastAsia="Arial" w:hAnsi="Arial"/>
                <w:sz w:val="18"/>
                <w:szCs w:val="18"/>
                <w:color w:val="auto"/>
              </w:rPr>
              <w:t>22,500,000</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22,485,895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19,800,000</w:t>
            </w:r>
          </w:p>
        </w:tc>
        <w:tc>
          <w:tcPr>
            <w:tcW w:w="0" w:type="dxa"/>
            <w:vAlign w:val="bottom"/>
          </w:tcPr>
          <w:p>
            <w:pPr>
              <w:spacing w:after="0"/>
              <w:rPr>
                <w:sz w:val="1"/>
                <w:szCs w:val="1"/>
                <w:color w:val="auto"/>
              </w:rPr>
            </w:pPr>
          </w:p>
        </w:tc>
      </w:tr>
      <w:tr>
        <w:trPr>
          <w:trHeight w:val="218"/>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TransFirst Holdings, Inc.</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06/15/2015</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Financial Services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9.77%</w:t>
            </w:r>
          </w:p>
        </w:tc>
        <w:tc>
          <w:tcPr>
            <w:tcW w:w="42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rPr>
              <w:t>(6)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L+600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15,866,044</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w w:val="95"/>
              </w:rPr>
              <w:t>Total Second Lien Secured Debt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128,100,000</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123,405,221</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95,894,500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Basis Point</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Spread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180"/>
              <w:spacing w:after="0" w:line="134" w:lineRule="exact"/>
              <w:rPr>
                <w:sz w:val="20"/>
                <w:szCs w:val="20"/>
                <w:color w:val="auto"/>
              </w:rPr>
            </w:pPr>
            <w:r>
              <w:rPr>
                <w:rFonts w:ascii="Arial" w:cs="Arial" w:eastAsia="Arial" w:hAnsi="Arial"/>
                <w:sz w:val="13"/>
                <w:szCs w:val="13"/>
                <w:b w:val="1"/>
                <w:bCs w:val="1"/>
                <w:color w:val="auto"/>
                <w:w w:val="97"/>
              </w:rPr>
              <w:t>Current</w:t>
            </w:r>
          </w:p>
        </w:tc>
        <w:tc>
          <w:tcPr>
            <w:tcW w:w="380" w:type="dxa"/>
            <w:vAlign w:val="bottom"/>
          </w:tcPr>
          <w:p>
            <w:pPr>
              <w:spacing w:after="0"/>
              <w:rPr>
                <w:sz w:val="11"/>
                <w:szCs w:val="11"/>
                <w:color w:val="auto"/>
              </w:rPr>
            </w:pPr>
          </w:p>
        </w:tc>
        <w:tc>
          <w:tcPr>
            <w:tcW w:w="1020" w:type="dxa"/>
            <w:vAlign w:val="bottom"/>
            <w:gridSpan w:val="2"/>
          </w:tcPr>
          <w:p>
            <w:pPr>
              <w:jc w:val="center"/>
              <w:ind w:right="360"/>
              <w:spacing w:after="0" w:line="134" w:lineRule="exact"/>
              <w:rPr>
                <w:sz w:val="20"/>
                <w:szCs w:val="20"/>
                <w:color w:val="auto"/>
              </w:rPr>
            </w:pPr>
            <w:r>
              <w:rPr>
                <w:rFonts w:ascii="Arial" w:cs="Arial" w:eastAsia="Arial" w:hAnsi="Arial"/>
                <w:sz w:val="13"/>
                <w:szCs w:val="13"/>
                <w:b w:val="1"/>
                <w:bCs w:val="1"/>
                <w:color w:val="auto"/>
                <w:w w:val="95"/>
              </w:rPr>
              <w:t>Above</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3080" w:type="dxa"/>
            <w:vAlign w:val="bottom"/>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Coupon</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Borders>
              <w:bottom w:val="single" w:sz="8" w:color="auto"/>
            </w:tcBorders>
          </w:tcPr>
          <w:p>
            <w:pPr>
              <w:jc w:val="right"/>
              <w:ind w:right="16"/>
              <w:spacing w:after="0" w:line="176"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20"/>
                <w:szCs w:val="20"/>
                <w:b w:val="1"/>
                <w:bCs w:val="1"/>
                <w:color w:val="auto"/>
                <w:vertAlign w:val="superscript"/>
              </w:rPr>
              <w:t>(4)</w:t>
            </w:r>
          </w:p>
        </w:tc>
        <w:tc>
          <w:tcPr>
            <w:tcW w:w="3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Preferred Equity - 4.4%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40" w:type="dxa"/>
            <w:vAlign w:val="bottom"/>
            <w:gridSpan w:val="2"/>
          </w:tcPr>
          <w:p>
            <w:pPr>
              <w:spacing w:after="0"/>
              <w:rPr>
                <w:sz w:val="20"/>
                <w:szCs w:val="20"/>
                <w:color w:val="auto"/>
              </w:rPr>
            </w:pPr>
            <w:r>
              <w:rPr>
                <w:rFonts w:ascii="Arial" w:cs="Arial" w:eastAsia="Arial" w:hAnsi="Arial"/>
                <w:sz w:val="18"/>
                <w:szCs w:val="18"/>
                <w:color w:val="auto"/>
              </w:rPr>
              <w:t>CFHC Holdings, Inc., Class A (Consolidated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Aerospace and</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Foundries, Inc.)</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Defense</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841,927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841,927</w:t>
            </w:r>
          </w:p>
        </w:tc>
        <w:tc>
          <w:tcPr>
            <w:tcW w:w="0" w:type="dxa"/>
            <w:vAlign w:val="bottom"/>
          </w:tcPr>
          <w:p>
            <w:pPr>
              <w:spacing w:after="0"/>
              <w:rPr>
                <w:sz w:val="1"/>
                <w:szCs w:val="1"/>
                <w:color w:val="auto"/>
              </w:rPr>
            </w:pPr>
          </w:p>
        </w:tc>
      </w:tr>
      <w:tr>
        <w:trPr>
          <w:trHeight w:val="209"/>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Aerospace and</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Defense</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3,960,000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40" w:type="dxa"/>
            <w:vAlign w:val="bottom"/>
            <w:gridSpan w:val="2"/>
          </w:tcPr>
          <w:p>
            <w:pPr>
              <w:spacing w:after="0"/>
              <w:rPr>
                <w:sz w:val="20"/>
                <w:szCs w:val="20"/>
                <w:color w:val="auto"/>
              </w:rPr>
            </w:pPr>
            <w:r>
              <w:rPr>
                <w:rFonts w:ascii="Arial" w:cs="Arial" w:eastAsia="Arial" w:hAnsi="Arial"/>
                <w:sz w:val="18"/>
                <w:szCs w:val="18"/>
                <w:color w:val="auto"/>
              </w:rPr>
              <w:t>TZ Holdings, L.P., Series A</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gridSpan w:val="2"/>
          </w:tcPr>
          <w:p>
            <w:pPr>
              <w:spacing w:after="0"/>
              <w:rPr>
                <w:sz w:val="20"/>
                <w:szCs w:val="20"/>
                <w:color w:val="auto"/>
              </w:rPr>
            </w:pPr>
            <w:r>
              <w:rPr>
                <w:rFonts w:ascii="Arial" w:cs="Arial" w:eastAsia="Arial" w:hAnsi="Arial"/>
                <w:sz w:val="18"/>
                <w:szCs w:val="18"/>
                <w:color w:val="auto"/>
              </w:rPr>
              <w:t>(TZ Merger Sub, Inc.)</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Insurance</w:t>
            </w:r>
          </w:p>
        </w:tc>
        <w:tc>
          <w:tcPr>
            <w:tcW w:w="2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(7)</w:t>
            </w:r>
          </w:p>
        </w:tc>
        <w:tc>
          <w:tcPr>
            <w:tcW w:w="38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685,820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685,820</w:t>
            </w:r>
          </w:p>
        </w:tc>
        <w:tc>
          <w:tcPr>
            <w:tcW w:w="0" w:type="dxa"/>
            <w:vAlign w:val="bottom"/>
          </w:tcPr>
          <w:p>
            <w:pPr>
              <w:spacing w:after="0"/>
              <w:rPr>
                <w:sz w:val="1"/>
                <w:szCs w:val="1"/>
                <w:color w:val="auto"/>
              </w:rPr>
            </w:pPr>
          </w:p>
        </w:tc>
      </w:tr>
      <w:tr>
        <w:trPr>
          <w:trHeight w:val="209"/>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Holdings, L.P., Series B</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Merger Sub, Inc.)</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Insurance</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1,312,006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40" w:type="dxa"/>
            <w:vAlign w:val="bottom"/>
            <w:gridSpan w:val="2"/>
          </w:tcPr>
          <w:p>
            <w:pPr>
              <w:spacing w:after="0"/>
              <w:rPr>
                <w:sz w:val="20"/>
                <w:szCs w:val="20"/>
                <w:color w:val="auto"/>
              </w:rPr>
            </w:pPr>
            <w:r>
              <w:rPr>
                <w:rFonts w:ascii="Arial" w:cs="Arial" w:eastAsia="Arial" w:hAnsi="Arial"/>
                <w:sz w:val="18"/>
                <w:szCs w:val="18"/>
                <w:color w:val="auto"/>
              </w:rPr>
              <w:t>UP Holdings Inc., Class A-1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840" w:type="dxa"/>
            <w:vAlign w:val="bottom"/>
            <w:gridSpan w:val="2"/>
          </w:tcPr>
          <w:p>
            <w:pPr>
              <w:spacing w:after="0"/>
              <w:rPr>
                <w:sz w:val="20"/>
                <w:szCs w:val="20"/>
                <w:color w:val="auto"/>
              </w:rPr>
            </w:pPr>
            <w:r>
              <w:rPr>
                <w:rFonts w:ascii="Arial" w:cs="Arial" w:eastAsia="Arial" w:hAnsi="Arial"/>
                <w:sz w:val="18"/>
                <w:szCs w:val="18"/>
                <w:color w:val="auto"/>
              </w:rPr>
              <w:t>(UP Acquisitions Sub Inc.)</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Oil and Gas</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8.00%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2,499,066</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2,499,066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Preferred Equity</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4,054,448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9,298,819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9,298,819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w w:val="99"/>
              </w:rPr>
              <w:t>Common Equity/Partnership Interest</w:t>
            </w:r>
            <w:r>
              <w:rPr>
                <w:rFonts w:ascii="Arial" w:cs="Arial" w:eastAsia="Arial" w:hAnsi="Arial"/>
                <w:sz w:val="11"/>
                <w:szCs w:val="11"/>
                <w:b w:val="1"/>
                <w:bCs w:val="1"/>
                <w:color w:val="auto"/>
                <w:w w:val="99"/>
              </w:rPr>
              <w:t>(7)</w:t>
            </w:r>
            <w:r>
              <w:rPr>
                <w:rFonts w:ascii="Arial" w:cs="Arial" w:eastAsia="Arial" w:hAnsi="Arial"/>
                <w:sz w:val="18"/>
                <w:szCs w:val="18"/>
                <w:b w:val="1"/>
                <w:bCs w:val="1"/>
                <w:color w:val="auto"/>
                <w:w w:val="99"/>
              </w:rPr>
              <w:t xml:space="preserve"> - 4.0%</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AHC Mezzanine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(Advanstar Inc.)</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Media</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40" w:type="dxa"/>
            <w:vAlign w:val="bottom"/>
            <w:gridSpan w:val="2"/>
          </w:tcPr>
          <w:p>
            <w:pPr>
              <w:spacing w:after="0"/>
              <w:rPr>
                <w:sz w:val="20"/>
                <w:szCs w:val="20"/>
                <w:color w:val="auto"/>
              </w:rPr>
            </w:pPr>
            <w:r>
              <w:rPr>
                <w:rFonts w:ascii="Arial" w:cs="Arial" w:eastAsia="Arial" w:hAnsi="Arial"/>
                <w:sz w:val="18"/>
                <w:szCs w:val="18"/>
                <w:color w:val="auto"/>
              </w:rPr>
              <w:t>CFHC Holdings, Inc., (Consolidated Foundries,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Aerospace and</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Inc.)</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Defense</w:t>
            </w:r>
          </w:p>
        </w:tc>
        <w:tc>
          <w:tcPr>
            <w:tcW w:w="2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16,271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149,557</w:t>
            </w:r>
          </w:p>
        </w:tc>
        <w:tc>
          <w:tcPr>
            <w:tcW w:w="0" w:type="dxa"/>
            <w:vAlign w:val="bottom"/>
          </w:tcPr>
          <w:p>
            <w:pPr>
              <w:spacing w:after="0"/>
              <w:rPr>
                <w:sz w:val="1"/>
                <w:szCs w:val="1"/>
                <w:color w:val="auto"/>
              </w:rPr>
            </w:pPr>
          </w:p>
        </w:tc>
      </w:tr>
      <w:tr>
        <w:trPr>
          <w:trHeight w:val="209"/>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 Holdings, LLC</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Business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 Intermediate Holdings, Inc.)</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Services</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3,200,000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40" w:type="dxa"/>
            <w:vAlign w:val="bottom"/>
            <w:gridSpan w:val="2"/>
          </w:tcPr>
          <w:p>
            <w:pPr>
              <w:spacing w:after="0"/>
              <w:rPr>
                <w:sz w:val="20"/>
                <w:szCs w:val="20"/>
                <w:color w:val="auto"/>
              </w:rPr>
            </w:pPr>
            <w:r>
              <w:rPr>
                <w:rFonts w:ascii="Arial" w:cs="Arial" w:eastAsia="Arial" w:hAnsi="Arial"/>
                <w:sz w:val="18"/>
                <w:szCs w:val="18"/>
                <w:color w:val="auto"/>
              </w:rPr>
              <w:t>i2 Holdings Ltd.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Aerospace and</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Defense</w:t>
            </w:r>
          </w:p>
        </w:tc>
        <w:tc>
          <w:tcPr>
            <w:tcW w:w="2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1,545,062</w:t>
            </w:r>
          </w:p>
        </w:tc>
        <w:tc>
          <w:tcPr>
            <w:tcW w:w="0" w:type="dxa"/>
            <w:vAlign w:val="bottom"/>
          </w:tcPr>
          <w:p>
            <w:pPr>
              <w:spacing w:after="0"/>
              <w:rPr>
                <w:sz w:val="1"/>
                <w:szCs w:val="1"/>
                <w:color w:val="auto"/>
              </w:rPr>
            </w:pPr>
          </w:p>
        </w:tc>
      </w:tr>
      <w:tr>
        <w:trPr>
          <w:trHeight w:val="209"/>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Holdings, L.P.</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Merger Sub, Inc.)</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Insurance</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40" w:type="dxa"/>
            <w:vAlign w:val="bottom"/>
            <w:gridSpan w:val="2"/>
          </w:tcPr>
          <w:p>
            <w:pPr>
              <w:spacing w:after="0"/>
              <w:rPr>
                <w:sz w:val="20"/>
                <w:szCs w:val="20"/>
                <w:color w:val="auto"/>
              </w:rPr>
            </w:pPr>
            <w:r>
              <w:rPr>
                <w:rFonts w:ascii="Arial" w:cs="Arial" w:eastAsia="Arial" w:hAnsi="Arial"/>
                <w:sz w:val="18"/>
                <w:szCs w:val="18"/>
                <w:color w:val="auto"/>
              </w:rPr>
              <w:t>UP Holdings Inc.</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840" w:type="dxa"/>
            <w:vAlign w:val="bottom"/>
            <w:gridSpan w:val="2"/>
          </w:tcPr>
          <w:p>
            <w:pPr>
              <w:spacing w:after="0"/>
              <w:rPr>
                <w:sz w:val="20"/>
                <w:szCs w:val="20"/>
                <w:color w:val="auto"/>
              </w:rPr>
            </w:pPr>
            <w:r>
              <w:rPr>
                <w:rFonts w:ascii="Arial" w:cs="Arial" w:eastAsia="Arial" w:hAnsi="Arial"/>
                <w:sz w:val="18"/>
                <w:szCs w:val="18"/>
                <w:color w:val="auto"/>
              </w:rPr>
              <w:t>(UP Acquisitions Sub Inc.)</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Oil and Gas</w:t>
            </w:r>
          </w:p>
        </w:tc>
        <w:tc>
          <w:tcPr>
            <w:tcW w:w="20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2,569,208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Common Equity/Partnership Interest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6,659,360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8,464,883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37.4%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Burlington Coat Factory Warehouse Corp.</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05/28/2013</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Retail Store</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5.06%</w:t>
            </w:r>
          </w:p>
        </w:tc>
        <w:tc>
          <w:tcPr>
            <w:tcW w:w="3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$ 7,896,473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7,889,120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5,401,187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Cohr Holdings, Inc.</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Healthcare,</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Education and</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01/31/2013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Childcare</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L+250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2,955,000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1,484,888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40" w:type="dxa"/>
            <w:vAlign w:val="bottom"/>
            <w:gridSpan w:val="2"/>
          </w:tcPr>
          <w:p>
            <w:pPr>
              <w:spacing w:after="0"/>
              <w:rPr>
                <w:sz w:val="20"/>
                <w:szCs w:val="20"/>
                <w:color w:val="auto"/>
              </w:rPr>
            </w:pPr>
            <w:r>
              <w:rPr>
                <w:rFonts w:ascii="Arial" w:cs="Arial" w:eastAsia="Arial" w:hAnsi="Arial"/>
                <w:sz w:val="18"/>
                <w:szCs w:val="18"/>
                <w:color w:val="auto"/>
              </w:rPr>
              <w:t>EnviroSolutions, Inc.</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Environmental</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08/07/2012</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Services</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12.04%</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L+825</w:t>
            </w:r>
            <w:r>
              <w:rPr>
                <w:rFonts w:ascii="Arial" w:cs="Arial" w:eastAsia="Arial" w:hAnsi="Arial"/>
                <w:sz w:val="11"/>
                <w:szCs w:val="11"/>
                <w:color w:val="auto"/>
              </w:rPr>
              <w:t>(8)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14,014,177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12,965,204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12,192,334</w:t>
            </w:r>
          </w:p>
        </w:tc>
        <w:tc>
          <w:tcPr>
            <w:tcW w:w="0" w:type="dxa"/>
            <w:vAlign w:val="bottom"/>
          </w:tcPr>
          <w:p>
            <w:pPr>
              <w:spacing w:after="0"/>
              <w:rPr>
                <w:sz w:val="1"/>
                <w:szCs w:val="1"/>
                <w:color w:val="auto"/>
              </w:rPr>
            </w:pPr>
          </w:p>
        </w:tc>
      </w:tr>
      <w:tr>
        <w:trPr>
          <w:trHeight w:val="209"/>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Environmental</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08/07/2012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Services</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12.25%</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P+725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Gatehouse Media Operating, Inc.</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08/28/2014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Media</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4.81%</w:t>
            </w:r>
          </w:p>
        </w:tc>
        <w:tc>
          <w:tcPr>
            <w:tcW w:w="3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L+200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3,336,690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Nutrition Centers, Inc.</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09/16/2013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Retail Store</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L+225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3,410,095</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3,411,892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2,821,854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40" w:type="dxa"/>
            <w:vAlign w:val="bottom"/>
            <w:gridSpan w:val="2"/>
          </w:tcPr>
          <w:p>
            <w:pPr>
              <w:spacing w:after="0"/>
              <w:rPr>
                <w:sz w:val="20"/>
                <w:szCs w:val="20"/>
                <w:color w:val="auto"/>
              </w:rPr>
            </w:pPr>
            <w:r>
              <w:rPr>
                <w:rFonts w:ascii="Arial" w:cs="Arial" w:eastAsia="Arial" w:hAnsi="Arial"/>
                <w:sz w:val="18"/>
                <w:szCs w:val="18"/>
                <w:color w:val="auto"/>
              </w:rPr>
              <w:t>Greatwide Logistics Services, Inc.</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Cargo</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12/19/2013</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Transport</w:t>
            </w:r>
          </w:p>
        </w:tc>
        <w:tc>
          <w:tcPr>
            <w:tcW w:w="2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(7)</w:t>
            </w:r>
          </w:p>
        </w:tc>
        <w:tc>
          <w:tcPr>
            <w:tcW w:w="38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6,912,500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6,912,500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5,149,813</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6"/>
              </w:rPr>
              <w:t>Basis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8"/>
              </w:rPr>
              <w:t>Point</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ind w:right="180"/>
              <w:spacing w:after="0" w:line="134" w:lineRule="exact"/>
              <w:rPr>
                <w:sz w:val="20"/>
                <w:szCs w:val="20"/>
                <w:color w:val="auto"/>
              </w:rPr>
            </w:pPr>
            <w:r>
              <w:rPr>
                <w:rFonts w:ascii="Arial" w:cs="Arial" w:eastAsia="Arial" w:hAnsi="Arial"/>
                <w:sz w:val="13"/>
                <w:szCs w:val="13"/>
                <w:b w:val="1"/>
                <w:bCs w:val="1"/>
                <w:color w:val="auto"/>
                <w:w w:val="93"/>
              </w:rPr>
              <w:t>Current</w:t>
            </w:r>
          </w:p>
        </w:tc>
        <w:tc>
          <w:tcPr>
            <w:tcW w:w="420" w:type="dxa"/>
            <w:vAlign w:val="bottom"/>
          </w:tcPr>
          <w:p>
            <w:pPr>
              <w:spacing w:after="0"/>
              <w:rPr>
                <w:sz w:val="11"/>
                <w:szCs w:val="11"/>
                <w:color w:val="auto"/>
              </w:rPr>
            </w:pPr>
          </w:p>
        </w:tc>
        <w:tc>
          <w:tcPr>
            <w:tcW w:w="4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Above</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20"/>
                <w:szCs w:val="20"/>
                <w:color w:val="auto"/>
              </w:rPr>
            </w:pPr>
            <w:r>
              <w:rPr>
                <w:rFonts w:ascii="Arial" w:cs="Arial" w:eastAsia="Arial" w:hAnsi="Arial"/>
                <w:sz w:val="13"/>
                <w:szCs w:val="13"/>
                <w:b w:val="1"/>
                <w:bCs w:val="1"/>
                <w:color w:val="auto"/>
                <w:w w:val="95"/>
              </w:rPr>
              <w:t>Issuer Name</w:t>
            </w:r>
          </w:p>
        </w:tc>
        <w:tc>
          <w:tcPr>
            <w:tcW w:w="2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9"/>
              </w:rPr>
              <w:t>Coupon</w:t>
            </w:r>
          </w:p>
        </w:tc>
        <w:tc>
          <w:tcPr>
            <w:tcW w:w="420" w:type="dxa"/>
            <w:vAlign w:val="bottom"/>
          </w:tcPr>
          <w:p>
            <w:pPr>
              <w:spacing w:after="0"/>
              <w:rPr>
                <w:sz w:val="15"/>
                <w:szCs w:val="15"/>
                <w:color w:val="auto"/>
              </w:rPr>
            </w:pPr>
          </w:p>
        </w:tc>
        <w:tc>
          <w:tcPr>
            <w:tcW w:w="48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20"/>
                <w:szCs w:val="20"/>
                <w:b w:val="1"/>
                <w:bCs w:val="1"/>
                <w:color w:val="auto"/>
                <w:vertAlign w:val="superscript"/>
              </w:rPr>
              <w:t>(4)</w:t>
            </w:r>
          </w:p>
        </w:tc>
        <w:tc>
          <w:tcPr>
            <w:tcW w:w="220" w:type="dxa"/>
            <w:vAlign w:val="bottom"/>
          </w:tcPr>
          <w:p>
            <w:pPr>
              <w:spacing w:after="0"/>
              <w:rPr>
                <w:sz w:val="15"/>
                <w:szCs w:val="15"/>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Par</w:t>
            </w:r>
          </w:p>
        </w:tc>
        <w:tc>
          <w:tcPr>
            <w:tcW w:w="1180" w:type="dxa"/>
            <w:vAlign w:val="bottom"/>
            <w:gridSpan w:val="2"/>
          </w:tcPr>
          <w:p>
            <w:pPr>
              <w:ind w:left="360"/>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Hanley- Wood,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03/08/2014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Media</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L+225</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8,932,500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8,932,500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6,327,185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First Lien Secured Debt – (Continued)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Hughes Network Systems,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04/15/2014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Telecommunications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L+250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5,000,000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  5,000,000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4,275,000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Home and Office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Furnishings,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Housewares and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Durable Consumer</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Jacuzzi Brands Corp.</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02/07/2014</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Products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5.35%</w:t>
            </w:r>
          </w:p>
        </w:tc>
        <w:tc>
          <w:tcPr>
            <w:tcW w:w="4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4"/>
              </w:rPr>
              <w:t>L+225</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9,890,541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9,890,541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6,156,861</w:t>
            </w:r>
          </w:p>
        </w:tc>
        <w:tc>
          <w:tcPr>
            <w:tcW w:w="0" w:type="dxa"/>
            <w:vAlign w:val="bottom"/>
          </w:tcPr>
          <w:p>
            <w:pPr>
              <w:spacing w:after="0"/>
              <w:rPr>
                <w:sz w:val="1"/>
                <w:szCs w:val="1"/>
                <w:color w:val="auto"/>
              </w:rPr>
            </w:pPr>
          </w:p>
        </w:tc>
      </w:tr>
      <w:tr>
        <w:trPr>
          <w:trHeight w:val="21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Levlad,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03/08/2014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Consumer Products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L+225</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4,564,563</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4,564,563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Longview Power, L.L.C.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02/28/2014</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Utilities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5.54%</w:t>
            </w:r>
          </w:p>
        </w:tc>
        <w:tc>
          <w:tcPr>
            <w:tcW w:w="4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4"/>
              </w:rPr>
              <w:t>L+225</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3,000,000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3,000,000</w:t>
            </w:r>
          </w:p>
        </w:tc>
        <w:tc>
          <w:tcPr>
            <w:tcW w:w="980" w:type="dxa"/>
            <w:vAlign w:val="bottom"/>
          </w:tcPr>
          <w:p>
            <w:pPr>
              <w:jc w:val="right"/>
              <w:spacing w:after="0"/>
              <w:rPr>
                <w:sz w:val="20"/>
                <w:szCs w:val="20"/>
                <w:color w:val="auto"/>
              </w:rPr>
            </w:pPr>
            <w:r>
              <w:rPr>
                <w:rFonts w:ascii="Arial" w:cs="Arial" w:eastAsia="Arial" w:hAnsi="Arial"/>
                <w:sz w:val="18"/>
                <w:szCs w:val="18"/>
                <w:color w:val="auto"/>
              </w:rPr>
              <w:t>2,630,001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Home and Office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Furnishings,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Housewares and</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Durable Consumer</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Mattress Holding Corp.</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01/18/2014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Products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L+225</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3,950,100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3,950,100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Mitchell International, Inc.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03/28/2014</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Business Services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5.81%</w:t>
            </w:r>
          </w:p>
        </w:tc>
        <w:tc>
          <w:tcPr>
            <w:tcW w:w="4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4"/>
              </w:rPr>
              <w:t>L+200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3,940,000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3,940,000</w:t>
            </w:r>
          </w:p>
        </w:tc>
        <w:tc>
          <w:tcPr>
            <w:tcW w:w="980" w:type="dxa"/>
            <w:vAlign w:val="bottom"/>
          </w:tcPr>
          <w:p>
            <w:pPr>
              <w:jc w:val="right"/>
              <w:spacing w:after="0"/>
              <w:rPr>
                <w:sz w:val="20"/>
                <w:szCs w:val="20"/>
                <w:color w:val="auto"/>
              </w:rPr>
            </w:pPr>
            <w:r>
              <w:rPr>
                <w:rFonts w:ascii="Arial" w:cs="Arial" w:eastAsia="Arial" w:hAnsi="Arial"/>
                <w:sz w:val="18"/>
                <w:szCs w:val="18"/>
                <w:color w:val="auto"/>
              </w:rPr>
              <w:t>3,723,300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Home and Office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Furnishings,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Housewares and</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Durable Consumer</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Bedding Co.,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02/28/2013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Products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4.62%</w:t>
            </w: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L+200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6,895,000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6,900,583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Penton Media, Inc.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02/01/2013</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Other Media</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5.07%</w:t>
            </w:r>
          </w:p>
        </w:tc>
        <w:tc>
          <w:tcPr>
            <w:tcW w:w="4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4"/>
              </w:rPr>
              <w:t>L+225</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4,925,000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4,925,000</w:t>
            </w:r>
          </w:p>
        </w:tc>
        <w:tc>
          <w:tcPr>
            <w:tcW w:w="980" w:type="dxa"/>
            <w:vAlign w:val="bottom"/>
          </w:tcPr>
          <w:p>
            <w:pPr>
              <w:jc w:val="right"/>
              <w:spacing w:after="0"/>
              <w:rPr>
                <w:sz w:val="20"/>
                <w:szCs w:val="20"/>
                <w:color w:val="auto"/>
              </w:rPr>
            </w:pPr>
            <w:r>
              <w:rPr>
                <w:rFonts w:ascii="Arial" w:cs="Arial" w:eastAsia="Arial" w:hAnsi="Arial"/>
                <w:sz w:val="18"/>
                <w:szCs w:val="18"/>
                <w:color w:val="auto"/>
              </w:rPr>
              <w:t>3,558,313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Philosophy, Inc.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03/16/2014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Consumer Products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L+200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1,474,667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1,474,667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Questex Media Group, Inc.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05/04/2014</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Other Media</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5.81%</w:t>
            </w:r>
          </w:p>
        </w:tc>
        <w:tc>
          <w:tcPr>
            <w:tcW w:w="4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4"/>
              </w:rPr>
              <w:t>L+300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4,924,167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4,924,167</w:t>
            </w:r>
          </w:p>
        </w:tc>
        <w:tc>
          <w:tcPr>
            <w:tcW w:w="980" w:type="dxa"/>
            <w:vAlign w:val="bottom"/>
          </w:tcPr>
          <w:p>
            <w:pPr>
              <w:jc w:val="right"/>
              <w:spacing w:after="0"/>
              <w:rPr>
                <w:sz w:val="20"/>
                <w:szCs w:val="20"/>
                <w:color w:val="auto"/>
              </w:rPr>
            </w:pPr>
            <w:r>
              <w:rPr>
                <w:rFonts w:ascii="Arial" w:cs="Arial" w:eastAsia="Arial" w:hAnsi="Arial"/>
                <w:sz w:val="18"/>
                <w:szCs w:val="18"/>
                <w:color w:val="auto"/>
              </w:rPr>
              <w:t>4,825,683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Printing and</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Reader’s Digest Association, Inc.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03/02/2014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Publishing</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4.71%</w:t>
            </w: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L+200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985,000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Manufacturing /</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Rexnord , L.L.C.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07/19/2013</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Basic Industry</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5.76%</w:t>
            </w:r>
          </w:p>
        </w:tc>
        <w:tc>
          <w:tcPr>
            <w:tcW w:w="4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4"/>
              </w:rPr>
              <w:t>L+200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2,917,576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2,917,576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2,625,819</w:t>
            </w:r>
          </w:p>
        </w:tc>
        <w:tc>
          <w:tcPr>
            <w:tcW w:w="0" w:type="dxa"/>
            <w:vAlign w:val="bottom"/>
          </w:tcPr>
          <w:p>
            <w:pPr>
              <w:spacing w:after="0"/>
              <w:rPr>
                <w:sz w:val="1"/>
                <w:szCs w:val="1"/>
                <w:color w:val="auto"/>
              </w:rPr>
            </w:pPr>
          </w:p>
        </w:tc>
      </w:tr>
      <w:tr>
        <w:trPr>
          <w:trHeight w:val="21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Sitel,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01/30/2014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Business Services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L+250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2,592,017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2,592,017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Sitel, L.L.C.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01/30/2014</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Business Services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6.50%</w:t>
            </w:r>
          </w:p>
        </w:tc>
        <w:tc>
          <w:tcPr>
            <w:tcW w:w="4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P+150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90,311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90,311</w:t>
            </w:r>
          </w:p>
        </w:tc>
        <w:tc>
          <w:tcPr>
            <w:tcW w:w="980" w:type="dxa"/>
            <w:vAlign w:val="bottom"/>
          </w:tcPr>
          <w:p>
            <w:pPr>
              <w:jc w:val="right"/>
              <w:spacing w:after="0"/>
              <w:rPr>
                <w:sz w:val="20"/>
                <w:szCs w:val="20"/>
                <w:color w:val="auto"/>
              </w:rPr>
            </w:pPr>
            <w:r>
              <w:rPr>
                <w:rFonts w:ascii="Arial" w:cs="Arial" w:eastAsia="Arial" w:hAnsi="Arial"/>
                <w:sz w:val="18"/>
                <w:szCs w:val="18"/>
                <w:color w:val="auto"/>
              </w:rPr>
              <w:t>65,927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First Lien Secured Debt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106,271,980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105,222,862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Investments in Non-Controlled, Non-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ind w:left="220"/>
              <w:spacing w:after="0"/>
              <w:rPr>
                <w:sz w:val="20"/>
                <w:szCs w:val="20"/>
                <w:color w:val="auto"/>
              </w:rPr>
            </w:pPr>
            <w:r>
              <w:rPr>
                <w:rFonts w:ascii="Arial" w:cs="Arial" w:eastAsia="Arial" w:hAnsi="Arial"/>
                <w:sz w:val="18"/>
                <w:szCs w:val="18"/>
                <w:b w:val="1"/>
                <w:bCs w:val="1"/>
                <w:color w:val="auto"/>
              </w:rPr>
              <w:t>Affiliated Portfolio Companies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427,481,745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354,261,950</w:t>
            </w:r>
          </w:p>
        </w:tc>
        <w:tc>
          <w:tcPr>
            <w:tcW w:w="0" w:type="dxa"/>
            <w:vAlign w:val="bottom"/>
          </w:tcPr>
          <w:p>
            <w:pPr>
              <w:spacing w:after="0"/>
              <w:rPr>
                <w:sz w:val="1"/>
                <w:szCs w:val="1"/>
                <w:color w:val="auto"/>
              </w:rPr>
            </w:pPr>
          </w:p>
        </w:tc>
      </w:tr>
      <w:tr>
        <w:trPr>
          <w:trHeight w:val="216"/>
        </w:trPr>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6"/>
              </w:rPr>
              <w:t>Investments in Non-Controlled, Affiliated Portfolio Companies - 8.5%</w:t>
            </w:r>
            <w:r>
              <w:rPr>
                <w:rFonts w:ascii="Arial" w:cs="Arial" w:eastAsia="Arial" w:hAnsi="Arial"/>
                <w:sz w:val="11"/>
                <w:szCs w:val="11"/>
                <w:b w:val="1"/>
                <w:bCs w:val="1"/>
                <w:color w:val="auto"/>
                <w:w w:val="96"/>
              </w:rPr>
              <w:t>(1)(2)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w w:val="90"/>
              </w:rPr>
              <w:t>Subordinated Debt / Corporate Notes - 2.1%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Leisure,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Amusement, Motion</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Pictures,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07/02/2014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Entertainment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14.25%</w:t>
            </w:r>
          </w:p>
        </w:tc>
        <w:tc>
          <w:tcPr>
            <w:tcW w:w="42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rPr>
              <w:t>(6)</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4,414,356</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4,192,261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Current</w:t>
            </w:r>
          </w:p>
        </w:tc>
        <w:tc>
          <w:tcPr>
            <w:tcW w:w="6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Above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2"/>
                <w:szCs w:val="22"/>
                <w:b w:val="1"/>
                <w:bCs w:val="1"/>
                <w:color w:val="auto"/>
                <w:vertAlign w:val="superscript"/>
              </w:rPr>
              <w:t>(3)</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3200" w:type="dxa"/>
            <w:vAlign w:val="bottom"/>
            <w:gridSpan w:val="2"/>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Coupon</w:t>
            </w:r>
          </w:p>
        </w:tc>
        <w:tc>
          <w:tcPr>
            <w:tcW w:w="40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5"/>
              </w:rPr>
              <w:t>Par</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- 4.0%</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60" w:type="dxa"/>
            <w:vAlign w:val="bottom"/>
            <w:gridSpan w:val="3"/>
          </w:tcPr>
          <w:p>
            <w:pPr>
              <w:spacing w:after="0"/>
              <w:rPr>
                <w:sz w:val="20"/>
                <w:szCs w:val="20"/>
                <w:color w:val="auto"/>
              </w:rPr>
            </w:pPr>
            <w:r>
              <w:rPr>
                <w:rFonts w:ascii="Arial" w:cs="Arial" w:eastAsia="Arial" w:hAnsi="Arial"/>
                <w:sz w:val="18"/>
                <w:szCs w:val="18"/>
                <w:color w:val="auto"/>
              </w:rPr>
              <w:t>Performance, Inc.</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Leisure,</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Amusement,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Motion</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Pictures,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07/02/2013</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Entertainment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8.55%</w:t>
            </w:r>
          </w:p>
        </w:tc>
        <w:tc>
          <w:tcPr>
            <w:tcW w:w="640" w:type="dxa"/>
            <w:vAlign w:val="bottom"/>
          </w:tcPr>
          <w:p>
            <w:pPr>
              <w:jc w:val="right"/>
              <w:ind w:right="5"/>
              <w:spacing w:after="0"/>
              <w:rPr>
                <w:sz w:val="20"/>
                <w:szCs w:val="20"/>
                <w:color w:val="auto"/>
              </w:rPr>
            </w:pPr>
            <w:r>
              <w:rPr>
                <w:rFonts w:ascii="Arial" w:cs="Arial" w:eastAsia="Arial" w:hAnsi="Arial"/>
                <w:sz w:val="18"/>
                <w:szCs w:val="18"/>
                <w:color w:val="auto"/>
              </w:rPr>
              <w:t>L+575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8,347,500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2"/>
              </w:rPr>
              <w:t>Shares</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Common Equity/Partnership Interest</w:t>
            </w:r>
            <w:r>
              <w:rPr>
                <w:rFonts w:ascii="Arial" w:cs="Arial" w:eastAsia="Arial" w:hAnsi="Arial"/>
                <w:sz w:val="11"/>
                <w:szCs w:val="11"/>
                <w:b w:val="1"/>
                <w:bCs w:val="1"/>
                <w:color w:val="auto"/>
              </w:rPr>
              <w:t>(7)</w:t>
            </w:r>
            <w:r>
              <w:rPr>
                <w:rFonts w:ascii="Arial" w:cs="Arial" w:eastAsia="Arial" w:hAnsi="Arial"/>
                <w:sz w:val="18"/>
                <w:szCs w:val="18"/>
                <w:b w:val="1"/>
                <w:bCs w:val="1"/>
                <w:color w:val="auto"/>
              </w:rPr>
              <w:t xml:space="preserve"> - 2.4%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60" w:type="dxa"/>
            <w:vAlign w:val="bottom"/>
            <w:gridSpan w:val="3"/>
          </w:tcPr>
          <w:p>
            <w:pPr>
              <w:spacing w:after="0"/>
              <w:rPr>
                <w:sz w:val="20"/>
                <w:szCs w:val="20"/>
                <w:color w:val="auto"/>
              </w:rPr>
            </w:pPr>
            <w:r>
              <w:rPr>
                <w:rFonts w:ascii="Arial" w:cs="Arial" w:eastAsia="Arial" w:hAnsi="Arial"/>
                <w:sz w:val="18"/>
                <w:szCs w:val="18"/>
                <w:color w:val="auto"/>
              </w:rPr>
              <w:t>NCP-Performance (Performance Holdings, Inc.)</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Leisure,</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Amusement,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Motion</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Pictures,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Entertainment</w:t>
            </w:r>
          </w:p>
        </w:tc>
        <w:tc>
          <w:tcPr>
            <w:tcW w:w="200" w:type="dxa"/>
            <w:vAlign w:val="bottom"/>
          </w:tcPr>
          <w:p>
            <w:pPr>
              <w:spacing w:after="0"/>
              <w:rPr>
                <w:sz w:val="20"/>
                <w:szCs w:val="20"/>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Investments in Non-Controlled, Affiliated</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Portfolio Companies</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16,692,261</w:t>
            </w: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17,885,870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 – 176.6%</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444,174,006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372,147,820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restart"/>
          </w:tcPr>
          <w:p>
            <w:pPr>
              <w:jc w:val="center"/>
              <w:ind w:right="1"/>
              <w:spacing w:after="0"/>
              <w:rPr>
                <w:sz w:val="20"/>
                <w:szCs w:val="20"/>
                <w:color w:val="auto"/>
              </w:rPr>
            </w:pPr>
            <w:r>
              <w:rPr>
                <w:rFonts w:ascii="Arial" w:cs="Arial" w:eastAsia="Arial" w:hAnsi="Arial"/>
                <w:sz w:val="13"/>
                <w:szCs w:val="13"/>
                <w:b w:val="1"/>
                <w:bCs w:val="1"/>
                <w:color w:val="auto"/>
                <w:w w:val="95"/>
              </w:rPr>
              <w:t>Par</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 - 19.1%</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3"/>
          </w:tcPr>
          <w:p>
            <w:pPr>
              <w:spacing w:after="0"/>
              <w:rPr>
                <w:sz w:val="20"/>
                <w:szCs w:val="20"/>
                <w:color w:val="auto"/>
              </w:rPr>
            </w:pPr>
            <w:r>
              <w:rPr>
                <w:rFonts w:ascii="Arial" w:cs="Arial" w:eastAsia="Arial" w:hAnsi="Arial"/>
                <w:sz w:val="18"/>
                <w:szCs w:val="18"/>
                <w:color w:val="auto"/>
              </w:rPr>
              <w:t>Money Market - Mutual Funds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40,249,201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40,249,201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40,249,201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Cash Equivalents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40,249,201</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40,249,201</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w w:val="92"/>
              </w:rPr>
              <w:t>Total Investments and Cash Equivalents – 195.7%</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484,423,207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412,397,021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in Excess of Other Assets - (95.7%)</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(201,668,761)</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Assets - 100.0%</w:t>
            </w: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210,728,260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Investment Company Act of 1940 (the “1940 Act”) “non-controlled” means we own less than 25% of a portfolio company’s voting securities.</w:t>
      </w:r>
    </w:p>
    <w:p>
      <w:pPr>
        <w:spacing w:after="0" w:line="50" w:lineRule="exact"/>
        <w:rPr>
          <w:rFonts w:ascii="Arial" w:cs="Arial" w:eastAsia="Arial" w:hAnsi="Arial"/>
          <w:sz w:val="18"/>
          <w:szCs w:val="18"/>
          <w:color w:val="auto"/>
        </w:rPr>
      </w:pPr>
    </w:p>
    <w:p>
      <w:pPr>
        <w:ind w:left="460" w:right="420" w:hanging="452"/>
        <w:spacing w:after="0" w:line="33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 or Prime Rate (Prime or “P”).</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Coupon payable in cash and/or payment-in-kind (“PIK”).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LIBOR floor applies.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PennantPark Investment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w:t>
      </w:r>
    </w:p>
    <w:p>
      <w:pPr>
        <w:spacing w:after="0" w:line="140"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PennantPark Investment Advisers, LLC (the “Investment Adviser” or “PennantPark Investment Advisers”)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by and among the Company and the underwriters, and elected to purchase 625,000 shares of common stock at a price of $15.00 per share, resulting in net proceeds of $8.8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360" w:firstLine="449"/>
        <w:spacing w:after="0" w:line="256" w:lineRule="auto"/>
        <w:rPr>
          <w:sz w:val="20"/>
          <w:szCs w:val="20"/>
          <w:color w:val="auto"/>
        </w:rPr>
      </w:pPr>
      <w:r>
        <w:rPr>
          <w:rFonts w:ascii="Arial" w:cs="Arial" w:eastAsia="Arial" w:hAnsi="Arial"/>
          <w:sz w:val="18"/>
          <w:szCs w:val="18"/>
          <w:color w:val="auto"/>
        </w:rPr>
        <w:t>The accompanying financial statements are prepared in accordance with accounting principles generally accepted in the United States of America (“GAAP”). In the opinion of management, all adjustments, consisting solely of normal recurring accruals, considered necessary for the fair presentation of financial statements for the interim periods, have been included. The results of operations for interim periods are not necessarily indicative of results to be expected for the full year.</w:t>
      </w:r>
    </w:p>
    <w:p>
      <w:pPr>
        <w:spacing w:after="0" w:line="143"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Certain financial information normally included in annual financial statements, including certain financial statement footnotes, prepared in accordance with GAAP, is not required for interim reporting purposes and has been condensed or omitted herein. These financial statements should be read in conjunction with the Company’s financial statements and notes related thereto included in the Company’s Annual Report on Form 10-K for the year ended September 30, 2008, which was filed with the SEC on November 20, 2008.</w:t>
      </w:r>
    </w:p>
    <w:p>
      <w:pPr>
        <w:spacing w:after="0" w:line="143" w:lineRule="exact"/>
        <w:rPr>
          <w:sz w:val="20"/>
          <w:szCs w:val="20"/>
          <w:color w:val="auto"/>
        </w:rPr>
      </w:pPr>
    </w:p>
    <w:p>
      <w:pPr>
        <w:ind w:right="80" w:firstLine="449"/>
        <w:spacing w:after="0" w:line="335"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 of assets and liabilities at the date of the financial statements and the reported amounts of income and expenses during the reported period. Changes in the economic environment, financial markets and any other parameters used in determining these estimates could cause actual results to differ materially.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80" w:hanging="447"/>
        <w:spacing w:after="0" w:line="28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expect that there will not be readily available market values for most of the investments which are or will be in our portfolio, and we value such investments at fair value as determined in good faith by or under the direction of our board of directors using a documented valuation policy, described further below,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900" w:right="180"/>
        <w:spacing w:after="0" w:line="306" w:lineRule="auto"/>
        <w:rPr>
          <w:sz w:val="20"/>
          <w:szCs w:val="20"/>
          <w:color w:val="auto"/>
        </w:rPr>
      </w:pPr>
      <w:r>
        <w:rPr>
          <w:rFonts w:ascii="Arial" w:cs="Arial" w:eastAsia="Arial" w:hAnsi="Arial"/>
          <w:sz w:val="16"/>
          <w:szCs w:val="16"/>
          <w:color w:val="auto"/>
        </w:rPr>
        <w:t>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these differences could be material.</w:t>
      </w:r>
    </w:p>
    <w:p>
      <w:pPr>
        <w:spacing w:after="0" w:line="39" w:lineRule="exact"/>
        <w:rPr>
          <w:sz w:val="20"/>
          <w:szCs w:val="20"/>
          <w:color w:val="auto"/>
        </w:rPr>
      </w:pPr>
    </w:p>
    <w:p>
      <w:pPr>
        <w:jc w:val="both"/>
        <w:ind w:left="900" w:right="60"/>
        <w:spacing w:after="0" w:line="356" w:lineRule="auto"/>
        <w:rPr>
          <w:sz w:val="20"/>
          <w:szCs w:val="20"/>
          <w:color w:val="auto"/>
        </w:rPr>
      </w:pPr>
      <w:r>
        <w:rPr>
          <w:rFonts w:ascii="Arial" w:cs="Arial" w:eastAsia="Arial" w:hAnsi="Arial"/>
          <w:sz w:val="15"/>
          <w:szCs w:val="15"/>
          <w:color w:val="auto"/>
        </w:rPr>
        <w:t>With respect to investments for which market quotations are not readily available or are readily available but are deemed by our board of directors not reflective of the fair value of an investment, our board of directors undertakes a multi-step valuation process each quarter, as described below:</w:t>
      </w:r>
    </w:p>
    <w:p>
      <w:pPr>
        <w:spacing w:after="0" w:line="1" w:lineRule="exact"/>
        <w:rPr>
          <w:sz w:val="20"/>
          <w:szCs w:val="20"/>
          <w:color w:val="auto"/>
        </w:rPr>
      </w:pPr>
    </w:p>
    <w:p>
      <w:pPr>
        <w:ind w:left="1460" w:hanging="561"/>
        <w:spacing w:after="0" w:line="268"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200" w:hanging="561"/>
        <w:spacing w:after="0" w:line="298"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60" w:right="40" w:hanging="561"/>
        <w:spacing w:after="0" w:line="259"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right="180" w:hanging="561"/>
        <w:spacing w:after="0" w:line="331"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6" w:lineRule="exact"/>
        <w:rPr>
          <w:sz w:val="20"/>
          <w:szCs w:val="20"/>
          <w:color w:val="auto"/>
        </w:rPr>
      </w:pPr>
    </w:p>
    <w:p>
      <w:pPr>
        <w:ind w:left="900" w:right="120"/>
        <w:spacing w:after="0" w:line="306" w:lineRule="auto"/>
        <w:rPr>
          <w:sz w:val="20"/>
          <w:szCs w:val="20"/>
          <w:color w:val="auto"/>
        </w:rPr>
      </w:pPr>
      <w:r>
        <w:rPr>
          <w:rFonts w:ascii="Arial" w:cs="Arial" w:eastAsia="Arial" w:hAnsi="Arial"/>
          <w:sz w:val="16"/>
          <w:szCs w:val="16"/>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5" w:lineRule="exact"/>
        <w:rPr>
          <w:sz w:val="20"/>
          <w:szCs w:val="20"/>
          <w:color w:val="auto"/>
        </w:rPr>
      </w:pPr>
    </w:p>
    <w:p>
      <w:pPr>
        <w:ind w:left="900" w:right="600" w:hanging="447"/>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of sufficient credit quality, purchased within 60 days of maturity are valued at cost plus accreted discount, or minus amortized premium, which approximates value.</w:t>
      </w:r>
    </w:p>
    <w:p>
      <w:pPr>
        <w:spacing w:after="0" w:line="50" w:lineRule="exact"/>
        <w:rPr>
          <w:rFonts w:ascii="Arial" w:cs="Arial" w:eastAsia="Arial" w:hAnsi="Arial"/>
          <w:sz w:val="18"/>
          <w:szCs w:val="18"/>
          <w:color w:val="auto"/>
        </w:rPr>
      </w:pPr>
    </w:p>
    <w:p>
      <w:pPr>
        <w:ind w:left="900" w:right="360" w:hanging="447"/>
        <w:spacing w:after="0" w:line="29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(as defined below) payable values during the reporting period, including any reversal of previously recorded unrealized appreciation or depreciation, when gains or losses are realized.</w:t>
      </w:r>
    </w:p>
    <w:p>
      <w:pPr>
        <w:spacing w:after="0" w:line="34" w:lineRule="exact"/>
        <w:rPr>
          <w:rFonts w:ascii="Arial" w:cs="Arial" w:eastAsia="Arial" w:hAnsi="Arial"/>
          <w:sz w:val="16"/>
          <w:szCs w:val="16"/>
          <w:color w:val="auto"/>
        </w:rPr>
      </w:pPr>
    </w:p>
    <w:p>
      <w:pPr>
        <w:ind w:left="900" w:right="60" w:hanging="447"/>
        <w:spacing w:after="0" w:line="290"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amounts.</w:t>
      </w:r>
    </w:p>
    <w:p>
      <w:pPr>
        <w:spacing w:after="0" w:line="36" w:lineRule="exact"/>
        <w:rPr>
          <w:rFonts w:ascii="Arial" w:cs="Arial" w:eastAsia="Arial" w:hAnsi="Arial"/>
          <w:sz w:val="16"/>
          <w:szCs w:val="16"/>
          <w:color w:val="auto"/>
        </w:rPr>
      </w:pPr>
    </w:p>
    <w:p>
      <w:pPr>
        <w:ind w:left="900" w:right="60" w:hanging="447"/>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Under this method, income taxes were provided for amounts currently payable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120"/>
        <w:spacing w:after="0" w:line="288" w:lineRule="auto"/>
        <w:rPr>
          <w:sz w:val="20"/>
          <w:szCs w:val="20"/>
          <w:color w:val="auto"/>
        </w:rPr>
      </w:pPr>
      <w:r>
        <w:rPr>
          <w:rFonts w:ascii="Arial" w:cs="Arial" w:eastAsia="Arial" w:hAnsi="Arial"/>
          <w:sz w:val="16"/>
          <w:szCs w:val="16"/>
          <w:color w:val="auto"/>
        </w:rPr>
        <w:t>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2008. Although we file federal and state tax returns, our major tax jurisdiction is federal. Our 2008 and 2007 federal tax years remain subject to examination by the Internal Revenue Service.</w:t>
      </w:r>
    </w:p>
    <w:p>
      <w:pPr>
        <w:spacing w:after="0" w:line="56" w:lineRule="exact"/>
        <w:rPr>
          <w:sz w:val="20"/>
          <w:szCs w:val="20"/>
          <w:color w:val="auto"/>
        </w:rPr>
      </w:pPr>
    </w:p>
    <w:p>
      <w:pPr>
        <w:ind w:left="900" w:right="20" w:hanging="447"/>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8" w:lineRule="exact"/>
        <w:rPr>
          <w:rFonts w:ascii="Arial" w:cs="Arial" w:eastAsia="Arial" w:hAnsi="Arial"/>
          <w:sz w:val="18"/>
          <w:szCs w:val="18"/>
          <w:color w:val="auto"/>
        </w:rPr>
      </w:pPr>
    </w:p>
    <w:p>
      <w:pPr>
        <w:ind w:left="900" w:right="200" w:hanging="447"/>
        <w:spacing w:after="0" w:line="323"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6" w:lineRule="exact"/>
        <w:rPr>
          <w:rFonts w:ascii="Arial" w:cs="Arial" w:eastAsia="Arial" w:hAnsi="Arial"/>
          <w:sz w:val="15"/>
          <w:szCs w:val="15"/>
          <w:color w:val="auto"/>
        </w:rPr>
      </w:pPr>
    </w:p>
    <w:p>
      <w:pPr>
        <w:ind w:left="900" w:hanging="447"/>
        <w:spacing w:after="0" w:line="25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September 2006, the Financial Accounting Standards Board issued Statement of Financial Accounting Standards (“SFAS”)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(“SFAS 157”), which clarifies the definition of fair value and requires companies to expand their disclosure about the use of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65" w:lineRule="exact"/>
        <w:rPr>
          <w:rFonts w:ascii="Arial" w:cs="Arial" w:eastAsia="Arial" w:hAnsi="Arial"/>
          <w:sz w:val="18"/>
          <w:szCs w:val="18"/>
          <w:color w:val="auto"/>
        </w:rPr>
      </w:pPr>
    </w:p>
    <w:p>
      <w:pPr>
        <w:ind w:left="900" w:hanging="447"/>
        <w:spacing w:after="0" w:line="28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115 </w:t>
      </w:r>
      <w:r>
        <w:rPr>
          <w:rFonts w:ascii="Arial" w:cs="Arial" w:eastAsia="Arial" w:hAnsi="Arial"/>
          <w:sz w:val="16"/>
          <w:szCs w:val="16"/>
          <w:color w:val="auto"/>
        </w:rPr>
        <w:t>(“SFAS 159”). This statement permits an entity to elect to measure many financial instruments and certain other items at fair value. This</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of SFAS 159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w:t>
      </w:r>
    </w:p>
    <w:p>
      <w:pPr>
        <w:spacing w:after="0" w:line="45" w:lineRule="exact"/>
        <w:rPr>
          <w:rFonts w:ascii="Arial" w:cs="Arial" w:eastAsia="Arial" w:hAnsi="Arial"/>
          <w:sz w:val="16"/>
          <w:szCs w:val="16"/>
          <w:color w:val="auto"/>
        </w:rPr>
      </w:pPr>
    </w:p>
    <w:p>
      <w:pPr>
        <w:ind w:left="900" w:right="20" w:hanging="447"/>
        <w:spacing w:after="0" w:line="28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Liability Have Significantly Decreased and Identifying Transactions That Are Not Orderly </w:t>
      </w:r>
      <w:r>
        <w:rPr>
          <w:rFonts w:ascii="Arial" w:cs="Arial" w:eastAsia="Arial" w:hAnsi="Arial"/>
          <w:sz w:val="16"/>
          <w:szCs w:val="16"/>
          <w:color w:val="auto"/>
        </w:rPr>
        <w:t>(“FSP 157-4”), which provides further clarification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of SFAS 157 in markets that are not active. Previously issued FASB Staff Position No. 157-3, Determining Fair Value of a Financial Asset When the Market for That Asset Is Not Active, has been superseded by FSP157-4. FSP 157-4 provides additional guidance for determining when the volume and trading level of activity for an asset or liability has significantly decreased and for identifying circumstances that indicate a transaction is not orderly. FSP 157-4 is effective for interim and annual reporting periods ending after June 15, 2009. We adopted the provisions of FSP 157-4 for the quarter ending June 30, 2009 and the adoption of the provisions of FSP 157-4 did not have a material effect on the Company’s financial statements.</w:t>
      </w:r>
    </w:p>
    <w:p>
      <w:pPr>
        <w:spacing w:after="0" w:line="42" w:lineRule="exact"/>
        <w:rPr>
          <w:rFonts w:ascii="Arial" w:cs="Arial" w:eastAsia="Arial" w:hAnsi="Arial"/>
          <w:sz w:val="16"/>
          <w:szCs w:val="16"/>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jc w:val="both"/>
        <w:ind w:right="40" w:firstLine="449"/>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which commenced on April 17, 2009.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8).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equaled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and nine month periods ended June 30, 2009, the Investment Adviser earned a base management fee of $1.9 million and $5.5 million, respectively, from the Company. For the three and nine month periods ended June 30, 2008 the Investment Adviser received a net base management fee of $1.8 million and $4.8 million, respectively, from the Company.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described below,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pay-in-kind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23" w:lineRule="exact"/>
        <w:rPr>
          <w:sz w:val="20"/>
          <w:szCs w:val="20"/>
          <w:color w:val="auto"/>
        </w:rPr>
      </w:pPr>
    </w:p>
    <w:p>
      <w:pPr>
        <w:ind w:right="40" w:firstLine="457"/>
        <w:spacing w:after="0" w:line="294"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5"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March 31, 2008,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nine month periods ended June 30, 2009,</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60"/>
        <w:spacing w:after="0" w:line="331" w:lineRule="auto"/>
        <w:rPr>
          <w:sz w:val="20"/>
          <w:szCs w:val="20"/>
          <w:color w:val="auto"/>
        </w:rPr>
      </w:pPr>
      <w:r>
        <w:rPr>
          <w:rFonts w:ascii="Arial" w:cs="Arial" w:eastAsia="Arial" w:hAnsi="Arial"/>
          <w:sz w:val="16"/>
          <w:szCs w:val="16"/>
          <w:color w:val="auto"/>
        </w:rPr>
        <w:t>the Investment Adviser earned an incentive fee of $1.4 million and $4.2 million, respectively, from the Company. For the three and nine month periods ended June 30, 2008, the Investment Adviser received an incentive fee of $1.0 million and $2.4 million, respectively, from the Company.</w:t>
      </w:r>
    </w:p>
    <w:p>
      <w:pPr>
        <w:spacing w:after="0" w:line="87"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commenced on April 17, 2009,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w:t>
      </w:r>
    </w:p>
    <w:p>
      <w:pPr>
        <w:spacing w:after="0" w:line="124" w:lineRule="exact"/>
        <w:rPr>
          <w:sz w:val="20"/>
          <w:szCs w:val="20"/>
          <w:color w:val="auto"/>
        </w:rPr>
      </w:pPr>
    </w:p>
    <w:p>
      <w:pPr>
        <w:ind w:right="220" w:firstLine="449"/>
        <w:spacing w:after="0" w:line="335" w:lineRule="auto"/>
        <w:rPr>
          <w:sz w:val="20"/>
          <w:szCs w:val="20"/>
          <w:color w:val="auto"/>
        </w:rPr>
      </w:pPr>
      <w:r>
        <w:rPr>
          <w:rFonts w:ascii="Arial" w:cs="Arial" w:eastAsia="Arial" w:hAnsi="Arial"/>
          <w:sz w:val="15"/>
          <w:szCs w:val="15"/>
          <w:color w:val="auto"/>
        </w:rPr>
        <w:t>For the three and nine month periods ended June 30, 2009, the Investment Adviser and the Administrator were reimbursed approximately $0.3 million and $1.4 million, respectively, from the Company for services described above. For the three and nine month periods ended June 30, 2008 the Investment Adviser and the Administrator were reimbursed approximately $0.5 million and $1.6 million, respectively, from the Company for services described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ASSET VALUE PER SHARE</w:t>
      </w:r>
    </w:p>
    <w:p>
      <w:pPr>
        <w:spacing w:after="0" w:line="96" w:lineRule="exact"/>
        <w:rPr>
          <w:sz w:val="20"/>
          <w:szCs w:val="20"/>
          <w:color w:val="auto"/>
        </w:rPr>
      </w:pPr>
    </w:p>
    <w:p>
      <w:pPr>
        <w:ind w:right="1000" w:firstLine="449"/>
        <w:spacing w:after="0" w:line="331" w:lineRule="auto"/>
        <w:rPr>
          <w:sz w:val="20"/>
          <w:szCs w:val="20"/>
          <w:color w:val="auto"/>
        </w:rPr>
      </w:pPr>
      <w:r>
        <w:rPr>
          <w:rFonts w:ascii="Arial" w:cs="Arial" w:eastAsia="Arial" w:hAnsi="Arial"/>
          <w:sz w:val="16"/>
          <w:szCs w:val="16"/>
          <w:color w:val="auto"/>
        </w:rPr>
        <w:t>On June 30, 2009, PennantPark Investment’s total net assets and net asset value per share were $247.0 million and $11.72, respectively. On September 30, 2008, PennantPark Investment’s total net assets and net asset value per share were $210.7 million and $10.00,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CHANGE IN NET ASSETS PER COMMON SHARE FROM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ind w:left="42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Nine months ended</w:t>
            </w:r>
          </w:p>
        </w:tc>
      </w:tr>
      <w:tr>
        <w:trPr>
          <w:trHeight w:val="142"/>
        </w:trPr>
        <w:tc>
          <w:tcPr>
            <w:tcW w:w="5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6"/>
              </w:rPr>
              <w:t>June 30, 2009</w:t>
            </w: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6"/>
              </w:rPr>
              <w:t>June 30, 2008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6"/>
              </w:rPr>
              <w:t>June 30, 2009</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June 30, 2008</w:t>
            </w:r>
          </w:p>
        </w:tc>
        <w:tc>
          <w:tcPr>
            <w:tcW w:w="10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6"/>
              </w:rPr>
              <w:t>Numerator for net increase (decrease) in net assets resulting from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(819,771)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15,204,464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9,622,495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(29,660,865)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21,068,772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21,068,772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21,068,772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21,068,772</w:t>
            </w:r>
          </w:p>
        </w:tc>
      </w:tr>
      <w:tr>
        <w:trPr>
          <w:trHeight w:val="20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4"/>
              </w:rPr>
              <w:t>Basic and diluted net increase (decrease) in net assets per share resulting from</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Purchases of long-term investments and PIK for the three and nine months ended June 30, 2009 totaled $33.4 million and $50.5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Sales and repayments of long-term investments for the three and nine months ended June 30, 2009 totaled $7.3 million and $12.9 million,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3"/>
                <w:szCs w:val="13"/>
                <w:b w:val="1"/>
                <w:bCs w:val="1"/>
                <w:color w:val="auto"/>
              </w:rPr>
              <w:t>June 30, 2009</w:t>
            </w:r>
          </w:p>
        </w:tc>
        <w:tc>
          <w:tcPr>
            <w:tcW w:w="100" w:type="dxa"/>
            <w:vAlign w:val="bottom"/>
          </w:tcPr>
          <w:p>
            <w:pPr>
              <w:spacing w:after="0"/>
              <w:rPr>
                <w:sz w:val="14"/>
                <w:szCs w:val="14"/>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September 30, 2008</w:t>
            </w:r>
          </w:p>
        </w:tc>
      </w:tr>
      <w:tr>
        <w:trPr>
          <w:trHeight w:val="142"/>
        </w:trPr>
        <w:tc>
          <w:tcPr>
            <w:tcW w:w="11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0"/>
                <w:szCs w:val="10"/>
                <w:b w:val="1"/>
                <w:bCs w:val="1"/>
                <w:color w:val="auto"/>
              </w:rPr>
              <w:t>Cost</w:t>
            </w:r>
            <w:r>
              <w:rPr>
                <w:rFonts w:ascii="Arial" w:cs="Arial" w:eastAsia="Arial" w:hAnsi="Arial"/>
                <w:sz w:val="16"/>
                <w:szCs w:val="16"/>
                <w:b w:val="1"/>
                <w:bCs w:val="1"/>
                <w:color w:val="auto"/>
                <w:vertAlign w:val="superscript"/>
              </w:rPr>
              <w:t>(1)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46"/>
              <w:spacing w:after="0" w:line="142" w:lineRule="exact"/>
              <w:rPr>
                <w:sz w:val="20"/>
                <w:szCs w:val="20"/>
                <w:color w:val="auto"/>
              </w:rPr>
            </w:pPr>
            <w:r>
              <w:rPr>
                <w:rFonts w:ascii="Arial" w:cs="Arial" w:eastAsia="Arial" w:hAnsi="Arial"/>
                <w:sz w:val="10"/>
                <w:szCs w:val="10"/>
                <w:b w:val="1"/>
                <w:bCs w:val="1"/>
                <w:color w:val="auto"/>
              </w:rPr>
              <w:t>Cost</w:t>
            </w:r>
            <w:r>
              <w:rPr>
                <w:rFonts w:ascii="Arial" w:cs="Arial" w:eastAsia="Arial" w:hAnsi="Arial"/>
                <w:sz w:val="16"/>
                <w:szCs w:val="16"/>
                <w:b w:val="1"/>
                <w:bCs w:val="1"/>
                <w:color w:val="auto"/>
                <w:vertAlign w:val="superscript"/>
              </w:rPr>
              <w:t>(1)</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2"/>
                <w:szCs w:val="12"/>
                <w:color w:val="auto"/>
              </w:rPr>
            </w:pPr>
          </w:p>
        </w:tc>
      </w:tr>
      <w:tr>
        <w:trPr>
          <w:trHeight w:val="210"/>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$ 114,999,131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98,832,723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$ 105,222,862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78,844,929</w:t>
            </w:r>
          </w:p>
        </w:tc>
        <w:tc>
          <w:tcPr>
            <w:tcW w:w="20" w:type="dxa"/>
            <w:vAlign w:val="bottom"/>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141,753,215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111,218,950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132,155,221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104,242,000</w:t>
            </w:r>
          </w:p>
        </w:tc>
        <w:tc>
          <w:tcPr>
            <w:tcW w:w="2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174,318,523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156,034,050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187,087,744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166,173,175</w:t>
            </w:r>
          </w:p>
        </w:tc>
        <w:tc>
          <w:tcPr>
            <w:tcW w:w="20" w:type="dxa"/>
            <w:vAlign w:val="bottom"/>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1020" w:type="dxa"/>
            <w:vAlign w:val="bottom"/>
          </w:tcPr>
          <w:p>
            <w:pPr>
              <w:jc w:val="right"/>
              <w:spacing w:after="0"/>
              <w:rPr>
                <w:sz w:val="20"/>
                <w:szCs w:val="20"/>
                <w:color w:val="auto"/>
              </w:rPr>
            </w:pPr>
            <w:r>
              <w:rPr>
                <w:rFonts w:ascii="Arial" w:cs="Arial" w:eastAsia="Arial" w:hAnsi="Arial"/>
                <w:sz w:val="18"/>
                <w:szCs w:val="18"/>
                <w:color w:val="auto"/>
              </w:rPr>
              <w:t>9,573,076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10,259,189</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9,298,819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12,198,272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16,793,319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13,588,897</w:t>
            </w:r>
          </w:p>
        </w:tc>
        <w:tc>
          <w:tcPr>
            <w:tcW w:w="20" w:type="dxa"/>
            <w:vAlign w:val="bottom"/>
          </w:tcPr>
          <w:p>
            <w:pPr>
              <w:spacing w:after="0"/>
              <w:rPr>
                <w:sz w:val="18"/>
                <w:szCs w:val="18"/>
                <w:color w:val="auto"/>
              </w:rPr>
            </w:pPr>
          </w:p>
        </w:tc>
      </w:tr>
      <w:tr>
        <w:trPr>
          <w:trHeight w:val="221"/>
        </w:trPr>
        <w:tc>
          <w:tcPr>
            <w:tcW w:w="65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452,842,217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393,138,231</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444,174,006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372,147,820</w:t>
            </w:r>
          </w:p>
        </w:tc>
      </w:tr>
      <w:tr>
        <w:trPr>
          <w:trHeight w:val="218"/>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40,249,201</w:t>
            </w:r>
          </w:p>
        </w:tc>
        <w:tc>
          <w:tcPr>
            <w:tcW w:w="20" w:type="dxa"/>
            <w:vAlign w:val="bottom"/>
          </w:tcPr>
          <w:p>
            <w:pPr>
              <w:spacing w:after="0"/>
              <w:rPr>
                <w:sz w:val="18"/>
                <w:szCs w:val="18"/>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$ 453,383,353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393,679,367</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5"/>
              </w:rPr>
              <w:t>$ 484,423,207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412,397,021</w:t>
            </w:r>
          </w:p>
        </w:tc>
      </w:tr>
      <w:tr>
        <w:trPr>
          <w:trHeight w:val="20"/>
        </w:trPr>
        <w:tc>
          <w:tcPr>
            <w:tcW w:w="11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2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5540" w:right="3020" w:hanging="5532"/>
        <w:spacing w:after="0" w:line="440" w:lineRule="auto"/>
        <w:tabs>
          <w:tab w:leader="none" w:pos="4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Original cost adjusted for the accretion of discounts and amortization of premiums on debt investments, if any. 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June 30, 2009 and September 30, 2008.</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26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June 30,</w:t>
            </w:r>
          </w:p>
        </w:tc>
        <w:tc>
          <w:tcPr>
            <w:tcW w:w="14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61"/>
        </w:trPr>
        <w:tc>
          <w:tcPr>
            <w:tcW w:w="6620" w:type="dxa"/>
            <w:vAlign w:val="bottom"/>
            <w:gridSpan w:val="3"/>
          </w:tcPr>
          <w:p>
            <w:pPr>
              <w:spacing w:after="0"/>
              <w:rPr>
                <w:sz w:val="20"/>
                <w:szCs w:val="20"/>
                <w:color w:val="auto"/>
              </w:rPr>
            </w:pPr>
            <w:r>
              <w:rPr>
                <w:rFonts w:ascii="Arial" w:cs="Arial" w:eastAsia="Arial" w:hAnsi="Arial"/>
                <w:sz w:val="13"/>
                <w:szCs w:val="13"/>
                <w:b w:val="1"/>
                <w:bCs w:val="1"/>
                <w:color w:val="auto"/>
              </w:rPr>
              <w:t>Industry Classification</w:t>
            </w:r>
          </w:p>
        </w:tc>
        <w:tc>
          <w:tcPr>
            <w:tcW w:w="1720" w:type="dxa"/>
            <w:vAlign w:val="bottom"/>
            <w:gridSpan w:val="2"/>
          </w:tcPr>
          <w:p>
            <w:pPr>
              <w:jc w:val="right"/>
              <w:ind w:right="32"/>
              <w:spacing w:after="0"/>
              <w:rPr>
                <w:sz w:val="20"/>
                <w:szCs w:val="20"/>
                <w:color w:val="auto"/>
              </w:rPr>
            </w:pPr>
            <w:r>
              <w:rPr>
                <w:rFonts w:ascii="Arial" w:cs="Arial" w:eastAsia="Arial" w:hAnsi="Arial"/>
                <w:sz w:val="13"/>
                <w:szCs w:val="13"/>
                <w:b w:val="1"/>
                <w:bCs w:val="1"/>
                <w:color w:val="auto"/>
              </w:rPr>
              <w:t>2009</w:t>
            </w:r>
          </w:p>
        </w:tc>
        <w:tc>
          <w:tcPr>
            <w:tcW w:w="540" w:type="dxa"/>
            <w:vAlign w:val="bottom"/>
          </w:tcPr>
          <w:p>
            <w:pPr>
              <w:spacing w:after="0"/>
              <w:rPr>
                <w:sz w:val="14"/>
                <w:szCs w:val="14"/>
                <w:color w:val="auto"/>
              </w:rPr>
            </w:pPr>
          </w:p>
        </w:tc>
        <w:tc>
          <w:tcPr>
            <w:tcW w:w="1260" w:type="dxa"/>
            <w:vAlign w:val="bottom"/>
            <w:gridSpan w:val="2"/>
          </w:tcPr>
          <w:p>
            <w:pPr>
              <w:jc w:val="right"/>
              <w:ind w:right="212"/>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2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96"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Effective October 1, 2008, the Company adopted SFAS 157 for cash and cash equivalents, investments and long term credit facility. The Company realized no gain or loss as a result of the adoption of SFAS No. 157. SFAS 157 defines fair value as the price that the Company would receive upon selling an investment or pay to transfer a liability in an orderly transaction to a market participant in the principal or most advantageous market for the investment or liability. SFAS 157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that are quoted prices (unadjusted) in active markets for identical assets or liabilities, accessible by the Company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the Company’s own assumptions about how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price the asset or liability.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32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760" w:firstLine="449"/>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All of the Company’s investments and long term credit facility are classified as Level 3.</w:t>
      </w:r>
    </w:p>
    <w:p>
      <w:pPr>
        <w:spacing w:after="0" w:line="132"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addition to using the above inputs in cash and cash equivalents, investments and long term credit facility valuations, the Company employs the valuation policy approved by its board of directors that is consistent with SFAS 157 (see Note 2). Consistent with this valuation policy, the Company evaluates the source of inputs, including any markets in which its investments are trading, in determining fair value.</w:t>
      </w:r>
    </w:p>
    <w:p>
      <w:pPr>
        <w:spacing w:after="0" w:line="14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FSP No. 157-4 made amendments to SFAS No. 157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financial statements.</w:t>
      </w:r>
    </w:p>
    <w:p>
      <w:pPr>
        <w:spacing w:after="0" w:line="119"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color w:val="auto"/>
        </w:rPr>
        <w:t>The Company’s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2009, our cash and cash equivalents, investments and our long term credit facility were categorized as follows in the fair value hierarchy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SFAS No. 157 purposes: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20" w:type="dxa"/>
            <w:vAlign w:val="bottom"/>
            <w:gridSpan w:val="6"/>
          </w:tcPr>
          <w:p>
            <w:pPr>
              <w:ind w:left="800"/>
              <w:spacing w:after="0"/>
              <w:rPr>
                <w:sz w:val="20"/>
                <w:szCs w:val="20"/>
                <w:color w:val="auto"/>
              </w:rPr>
            </w:pPr>
            <w:r>
              <w:rPr>
                <w:rFonts w:ascii="Arial" w:cs="Arial" w:eastAsia="Arial" w:hAnsi="Arial"/>
                <w:sz w:val="13"/>
                <w:szCs w:val="13"/>
                <w:b w:val="1"/>
                <w:bCs w:val="1"/>
                <w:color w:val="auto"/>
              </w:rPr>
              <w:t>Fair Value Measurement Using:</w:t>
            </w:r>
          </w:p>
        </w:tc>
      </w:tr>
      <w:tr>
        <w:trPr>
          <w:trHeight w:val="129"/>
        </w:trPr>
        <w:tc>
          <w:tcPr>
            <w:tcW w:w="7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0"/>
              </w:rPr>
              <w:t>Quoted Prices</w:t>
            </w: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3"/>
              </w:rPr>
              <w:t>Significant</w:t>
            </w:r>
          </w:p>
        </w:tc>
        <w:tc>
          <w:tcPr>
            <w:tcW w:w="4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in Active</w:t>
            </w:r>
          </w:p>
        </w:tc>
        <w:tc>
          <w:tcPr>
            <w:tcW w:w="3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Significant</w:t>
            </w:r>
          </w:p>
        </w:tc>
      </w:tr>
      <w:tr>
        <w:trPr>
          <w:trHeight w:val="148"/>
        </w:trPr>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Markets for</w:t>
            </w:r>
          </w:p>
        </w:tc>
        <w:tc>
          <w:tcPr>
            <w:tcW w:w="3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3"/>
              </w:rPr>
              <w:t>Observable</w:t>
            </w:r>
          </w:p>
        </w:tc>
        <w:tc>
          <w:tcPr>
            <w:tcW w:w="4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Unobservable</w:t>
            </w:r>
          </w:p>
        </w:tc>
      </w:tr>
      <w:tr>
        <w:trPr>
          <w:trHeight w:val="148"/>
        </w:trPr>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Identical Assets</w:t>
            </w:r>
          </w:p>
        </w:tc>
        <w:tc>
          <w:tcPr>
            <w:tcW w:w="3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inputs</w:t>
            </w:r>
          </w:p>
        </w:tc>
        <w:tc>
          <w:tcPr>
            <w:tcW w:w="420" w:type="dxa"/>
            <w:vAlign w:val="bottom"/>
          </w:tcPr>
          <w:p>
            <w:pPr>
              <w:spacing w:after="0"/>
              <w:rPr>
                <w:sz w:val="12"/>
                <w:szCs w:val="1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inputs</w:t>
            </w: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3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Fair Value</w:t>
            </w:r>
          </w:p>
        </w:tc>
        <w:tc>
          <w:tcPr>
            <w:tcW w:w="4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(Level 1)</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(Level 2)</w:t>
            </w:r>
          </w:p>
        </w:tc>
        <w:tc>
          <w:tcPr>
            <w:tcW w:w="4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(Level 3)</w:t>
            </w:r>
          </w:p>
        </w:tc>
        <w:tc>
          <w:tcPr>
            <w:tcW w:w="100" w:type="dxa"/>
            <w:vAlign w:val="bottom"/>
          </w:tcPr>
          <w:p>
            <w:pPr>
              <w:spacing w:after="0"/>
              <w:rPr>
                <w:sz w:val="14"/>
                <w:szCs w:val="14"/>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securities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$ 366,085,723</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$ 366,085,723</w:t>
            </w: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9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27,052,508</w:t>
            </w:r>
          </w:p>
        </w:tc>
        <w:tc>
          <w:tcPr>
            <w:tcW w:w="480" w:type="dxa"/>
            <w:vAlign w:val="bottom"/>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27,052,508</w:t>
            </w:r>
          </w:p>
        </w:tc>
        <w:tc>
          <w:tcPr>
            <w:tcW w:w="100" w:type="dxa"/>
            <w:vAlign w:val="bottom"/>
          </w:tcPr>
          <w:p>
            <w:pPr>
              <w:spacing w:after="0"/>
              <w:rPr>
                <w:sz w:val="19"/>
                <w:szCs w:val="19"/>
                <w:color w:val="auto"/>
              </w:rPr>
            </w:pP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393,138,231</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393,138,231</w:t>
            </w: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9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541,136</w:t>
            </w:r>
          </w:p>
        </w:tc>
        <w:tc>
          <w:tcPr>
            <w:tcW w:w="480" w:type="dxa"/>
            <w:vAlign w:val="bottom"/>
          </w:tcPr>
          <w:p>
            <w:pPr>
              <w:spacing w:after="0"/>
              <w:rPr>
                <w:sz w:val="19"/>
                <w:szCs w:val="19"/>
                <w:color w:val="auto"/>
              </w:rPr>
            </w:pP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6"/>
              </w:rPr>
              <w:t>541,136</w:t>
            </w:r>
          </w:p>
        </w:tc>
        <w:tc>
          <w:tcPr>
            <w:tcW w:w="38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Cash Equivalents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393,679,367</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541,136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393,138,231</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Long Term Credit Facility</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(134,057,558)</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(134,057,558)</w:t>
            </w:r>
          </w:p>
        </w:tc>
      </w:tr>
      <w:tr>
        <w:trPr>
          <w:trHeight w:val="356"/>
        </w:trPr>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40" w:type="dxa"/>
            <w:vAlign w:val="bottom"/>
          </w:tcPr>
          <w:p>
            <w:pPr>
              <w:jc w:val="right"/>
              <w:ind w:right="392"/>
              <w:spacing w:after="0"/>
              <w:rPr>
                <w:sz w:val="20"/>
                <w:szCs w:val="20"/>
                <w:color w:val="auto"/>
              </w:rPr>
            </w:pPr>
            <w:r>
              <w:rPr>
                <w:rFonts w:ascii="Arial" w:cs="Arial" w:eastAsia="Arial" w:hAnsi="Arial"/>
                <w:sz w:val="18"/>
                <w:szCs w:val="18"/>
                <w:color w:val="auto"/>
              </w:rPr>
              <w:t>18</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4"/>
              </w:rPr>
              <w:t>Loan and debt</w:t>
            </w:r>
          </w:p>
        </w:tc>
        <w:tc>
          <w:tcPr>
            <w:tcW w:w="80" w:type="dxa"/>
            <w:vAlign w:val="bottom"/>
          </w:tcPr>
          <w:p>
            <w:pPr>
              <w:spacing w:after="0"/>
              <w:rPr>
                <w:sz w:val="13"/>
                <w:szCs w:val="13"/>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7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8"/>
              </w:rPr>
              <w:t>securities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349,260,104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22,887,716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372,147,820</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Realized Gains (Losses)</w:t>
            </w:r>
          </w:p>
        </w:tc>
        <w:tc>
          <w:tcPr>
            <w:tcW w:w="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(30,847,040)</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(30,847,040)</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Appreciation / (Depreciation)</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10,220,577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2,101,623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12,322,200</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Purchase, PIK and discount / amortization</w:t>
            </w:r>
          </w:p>
        </w:tc>
        <w:tc>
          <w:tcPr>
            <w:tcW w:w="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50,326,080</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2,063,169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52,389,249</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 repayments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(12,873,998)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(12,873,998)</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Transfers in and /or out of Level 3</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June 30, 2009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366,085,723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27,052,508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393,138,231</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w w:val="92"/>
              </w:rPr>
              <w:t>Amount of total gains or losses for the period included in earnings attributable to the change in unrealized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7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w w:val="92"/>
              </w:rPr>
              <w:t>gains or losses relating to our Level 3 assets still held at the reporting date and reported within the net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change in unrealized gains or losses on investments in our Statement of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(1,646,713)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3,424,565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1,777,852</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Long Term Credit</w:t>
            </w: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Facility</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22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162,000,000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00"/>
              <w:spacing w:after="0"/>
              <w:rPr>
                <w:sz w:val="20"/>
                <w:szCs w:val="20"/>
                <w:color w:val="auto"/>
              </w:rPr>
            </w:pPr>
            <w:r>
              <w:rPr>
                <w:rFonts w:ascii="Arial" w:cs="Arial" w:eastAsia="Arial" w:hAnsi="Arial"/>
                <w:sz w:val="18"/>
                <w:szCs w:val="18"/>
                <w:color w:val="auto"/>
              </w:rPr>
              <w:t>Cumulative effect of adoption of fair value option</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(41,796,000)</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unrealized gain included in earnings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(11,446,442)</w:t>
            </w:r>
          </w:p>
        </w:tc>
      </w:tr>
      <w:tr>
        <w:trPr>
          <w:trHeight w:val="216"/>
        </w:trPr>
        <w:tc>
          <w:tcPr>
            <w:tcW w:w="20" w:type="dxa"/>
            <w:vAlign w:val="bottom"/>
          </w:tcPr>
          <w:p>
            <w:pPr>
              <w:spacing w:after="0"/>
              <w:rPr>
                <w:sz w:val="18"/>
                <w:szCs w:val="18"/>
                <w:color w:val="auto"/>
              </w:rPr>
            </w:pPr>
          </w:p>
        </w:tc>
        <w:tc>
          <w:tcPr>
            <w:tcW w:w="6080" w:type="dxa"/>
            <w:vAlign w:val="bottom"/>
          </w:tcPr>
          <w:p>
            <w:pPr>
              <w:ind w:left="400"/>
              <w:spacing w:after="0"/>
              <w:rPr>
                <w:sz w:val="20"/>
                <w:szCs w:val="20"/>
                <w:color w:val="auto"/>
              </w:rPr>
            </w:pPr>
            <w:r>
              <w:rPr>
                <w:rFonts w:ascii="Arial" w:cs="Arial" w:eastAsia="Arial" w:hAnsi="Arial"/>
                <w:sz w:val="18"/>
                <w:szCs w:val="18"/>
                <w:color w:val="auto"/>
              </w:rPr>
              <w:t>Borrowings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59,200,000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Repayments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(33,900,000)</w:t>
            </w:r>
          </w:p>
        </w:tc>
      </w:tr>
      <w:tr>
        <w:trPr>
          <w:trHeight w:val="223"/>
        </w:trPr>
        <w:tc>
          <w:tcPr>
            <w:tcW w:w="20" w:type="dxa"/>
            <w:vAlign w:val="bottom"/>
          </w:tcPr>
          <w:p>
            <w:pPr>
              <w:spacing w:after="0"/>
              <w:rPr>
                <w:sz w:val="19"/>
                <w:szCs w:val="19"/>
                <w:color w:val="auto"/>
              </w:rPr>
            </w:pPr>
          </w:p>
        </w:tc>
        <w:tc>
          <w:tcPr>
            <w:tcW w:w="6080" w:type="dxa"/>
            <w:vAlign w:val="bottom"/>
          </w:tcPr>
          <w:p>
            <w:pPr>
              <w:ind w:left="400"/>
              <w:spacing w:after="0"/>
              <w:rPr>
                <w:sz w:val="20"/>
                <w:szCs w:val="20"/>
                <w:color w:val="auto"/>
              </w:rPr>
            </w:pPr>
            <w:r>
              <w:rPr>
                <w:rFonts w:ascii="Arial" w:cs="Arial" w:eastAsia="Arial" w:hAnsi="Arial"/>
                <w:sz w:val="18"/>
                <w:szCs w:val="18"/>
                <w:color w:val="auto"/>
              </w:rPr>
              <w:t>Transfers in and/or out of Level 3</w:t>
            </w:r>
          </w:p>
        </w:tc>
        <w:tc>
          <w:tcPr>
            <w:tcW w:w="2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June 30, 2009</w:t>
            </w:r>
          </w:p>
        </w:tc>
        <w:tc>
          <w:tcPr>
            <w:tcW w:w="22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134,057,558</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color w:val="auto"/>
        </w:rPr>
        <w:t xml:space="preserve">The carrying value of the Company’s financial instruments approximates fair value. Effective October 1, 2008, the Company adopted Statement of Financial Accounting Standards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which provides companies with an option to report selected financial assets and liabilities at fair value, and made an irrevocable election to apply SFAS 159 to its credit facility. The Company elected to use the fair value option for the credit facility to align the measurement attributes of both the assets and liabilities while mitigating volatility in earnings from using different measurement attributes. SFAS 159 establishes presentation and disclosure requirements designed to facilitate comparisons between companies that choose different measurement attributes for similar types of assets and liabilities and to more easily understand the effect of the company’s choice to use fair value on its earnings. SFAS 159 also requires entities to display the fair value of the selected assets and liabilities on the face of the balance sheet and changes in fair value of the credit facility are recorded in the Statement of Operations. The Company has elected not to apply SFAS 159 to any other financial assets or liabilities. For the three months and nine months ended June 30, 2009, approximately $9.2 million was recorded as a change in unrealized appreciation and $11.4 million was recorded as a change in unrealized depreciation on the Credit facility in the Statement of Operations, respectively. The Company has used a nationally recognized independent valuation service to measure the fair value of its credit facility in a manner consistent with the valuation process that the board of directors uses to value investments.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instrument(s) for which the Company elected the fair value option under SFAS 159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2009 and for which a transition adjustment was recorded as of October 1,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w w:val="93"/>
              </w:rPr>
              <w:t>Carrying Value on</w:t>
            </w:r>
          </w:p>
        </w:tc>
        <w:tc>
          <w:tcPr>
            <w:tcW w:w="2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Transition</w:t>
            </w:r>
          </w:p>
        </w:tc>
        <w:tc>
          <w:tcPr>
            <w:tcW w:w="200" w:type="dxa"/>
            <w:vAlign w:val="bottom"/>
          </w:tcPr>
          <w:p>
            <w:pPr>
              <w:spacing w:after="0"/>
              <w:rPr>
                <w:sz w:val="13"/>
                <w:szCs w:val="13"/>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Carrying Value on</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380" w:type="dxa"/>
            <w:vAlign w:val="bottom"/>
            <w:gridSpan w:val="4"/>
            <w:vMerge w:val="restart"/>
          </w:tcPr>
          <w:p>
            <w:pPr>
              <w:ind w:left="680"/>
              <w:spacing w:after="0"/>
              <w:rPr>
                <w:sz w:val="20"/>
                <w:szCs w:val="20"/>
                <w:color w:val="auto"/>
              </w:rPr>
            </w:pPr>
            <w:r>
              <w:rPr>
                <w:rFonts w:ascii="Arial" w:cs="Arial" w:eastAsia="Arial" w:hAnsi="Arial"/>
                <w:sz w:val="13"/>
                <w:szCs w:val="13"/>
                <w:b w:val="1"/>
                <w:bCs w:val="1"/>
                <w:color w:val="auto"/>
              </w:rPr>
              <w:t>June 30, 2009</w:t>
            </w: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w w:val="99"/>
              </w:rPr>
              <w:t>October 1, 2008</w:t>
            </w:r>
          </w:p>
        </w:tc>
        <w:tc>
          <w:tcPr>
            <w:tcW w:w="2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3"/>
              </w:rPr>
              <w:t>Adjustment to</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October 1, 2008</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106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1"/>
              </w:rPr>
              <w:t>before adoption of</w:t>
            </w:r>
          </w:p>
        </w:tc>
        <w:tc>
          <w:tcPr>
            <w:tcW w:w="22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Retained</w:t>
            </w:r>
          </w:p>
        </w:tc>
        <w:tc>
          <w:tcPr>
            <w:tcW w:w="200" w:type="dxa"/>
            <w:vAlign w:val="bottom"/>
          </w:tcPr>
          <w:p>
            <w:pPr>
              <w:spacing w:after="0"/>
              <w:rPr>
                <w:sz w:val="12"/>
                <w:szCs w:val="12"/>
                <w:color w:val="auto"/>
              </w:rPr>
            </w:pPr>
          </w:p>
        </w:tc>
        <w:tc>
          <w:tcPr>
            <w:tcW w:w="112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5"/>
              </w:rPr>
              <w:t>after adoption of</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8"/>
              </w:rPr>
              <w:t>Carrying Value</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Fair Value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SFAS 159</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3"/>
              </w:rPr>
              <w:t>Earnings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3"/>
              </w:rPr>
              <w:t>SFAS 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(long term)</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$134,057,558</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$134,057,558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162,000,000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41,796,000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Revolving Credit Facility (temporary draw)</w:t>
            </w:r>
            <w:r>
              <w:rPr>
                <w:rFonts w:ascii="Arial" w:cs="Arial" w:eastAsia="Arial" w:hAnsi="Arial"/>
                <w:sz w:val="11"/>
                <w:szCs w:val="11"/>
                <w:color w:val="auto"/>
              </w:rPr>
              <w:t>(1)</w:t>
            </w: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40,000,000</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134,057,558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134,057,558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202,000,000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41,796,000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Temporary draw may include credit facility borrowings at the end of each quarter to maximize investment flexibility (See note 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Pending investment in longer-term portfolio holdings, the Company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the Company may take proactive steps to preserve investment flexibility for the next quarter, which is dependent upon the composition of its total assets at quarter end. The Company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the management fee. U.S. Treasury Bills with maturities greater than 60 days from the time of purchase are marked to market in a manner consistent with PennantPark Investment’s valuation policy.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PennantPark Investment may enter into repurchase agreements as part of its investment program. In these transactions, PennantPark Investment’s custodian takes possession of collateral pledged by the counterparty. The collateral is marked to market daily to ensure that the value, plus accrued interest, is at least equal to the repurchase price. In the event of default of the obligor to repurchase, PennantPark Investment would have a contractual right to liquidate the collateral and apply the proceeds in satisfaction of the underlying obligation. Under certain circumstances, including the event of default or bankruptcy by the counterparty to the agreement, realization and/or retention of the collateral or proceeds may be subject to legal proceedings. There were no repurchase agreements outstanding on June 30, 2009 or September 30, 2008.</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7"/>
              </w:rPr>
              <w:t>Nine Months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Year ended</w:t>
            </w: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160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1"/>
              </w:rPr>
              <w:t>ended June 30,</w:t>
            </w:r>
          </w:p>
        </w:tc>
        <w:tc>
          <w:tcPr>
            <w:tcW w:w="280" w:type="dxa"/>
            <w:vAlign w:val="bottom"/>
          </w:tcPr>
          <w:p>
            <w:pPr>
              <w:spacing w:after="0"/>
              <w:rPr>
                <w:sz w:val="12"/>
                <w:szCs w:val="12"/>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1"/>
        </w:trPr>
        <w:tc>
          <w:tcPr>
            <w:tcW w:w="8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effect of adoption of fair value option (credit facility)</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Adjusted net asset value, beginning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11.99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440"/>
              <w:spacing w:after="0"/>
              <w:rPr>
                <w:sz w:val="20"/>
                <w:szCs w:val="20"/>
                <w:color w:val="auto"/>
              </w:rPr>
            </w:pPr>
            <w:r>
              <w:rPr>
                <w:rFonts w:ascii="Arial" w:cs="Arial" w:eastAsia="Arial" w:hAnsi="Arial"/>
                <w:sz w:val="18"/>
                <w:szCs w:val="18"/>
                <w:color w:val="auto"/>
              </w:rPr>
              <w:t>Net realized and change in unrealized loss</w:t>
            </w:r>
          </w:p>
        </w:tc>
        <w:tc>
          <w:tcPr>
            <w:tcW w:w="8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(0.34)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8140" w:type="dxa"/>
            <w:vAlign w:val="bottom"/>
          </w:tcPr>
          <w:p>
            <w:pPr>
              <w:ind w:left="440"/>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(0.72)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7.10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21,068,772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7.47% **</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 **</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(5)</w:t>
            </w:r>
          </w:p>
        </w:tc>
        <w:tc>
          <w:tcPr>
            <w:tcW w:w="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9.70% **</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9.78% **</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246,977,240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210,728,260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Average cost of debt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5"/>
              </w:rPr>
              <w:t>173,118,681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119,472,732</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Average cost of debt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8.22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90" w:lineRule="exact"/>
        <w:rPr>
          <w:sz w:val="20"/>
          <w:szCs w:val="20"/>
          <w:color w:val="auto"/>
        </w:rPr>
      </w:pPr>
    </w:p>
    <w:p>
      <w:pPr>
        <w:ind w:left="460" w:right="60" w:hanging="452"/>
        <w:spacing w:after="0" w:line="33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1, 2008, the Company adopted SFAS 159 and made an irrevocable election to apply the fair value option to our credit facility liability. Upon our adoption our Net Asset Value increased by $41.8 million, or $1.99 per share, due to the fair value adjustment related to our credit facility.</w:t>
      </w:r>
    </w:p>
    <w:p>
      <w:pPr>
        <w:spacing w:after="0" w:line="5" w:lineRule="exact"/>
        <w:rPr>
          <w:rFonts w:ascii="Arial" w:cs="Arial" w:eastAsia="Arial" w:hAnsi="Arial"/>
          <w:sz w:val="16"/>
          <w:szCs w:val="16"/>
          <w:color w:val="auto"/>
        </w:rPr>
      </w:pPr>
    </w:p>
    <w:p>
      <w:pPr>
        <w:ind w:left="460" w:right="5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ratio of operating expenses to average net assets for the nine months ended June 30, 2009 before adoption of SFAS 159 was 9.39%, and for the fiscal year ended September 30, 2008, the ratio before management fee waiver was 6.47%</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ratio of total expenses to average net assets for the nine months ended June 30, 2009 before the adoption of SFAS 159 was 12.20%, and for the fiscal year ended September 30, 2008 the ratio before management fee waiver was 9.13%.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On June 25, 2007, PennantPark Investment entered into a Senior Secured Revolving Credit Agreement (the “Credit Agreement”, “Revolving Credit Facility”, or “credit facility”) among PennantPark Investment, various lenders and SunTrust Bank, as administrative agent for the lenders. SunTrust Robinson Humphrey Capital Markets acted as the joint lead arranger and book-runner. As of June 30, 2009, there was $187.3 million in outstanding borrowings under the Credit Agreement with an average annual interest rate of 1.31%.</w:t>
      </w:r>
    </w:p>
    <w:p>
      <w:pPr>
        <w:spacing w:after="0" w:line="143"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London Inter Bank Offer Rate.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The Credit Agreement contains customary affirmative and negative covenants, including the maintenance of a minimum stockholders’ equity, the maintenance of a ratio not less than 200% of our total assets less liabilities (other than indebtedness) to our total outstanding indebtedness, maintenance of a blended percentage of the values of our portfolio companies, and restrictions on certain payments and issuance of debt. For a complete list of such covenants, see our current report on Form 8-K, filed with the SEC on June 28,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or cash flows. Unfunded debt investments described in the statement of assets and liabilities represent unfunded delayed draws on investments in first lien secured debt.</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reviewed the accompanying statement of assets and liabilities of PennantPark Investment Corporation (the “Company”), including the schedule of investments, as of June 30, 2009, the statements of operations for the three and nine month periods ended June 30, 2009 and 2008, and the statements of changes in net assets, and cash flows for the nine months ended June 30, 2009 and 2008. These interim financial statements are the responsibility of the Company’s management.</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2008; and in our report dated November 20, 2008,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1694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16940" cy="24003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5, 2009</w:t>
      </w:r>
    </w:p>
    <w:p>
      <w:pPr>
        <w:spacing w:after="0" w:line="1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report.</w:t>
      </w:r>
    </w:p>
    <w:p>
      <w:pPr>
        <w:spacing w:after="0" w:line="140"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47"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PennantPark Investment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with a market capitalization of less than $250 million, cash, cash equivalents, U.S. government securities and high-quality debt investments that mature in one year or less.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and the Investment Advisers. Under our Investment Management Agreement with the Investment Adviser,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8"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 For the foreseeable future, we also intend to focus on senior secured investments which we believe offer attractive risk adjusted returns at the present time.</w:t>
      </w:r>
    </w:p>
    <w:p>
      <w:pPr>
        <w:spacing w:after="0" w:line="112" w:lineRule="exact"/>
        <w:rPr>
          <w:sz w:val="20"/>
          <w:szCs w:val="20"/>
          <w:color w:val="auto"/>
        </w:rPr>
      </w:pPr>
    </w:p>
    <w:p>
      <w:pPr>
        <w:ind w:right="260" w:firstLine="449"/>
        <w:spacing w:after="0" w:line="306" w:lineRule="auto"/>
        <w:rPr>
          <w:sz w:val="20"/>
          <w:szCs w:val="20"/>
          <w:color w:val="auto"/>
        </w:rPr>
      </w:pPr>
      <w:r>
        <w:rPr>
          <w:rFonts w:ascii="Arial" w:cs="Arial" w:eastAsia="Arial" w:hAnsi="Arial"/>
          <w:sz w:val="16"/>
          <w:szCs w:val="16"/>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06"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120" w:firstLine="449"/>
        <w:spacing w:after="0" w:line="253" w:lineRule="auto"/>
        <w:rPr>
          <w:sz w:val="20"/>
          <w:szCs w:val="20"/>
          <w:color w:val="auto"/>
        </w:rPr>
      </w:pPr>
      <w:r>
        <w:rPr>
          <w:rFonts w:ascii="Arial" w:cs="Arial" w:eastAsia="Arial" w:hAnsi="Arial"/>
          <w:sz w:val="18"/>
          <w:szCs w:val="18"/>
          <w:color w:val="auto"/>
        </w:rPr>
        <w:t>We are currently operating in a severely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is adversely affecting each of these factors and has resulted in broad-based reduction in the demand for, and valuation of, high-risk debt instruments. These conditions may present us with attractive investment opportunities, as we believe that there are many middle-market companies that need senior secured and mezzanine debt financing. However, these market conditions are also adversely affecting our portfolio valuations and increase the risk of default among our portfolio companies, which could negatively impact our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expenses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31" w:lineRule="exact"/>
        <w:rPr>
          <w:sz w:val="20"/>
          <w:szCs w:val="20"/>
          <w:color w:val="auto"/>
        </w:rPr>
      </w:pPr>
    </w:p>
    <w:p>
      <w:pPr>
        <w:ind w:left="5540" w:right="3480" w:hanging="5087"/>
        <w:spacing w:after="0" w:line="440" w:lineRule="auto"/>
        <w:tabs>
          <w:tab w:leader="none" w:pos="8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 25</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60" w:hanging="427"/>
        <w:spacing w:after="0" w:line="26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880" w:right="100" w:hanging="427"/>
        <w:spacing w:after="0" w:line="25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As of June 30, 2009, our portfolio totaled $393.1 million and consisted of $98.8 million of senior secured loans, $111.2 million of second lien secured debt, $156.0 million of subordinated debt, $10.3 million of preferred equity and $16.8 million of common equity investments. Our core assets totaled $346.3 million and consisted of investments in twenty-five different companies with an average investment size of $13.9 million per company and a weighted average yield of 11.6% on debt investments. Our non-core senior secured loan portfolio totaled $46.8 million and consisted of thirteen different companies (including one company also in our core portfolio) with an average investment size of $3.6 million and a weighted average yield of 3.3% on debt investments. Of our debt portfolio, 51% were in fixed-rate investments (or contained a LIBOR floor) and 49% in variable-rate investments. Overall, the portfolio had an unrealized depreciation of $59.7 million as of June 30, 2009. Our overall portfolio consisted of thirty-seven companies with an average investment size of $10.6 million and a weighted average yield on debt investments of 10.4%, and was invested 25% in senior secured loans, 28% in second lien secured debt, 40% in subordinated debt, 3% in preferred equity and 4% in common equity investments.</w:t>
      </w:r>
    </w:p>
    <w:p>
      <w:pPr>
        <w:spacing w:after="0" w:line="119"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For the three months ended June 30, 2009, we invested $32.6 million in five new and two existing portfolio companies, with a weighted average yield of 14.0% on debt investments. Sales and repayments of long-term investments totaled $7.3 million for the same period. For the nine months ended June 30, 2009, we invested $48.0 million, in six new and five existing portfolio companies with a weighted average yield of 15.6% on debt investments. Sales and repayments of long term investments totaled $12.9 million for the same period.</w:t>
      </w:r>
    </w:p>
    <w:p>
      <w:pPr>
        <w:spacing w:after="0" w:line="143" w:lineRule="exact"/>
        <w:rPr>
          <w:sz w:val="20"/>
          <w:szCs w:val="20"/>
          <w:color w:val="auto"/>
        </w:rPr>
      </w:pPr>
    </w:p>
    <w:p>
      <w:pPr>
        <w:ind w:right="220" w:firstLine="449"/>
        <w:spacing w:after="0" w:line="294" w:lineRule="auto"/>
        <w:rPr>
          <w:sz w:val="20"/>
          <w:szCs w:val="20"/>
          <w:color w:val="auto"/>
        </w:rPr>
      </w:pPr>
      <w:r>
        <w:rPr>
          <w:rFonts w:ascii="Arial" w:cs="Arial" w:eastAsia="Arial" w:hAnsi="Arial"/>
          <w:sz w:val="16"/>
          <w:szCs w:val="16"/>
          <w:color w:val="auto"/>
        </w:rPr>
        <w:t>As of September 30, 2008, our portfolio totaled $372.1 million and consisted of $78.8 million of senior secured loans, $104.2 million of second lien secured debt, $166.2 million of subordinated debt, $9.3 million of preferred equity and $13.6 million of common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on debt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investments. Of our debt portfolio, 45% was in fixed-rate investments and 55% in variable-rate investments. Overall, our portfolio had an unrealized depreciation of $72.0 million as of September 30, 2008. Our overall portfolio consisted of thirty-seven companies with an average investment size of $10.1 million and a weighted average yield on debt investments of 11.1%, and was invested 21% in senior secured loans, 28% in second lien secured debt, 45% in subordinated debt, 2% in preferred equity and 4% in common equity investments.</w:t>
      </w:r>
    </w:p>
    <w:p>
      <w:pPr>
        <w:spacing w:after="0" w:line="112"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For the three months ended June 30, 2008, we invested $46.8 million in two new and three existing portfolio companies with an average yield of 14.5% on debt investments. Sales and repayments of long term investments totaled $9.2 million for the same period. For the nine months ended June 30, 2008, we invested $149.3 million in new and existing portfolio companies with an average yield of 13.7% on debt investments. Sales and repayments of long term investments totaled $14.4 million for the same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49"/>
        <w:spacing w:after="0" w:line="323" w:lineRule="auto"/>
        <w:rPr>
          <w:sz w:val="20"/>
          <w:szCs w:val="20"/>
          <w:color w:val="auto"/>
        </w:rPr>
      </w:pPr>
      <w:r>
        <w:rPr>
          <w:rFonts w:ascii="Arial" w:cs="Arial" w:eastAsia="Arial" w:hAnsi="Arial"/>
          <w:sz w:val="15"/>
          <w:szCs w:val="15"/>
          <w:color w:val="auto"/>
        </w:rPr>
        <w:t>Our discussion of our financial condition and results of operations is based upon our financial statements, which have been prepared in accordance with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6"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47"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260" w:hanging="447"/>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hanging="447"/>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100" w:hanging="447"/>
        <w:spacing w:after="0" w:line="331"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160" w:hanging="447"/>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In September 2006, the Financial Accounting Standards Board issued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that are quoted prices (unadjusted) in active markets for identical assets or liabilities, accessible by the Company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5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the Company’s own assumptions about how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price the asset or liability.</w:t>
      </w:r>
    </w:p>
    <w:p>
      <w:pPr>
        <w:spacing w:after="0" w:line="132" w:lineRule="exact"/>
        <w:rPr>
          <w:sz w:val="20"/>
          <w:szCs w:val="20"/>
          <w:color w:val="auto"/>
        </w:rPr>
      </w:pPr>
    </w:p>
    <w:p>
      <w:pPr>
        <w:ind w:right="740" w:firstLine="449"/>
        <w:spacing w:after="0" w:line="331"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All of the Company’s investments (other than cash and cash equivalents) and long term credit facility are classified as Level 3.</w:t>
      </w:r>
    </w:p>
    <w:p>
      <w:pPr>
        <w:spacing w:after="0" w:line="87"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115</w:t>
      </w:r>
      <w:r>
        <w:rPr>
          <w:rFonts w:ascii="Arial" w:cs="Arial" w:eastAsia="Arial" w:hAnsi="Arial"/>
          <w:sz w:val="16"/>
          <w:szCs w:val="16"/>
          <w:color w:val="auto"/>
        </w:rPr>
        <w:t>. This statement permits an entity to choose to measure many financial instruments and certain other items at fair value. This statement applies to all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 For the three months and nine months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ended June 30, 2009, approximately $9.2 million was recorded as a change in unrealized appreciation and $11.4 million was recorded as a change in unrealized depreciation on the Credit Facility in the Statement of Operations, respectively.</w:t>
      </w:r>
    </w:p>
    <w:p>
      <w:pPr>
        <w:spacing w:after="0" w:line="132"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FSP No. 157-4 made amendments to SFAS No. 157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consolidated financial statements.</w:t>
      </w:r>
    </w:p>
    <w:p>
      <w:pPr>
        <w:spacing w:after="0" w:line="119"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throughout the life of the loan. We record prepayment premiums on loans and debt securities as interest income. We recognize dividend income, if any, is recognized on an accrual basis to the extent that we expect to collect such amounts.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26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96"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PennantPark Investment to maintain its status as a RIC, this income must be paid out to stockholders in the form of dividends, even though PennantPark Investment has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firstLine="449"/>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nine months ended June 30, 2009 and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Total Investment income for the three and nine months ended June 30, 2009, was $10.8 million and $33.3 million, respectively, of which $4.3 million and $13.6 million was attributable to senior secured loan investments, $3.3 million and $10.6 million was attributable to second lien secured debt investments, and $2.4 million and $7.4 million was attributable to subordinated debt investments, respectively. The remaining investment income was primarily attributed to interest income from short-term investments and to net accretion of discount and amortization of premium. The change in investment income compared with the same periods in the prior year is due to the growth of our portfolio, the transition of the portfolio from temporary to long-term core investments offset by lower interest rates.</w:t>
      </w:r>
    </w:p>
    <w:p>
      <w:pPr>
        <w:spacing w:after="0" w:line="144"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Total investment income for the three and nine months ended June 30, 2008, was $9.7 million and $28.4 million, respectively. Investment income for the three and nine months ended June 30, 2008 was primarily attributed to $3.7 million and $11.6 million of interest income from senior secured loan investments, $3.7 million and $10.5 million from our second lien secured debt investments, and $1.7 million and $5.1 million from our subordinated debt investments, respectively. The remaining investment income was primarily attributed to interest income from short-term investments, to accretion of discount and the amortization of premium.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Net expenses for the three and nine months ended June 30, 2009, totaled $5.1 million and $16.6 million, respectively, which consisted of a base management fee which totaled $1.9 million and $5.5 million, performance-based incentive fees which totaled $1.4 million and $4.2 million, credit facility related expenses which totaled $0.8 million and $3.8 million, and general and administrative expenses, which totaled $1.0 million and $3.1 million for the three and nine months, respectively.</w:t>
      </w:r>
    </w:p>
    <w:p>
      <w:pPr>
        <w:spacing w:after="0" w:line="143"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Net expenses for the three and nine months ended June 30, 2008, totaled $5.7 million and $15.2 million, respectively, which consisted of $1.7 million and $4.4 million attributable to credit facility related expenses, and $1.2 million and $3.6 million to general and administrative expenses, respectively. Net base management fees for the same periods totaled $1.8 million and $4.8 million, respectively, and performance-based incentive fees totaled $1.0 million and $2.4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660" w:firstLine="449"/>
        <w:spacing w:after="0" w:line="268" w:lineRule="auto"/>
        <w:rPr>
          <w:sz w:val="20"/>
          <w:szCs w:val="20"/>
          <w:color w:val="auto"/>
        </w:rPr>
      </w:pPr>
      <w:r>
        <w:rPr>
          <w:rFonts w:ascii="Arial" w:cs="Arial" w:eastAsia="Arial" w:hAnsi="Arial"/>
          <w:sz w:val="18"/>
          <w:szCs w:val="18"/>
          <w:color w:val="auto"/>
        </w:rPr>
        <w:t>Net investment income totaled $5.7 million and $16.7 million, or $0.27 and $0.79 per share, for the three and nine months ended June 30, 2009, respectively.</w:t>
      </w:r>
    </w:p>
    <w:p>
      <w:pPr>
        <w:spacing w:after="0" w:line="132"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Net investment income totaled $3.9 million and $13.1 million, or $0.19 and $0.62 per share, respectively, for the three and nine months ended June 30, 2008,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w:t>
      </w:r>
    </w:p>
    <w:p>
      <w:pPr>
        <w:spacing w:after="0" w:line="96"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Sales and repayments of long-term investments for the three and nine months ended June 30, 2009 totaled $7.3 million and $12.9 million, respectively, and realized losses totaled $24.7 million and $30.8 million, respectively.</w:t>
      </w:r>
    </w:p>
    <w:p>
      <w:pPr>
        <w:spacing w:after="0" w:line="132"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Sales and repayments of long-term investments for the three and nine months ended June 30, 2008 totaled $9.2 million and $14.4 million, respectively, and realized losses totaled approximately $402,000 and $621,000,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Appreciation/Depreciation on Investments, cash equivalents and credit facility</w:t>
      </w:r>
    </w:p>
    <w:p>
      <w:pPr>
        <w:spacing w:after="0" w:line="96"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For the three and nine months ended June 30, 2009, our investments had a net change in unrealized appreciation of $27.4 million and $12.3 million, respectively. For the three and nine months ended June 30, 2009, the Credit Facility had a net change in unrealized appreciation of $9.2 million and net change in unrealized depreciation of $11.4 million, respectively. On June 30, 2009 and September 30, 2008, net unrealized depreciation on investments and cash equivalents totaled $59.7 million and $72.0 million, respectively, primarily due to the continued downturn in the leveraged finance credit market.</w:t>
      </w:r>
    </w:p>
    <w:p>
      <w:pPr>
        <w:spacing w:after="0" w:line="112" w:lineRule="exact"/>
        <w:rPr>
          <w:sz w:val="20"/>
          <w:szCs w:val="20"/>
          <w:color w:val="auto"/>
        </w:rPr>
      </w:pPr>
    </w:p>
    <w:p>
      <w:pPr>
        <w:ind w:right="240" w:firstLine="449"/>
        <w:spacing w:after="0" w:line="331" w:lineRule="auto"/>
        <w:rPr>
          <w:sz w:val="20"/>
          <w:szCs w:val="20"/>
          <w:color w:val="auto"/>
        </w:rPr>
      </w:pPr>
      <w:r>
        <w:rPr>
          <w:rFonts w:ascii="Arial" w:cs="Arial" w:eastAsia="Arial" w:hAnsi="Arial"/>
          <w:sz w:val="16"/>
          <w:szCs w:val="16"/>
          <w:color w:val="auto"/>
        </w:rPr>
        <w:t>For the three and nine months ended June 30, 2008, the Company’s investments and cash equivalents had net unrealized appreciation of $11.7 million and a net unrealized depreciation of $42.2 million, respectively. On June 30, 2008, net unrealized depreciation on investments totaled $66.1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Increase/Decrease in Net Assets from Operations</w:t>
      </w:r>
    </w:p>
    <w:p>
      <w:pPr>
        <w:spacing w:after="0" w:line="96"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For the three and nine months ended June 30, 2009 there was a net decrease in net assets resulting from operations of $0.8 million and a net increase of $9.6 million, respectively, or $(0.04) per share and $0.45 per share, respectively, primarily due to an increase in investment values offset by a net decline in market value of our Credit Facility over the past nine months.</w:t>
      </w:r>
    </w:p>
    <w:p>
      <w:pPr>
        <w:spacing w:after="0" w:line="140"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For the three and nine months ended June 30, 2008, there was a net increase in net assets resulting from operations of $15.2 million and a net decrease of $29.7 million, or $0.72 per share and $(1.41) per share,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On June 25, 2007, PennantPark Investment entered into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June 30, 2009, PennantPark Investment had outstanding borrowings of $187.3 million under the Credit Agreement, with an average interest rate of 1.31%.</w:t>
      </w:r>
    </w:p>
    <w:p>
      <w:pPr>
        <w:spacing w:after="0" w:line="143"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Under the Credit Agreement, the lenders agreed to extend us credit in an initial aggregate principal or face amount not exceeding $300 million at any one time outstanding. The Credit Agreement is a five-year revolving facility (with a stated maturity date of June 25, 2012) and is secured by substantially all of our investment portfolio assets. Pricing is set at 100 basis points over LIBOR.</w:t>
      </w:r>
    </w:p>
    <w:p>
      <w:pPr>
        <w:spacing w:after="0" w:line="140"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PennantPark Investment’s liquidity and capital resources are also generated and available from cash flows from operations, including investment sales and repayments of senior and subordinated loans, and net investment income.</w:t>
      </w:r>
    </w:p>
    <w:p>
      <w:pPr>
        <w:spacing w:after="0" w:line="13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On June 30, 2009, PennantPark Investment had $187.3 million borrowings under our senior secured revolving credit facility, and $112.7 million remained available subject to maintenance of at least a 200% ratio of our total assets less liabilities other than indebtedness to our indebtedness, maintenance of a blended percentage of the values of our portfolio companies, and restrictions on certain payments and issuance of debt. In the future, PennantPark Investment may raise additional equity or debt capital through a registered offering off a shelf registration or may securitize a portion of its investments among other considerations. Equity capital may be difficult to raise because, subject to some limited exceptions, we are not generally able to issue and sell our common stock at a price below net asset value per share, unless we obtain shareholder approval. In addition, debt capital, to the extent it is available under stressed credit market conditions, may be issued at a higher cost and on less favorable terms and conditions.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Furthermore, if the valuations of our portfolio companies continue to fall significantly from their present values, we may suffer reduced availability under our credit facility because such availability depends on (i) our asset coverage, which generally requires that the valuation of our total assets less liabilities other than indebtedness be at least equal to 200% of our indebtedness, (ii) our maintenance of a blended percentage of the values of our portfolio companies, and</w:t>
      </w:r>
    </w:p>
    <w:p>
      <w:pPr>
        <w:spacing w:after="0" w:line="1" w:lineRule="exact"/>
        <w:rPr>
          <w:sz w:val="20"/>
          <w:szCs w:val="20"/>
          <w:color w:val="auto"/>
        </w:rPr>
      </w:pPr>
    </w:p>
    <w:p>
      <w:pPr>
        <w:ind w:right="100" w:firstLine="8"/>
        <w:spacing w:after="0" w:line="323" w:lineRule="auto"/>
        <w:tabs>
          <w:tab w:leader="none" w:pos="307"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restrictions on certain payments and issuance of debt. The primary use of existing funds and any funds raised in the future is expected to be for repayment of indebtedness, investments in portfolio companies, cash distributions to our shareholders or for other general corporate purposes.</w:t>
      </w:r>
    </w:p>
    <w:p>
      <w:pPr>
        <w:spacing w:after="0" w:line="92"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Subsequent to June 30, 2009 and through the date of this report, economic conditions in the United States have continued to be weak. As a result our net asset value may decline. The Credit Agreement requires the Company to maintain a minimum amount of shareholder’s equity and requires that the Company’s outstanding borrowings under the Credit Agreement not to exceed a blended percentage of the values of its portfolio companies. The Company’s continued compliance with these covenants depends on many factors, some of which are beyond the Company’s control. Material net asset devaluation could have a material adverse effect on the Company’s operations and could require the Company to reduce its borrowings under the Credit Agreement in order to comply with certain of the Credit Agreement’s covenants, including the ratio of total assets to total indebtedness.</w:t>
      </w:r>
    </w:p>
    <w:p>
      <w:pPr>
        <w:spacing w:after="0" w:line="120"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On June 30, 2009, we had $0.5 million in cash equivalents. During the nine months ended June 30, 2009,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cash outflow of $23.9 million and $9.8 million, respectively, for the three and nine months ended June 30, 2009. Our financing activities resulted in a net cash outflow of cash of $5.5 million and $29.9 million for the same periods, primarily from repayments under the Credit Facility.</w:t>
      </w:r>
    </w:p>
    <w:p>
      <w:pPr>
        <w:spacing w:after="0" w:line="115"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On June 30, 2008, we had $41.0 million in cash equivalents. During the nine months ended June 30, 2008,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cash outflow of $45.2 million and $397.1 million, respectively, for the three and nine months ended June 30, 2008, and our financing activities resulted in a net cash inflow of $5.0 million and $180.2 million for the same periods, primarily from borrowings under the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20" w:firstLine="449"/>
        <w:spacing w:after="0" w:line="268" w:lineRule="auto"/>
        <w:rPr>
          <w:sz w:val="20"/>
          <w:szCs w:val="20"/>
          <w:color w:val="auto"/>
        </w:rPr>
      </w:pPr>
      <w:r>
        <w:rPr>
          <w:rFonts w:ascii="Arial" w:cs="Arial" w:eastAsia="Arial" w:hAnsi="Arial"/>
          <w:sz w:val="18"/>
          <w:szCs w:val="18"/>
          <w:color w:val="auto"/>
        </w:rPr>
        <w:t>At June 30, 2009, a summary of our significant contractual payment obligations for the repayment of outstanding borrowing under the Credit Facility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Payments due by period (millions)</w:t>
            </w:r>
          </w:p>
        </w:tc>
        <w:tc>
          <w:tcPr>
            <w:tcW w:w="620" w:type="dxa"/>
            <w:vAlign w:val="bottom"/>
            <w:tcBorders>
              <w:bottom w:val="single" w:sz="8" w:color="auto"/>
            </w:tcBorders>
          </w:tcPr>
          <w:p>
            <w:pPr>
              <w:spacing w:after="0"/>
              <w:rPr>
                <w:sz w:val="14"/>
                <w:szCs w:val="14"/>
                <w:color w:val="auto"/>
              </w:rPr>
            </w:pPr>
          </w:p>
        </w:tc>
      </w:tr>
      <w:tr>
        <w:trPr>
          <w:trHeight w:val="129"/>
        </w:trPr>
        <w:tc>
          <w:tcPr>
            <w:tcW w:w="52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Less than</w:t>
            </w:r>
          </w:p>
        </w:tc>
        <w:tc>
          <w:tcPr>
            <w:tcW w:w="800" w:type="dxa"/>
            <w:vAlign w:val="bottom"/>
            <w:gridSpan w:val="2"/>
          </w:tcPr>
          <w:p>
            <w:pPr>
              <w:jc w:val="center"/>
              <w:ind w:left="222"/>
              <w:spacing w:after="0" w:line="129" w:lineRule="exact"/>
              <w:rPr>
                <w:sz w:val="20"/>
                <w:szCs w:val="20"/>
                <w:color w:val="auto"/>
              </w:rPr>
            </w:pPr>
            <w:r>
              <w:rPr>
                <w:rFonts w:ascii="Arial" w:cs="Arial" w:eastAsia="Arial" w:hAnsi="Arial"/>
                <w:sz w:val="13"/>
                <w:szCs w:val="13"/>
                <w:b w:val="1"/>
                <w:bCs w:val="1"/>
                <w:color w:val="auto"/>
                <w:w w:val="95"/>
              </w:rPr>
              <w:t>1-3</w:t>
            </w:r>
          </w:p>
        </w:tc>
        <w:tc>
          <w:tcPr>
            <w:tcW w:w="620" w:type="dxa"/>
            <w:vAlign w:val="bottom"/>
            <w:gridSpan w:val="2"/>
          </w:tcPr>
          <w:p>
            <w:pPr>
              <w:ind w:left="380"/>
              <w:spacing w:after="0" w:line="129" w:lineRule="exact"/>
              <w:rPr>
                <w:sz w:val="20"/>
                <w:szCs w:val="20"/>
                <w:color w:val="auto"/>
              </w:rPr>
            </w:pPr>
            <w:r>
              <w:rPr>
                <w:rFonts w:ascii="Arial" w:cs="Arial" w:eastAsia="Arial" w:hAnsi="Arial"/>
                <w:sz w:val="13"/>
                <w:szCs w:val="13"/>
                <w:b w:val="1"/>
                <w:bCs w:val="1"/>
                <w:color w:val="auto"/>
              </w:rPr>
              <w:t>3-5</w:t>
            </w:r>
          </w:p>
        </w:tc>
        <w:tc>
          <w:tcPr>
            <w:tcW w:w="3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9"/>
              </w:rPr>
              <w:t>More than</w:t>
            </w:r>
          </w:p>
        </w:tc>
      </w:tr>
      <w:tr>
        <w:trPr>
          <w:trHeight w:val="161"/>
        </w:trPr>
        <w:tc>
          <w:tcPr>
            <w:tcW w:w="5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3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5"/>
              </w:rPr>
              <w:t>1 year</w:t>
            </w:r>
          </w:p>
        </w:tc>
        <w:tc>
          <w:tcPr>
            <w:tcW w:w="3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4"/>
              </w:rPr>
              <w:t>years</w:t>
            </w:r>
          </w:p>
        </w:tc>
        <w:tc>
          <w:tcPr>
            <w:tcW w:w="3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5 years</w:t>
            </w:r>
          </w:p>
        </w:tc>
      </w:tr>
      <w:tr>
        <w:trPr>
          <w:trHeight w:val="20"/>
        </w:trPr>
        <w:tc>
          <w:tcPr>
            <w:tcW w:w="5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2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$187.3</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left="222"/>
              <w:spacing w:after="0"/>
              <w:rPr>
                <w:sz w:val="20"/>
                <w:szCs w:val="20"/>
                <w:color w:val="auto"/>
              </w:rPr>
            </w:pPr>
            <w:r>
              <w:rPr>
                <w:rFonts w:ascii="Arial" w:cs="Arial" w:eastAsia="Arial" w:hAnsi="Arial"/>
                <w:sz w:val="18"/>
                <w:szCs w:val="18"/>
                <w:color w:val="auto"/>
                <w:w w:val="90"/>
              </w:rPr>
              <w:t>$187.3</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30, 2009, $112.7 million remained unused under our senior secured revolving credit facility, subject to maintenance of at least a 200% ratio of our total assets less liabilities other than indebtedness to our total outstanding indebtedness, maintenance of a blended percentage of the values of our portfolio companies, and restrictions on certain payments and issuance of debt.</w:t>
      </w:r>
    </w:p>
    <w:p>
      <w:pPr>
        <w:spacing w:after="0" w:line="140"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We have entered into certain contracts under which we have material future commitments. We entered into an Investment Management Agreement with the Investment Adviser, which commenced on April 17, 2007, in accordance with the 1940 Act, effective as of the completion of our initial public offering, pursuant to which the Investment Adviser provides us with investment advisory and management services. Payments under the Investment Management Agreement in each reporting period are equal to (1) a management fee equal to a percentage of the value of our gross assets and (2) an incentive fee based on our performance; see note 3 to our financial statements for more information.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Pursuant to an Administration Agreement, which commenced on April 17, 2007, the Administrator furnishes us with office facilities and administrative services necessary to conduct our day-to-day operations. If requested to provide managerial assistance to our portfolio companies, the Administrator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w:t>
      </w:r>
    </w:p>
    <w:p>
      <w:pPr>
        <w:spacing w:after="0" w:line="144" w:lineRule="exact"/>
        <w:rPr>
          <w:sz w:val="20"/>
          <w:szCs w:val="20"/>
          <w:color w:val="auto"/>
        </w:rPr>
      </w:pPr>
    </w:p>
    <w:p>
      <w:pPr>
        <w:ind w:right="4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not engaged in any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right="120" w:firstLine="449"/>
        <w:spacing w:after="0" w:line="306" w:lineRule="auto"/>
        <w:rPr>
          <w:sz w:val="20"/>
          <w:szCs w:val="20"/>
          <w:color w:val="auto"/>
        </w:rPr>
      </w:pPr>
      <w:r>
        <w:rPr>
          <w:rFonts w:ascii="Arial" w:cs="Arial" w:eastAsia="Arial" w:hAnsi="Arial"/>
          <w:sz w:val="16"/>
          <w:szCs w:val="16"/>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6" w:lineRule="exact"/>
        <w:rPr>
          <w:sz w:val="20"/>
          <w:szCs w:val="20"/>
          <w:color w:val="auto"/>
        </w:rPr>
      </w:pPr>
    </w:p>
    <w:p>
      <w:pPr>
        <w:jc w:val="both"/>
        <w:ind w:right="140" w:firstLine="449"/>
        <w:spacing w:after="0" w:line="268" w:lineRule="auto"/>
        <w:rPr>
          <w:sz w:val="20"/>
          <w:szCs w:val="20"/>
          <w:color w:val="auto"/>
        </w:rPr>
      </w:pPr>
      <w:r>
        <w:rPr>
          <w:rFonts w:ascii="Arial" w:cs="Arial" w:eastAsia="Arial" w:hAnsi="Arial"/>
          <w:sz w:val="18"/>
          <w:szCs w:val="18"/>
          <w:color w:val="auto"/>
        </w:rPr>
        <w:t>Distributions declared to stockholders for the three and nine months ended June 30, 2009, totaled $5.1 million and $15.2 million, respectively, or $0.24 and $0.72 per share, respectively.</w:t>
      </w:r>
    </w:p>
    <w:p>
      <w:pPr>
        <w:spacing w:after="0" w:line="132" w:lineRule="exact"/>
        <w:rPr>
          <w:sz w:val="20"/>
          <w:szCs w:val="20"/>
          <w:color w:val="auto"/>
        </w:rPr>
      </w:pPr>
    </w:p>
    <w:p>
      <w:pPr>
        <w:jc w:val="both"/>
        <w:ind w:right="140" w:firstLine="449"/>
        <w:spacing w:after="0" w:line="268" w:lineRule="auto"/>
        <w:rPr>
          <w:sz w:val="20"/>
          <w:szCs w:val="20"/>
          <w:color w:val="auto"/>
        </w:rPr>
      </w:pPr>
      <w:r>
        <w:rPr>
          <w:rFonts w:ascii="Arial" w:cs="Arial" w:eastAsia="Arial" w:hAnsi="Arial"/>
          <w:sz w:val="18"/>
          <w:szCs w:val="18"/>
          <w:color w:val="auto"/>
        </w:rPr>
        <w:t>Distributions declared to stockholders for the three and nine months ended June 30, 2008, totaled $4.6 million and $13.9 million, respectively, or $0.22 and $0.66 per share, respectively.</w:t>
      </w:r>
    </w:p>
    <w:p>
      <w:pPr>
        <w:spacing w:after="0" w:line="132"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We intend to continue to distribute quarterly dividends to our stockholders. Our quarterly dividends, if any, are determined by our board of directors. Tax characteristics of all distributions will be reported to stockholders on Form 1099 after the end of the calendar year.</w:t>
      </w:r>
    </w:p>
    <w:p>
      <w:pPr>
        <w:spacing w:after="0" w:line="132"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business development company under the 1940 Act or due to provisions in current or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21, 2009, PennantPark Investment Corporation filed a Proxy statement announcing a shareholder meeting on August 25, 2009 at 9:30 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requesting shareholders to approve of the following two proposals:</w:t>
      </w:r>
    </w:p>
    <w:p>
      <w:pPr>
        <w:spacing w:after="0" w:line="84" w:lineRule="exact"/>
        <w:rPr>
          <w:sz w:val="20"/>
          <w:szCs w:val="20"/>
          <w:color w:val="auto"/>
        </w:rPr>
      </w:pPr>
    </w:p>
    <w:p>
      <w:pPr>
        <w:ind w:left="900" w:right="140" w:hanging="447"/>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the proxy statement; and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160" w:hanging="447"/>
        <w:spacing w:after="0" w:line="25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us to sell or otherwise issue pursuant to such authority from time to time long-term warrants or securities to subscribe for or convertible into shares of our Common Stock, subject to certain limitations described in this proxy statement (including that the cumulative number of shares sold pursuant to such authority does not exceed 25% of our then outstanding common stock immediately prior to each such sale). In addition, unlike Proposal 1 above, the authority gained under this proposal does not expire after 12 months.</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and typically have durations of one to six months after which they reset to current market interest rates.</w:t>
      </w:r>
    </w:p>
    <w:p>
      <w:pPr>
        <w:spacing w:after="0" w:line="14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the rate at which we borrow funds and the rate at which we invest these funds. On June 30, 2009 our floating-rate assets and liabilities were closely matched. In periods of declining interest rates, our cost of funds would decrease, but our net investment income may also decrease. As a result, there can be no assurance that a significant change in market interest rates will not have a material adverse effect on our net investment income.</w:t>
      </w:r>
    </w:p>
    <w:p>
      <w:pPr>
        <w:spacing w:after="0" w:line="112"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00" w:firstLine="449"/>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under the Securities Exchange Act of 1934). Based on that evaluation, our management, including the Chief Executive Officer and Chief Financial Officer, concluded that our disclosure controls and procedures were effective in timely alerting management, including the Chief Executive Officer and Chief Financial Officer, of material information about us required to be included in periodic SEC filings.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There have been no changes in our internal controls over financial reporting (as defined in Rule 13a-15(f) under the Securities Exchange Act of 1934) that occurred during the period covered by this report that have materially affected, or are reasonably likely to materially affect, our internal controls over financial reporting.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jc w:val="both"/>
        <w:ind w:right="200" w:firstLine="449"/>
        <w:spacing w:after="0" w:line="294" w:lineRule="auto"/>
        <w:rPr>
          <w:sz w:val="20"/>
          <w:szCs w:val="20"/>
          <w:color w:val="auto"/>
        </w:rPr>
      </w:pPr>
      <w:r>
        <w:rPr>
          <w:rFonts w:ascii="Arial" w:cs="Arial" w:eastAsia="Arial" w:hAnsi="Arial"/>
          <w:sz w:val="16"/>
          <w:szCs w:val="16"/>
          <w:color w:val="auto"/>
        </w:rPr>
        <w:t>Neither our Investment Adviser, our Administrator or us is currently subject to any material legal proceedings, nor, to our knowledge, is any material legal proceeding threatened against us, or against the Investment Adviser or Administrator. 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 xml:space="preserve">In addition to the other information set forth in this report, you should carefully consider the factors discussed in Part I, “Item 1A. Risk Factors” in our Annual Report on Form 10-K for the fiscal year ended September 30, 2008, which could materially affect our business, financial condition and/or operating results. The risks described in our Annual Report on Form 10-K are not the only risks facing our Company. Our annual report is posted on the SEC’s web 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on our web-site, </w:t>
      </w:r>
      <w:r>
        <w:rPr>
          <w:rFonts w:ascii="Arial" w:cs="Arial" w:eastAsia="Arial" w:hAnsi="Arial"/>
          <w:sz w:val="16"/>
          <w:szCs w:val="16"/>
          <w:u w:val="single" w:color="auto"/>
          <w:color w:val="auto"/>
        </w:rPr>
        <w:t>www.pennantpark.com</w:t>
      </w:r>
      <w:r>
        <w:rPr>
          <w:rFonts w:ascii="Arial" w:cs="Arial" w:eastAsia="Arial" w:hAnsi="Arial"/>
          <w:sz w:val="16"/>
          <w:szCs w:val="16"/>
          <w:color w:val="auto"/>
        </w:rPr>
        <w:t>. Additional risks and uncertainties not currently known to us or that we currently deem to be immaterial also may materially adversely affect our business, financial condition and/or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economic and market conditions have materially and adversely impacted debt and equity capital markets in the United States.</w:t>
      </w:r>
    </w:p>
    <w:p>
      <w:pPr>
        <w:spacing w:after="0" w:line="19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debt and equity capital markets in the United States have been negatively impacted by significant write-offs in the financial services sector relating to subprime mortgages and other credit instruments and the re-pricing of credit risk in the broadly syndicated market, among other things. These events, along with the deterioration of the housing market and the failure of major financial institutions, have led to worsening general economic conditions, which have materially and adversely impacted the broader financial and credit markets and have reduced the availability of debt and equity capital for the market as a whole and for financial firms in particular. We believe that debt financing will be available to us, if at all, at a higher cost, and on terms and conditions that may be less favorable, which could negatively affect our financial performance and results. In addition, the prolonged continuation or further deterioration of current economic and market conditions could adversely impact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in a period of capital markets disruption, instability and illiquidity.</w:t>
      </w:r>
    </w:p>
    <w:p>
      <w:pPr>
        <w:spacing w:after="0" w:line="17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2007 and continuing up to this reporting period in 2009, the U.S. capital markets entered into a period of disruption as evidenced by increasing interest rate spreads between the yields realized on riskier debt securities and those realized on risk-free securities and a lack of liquidity in parts of the debt capital markets. The United States and other countries are also in a recession, and such adverse macro-economic conditions may continue for a prolonged period of time or worsen in the future. Barring any additional capital raising on our part, a prolonged period of market illiquidity will require us to reduce the volume of loans we originate and/or fund, which could have an adverse effect on our business, financial condition, and results of operations. This period may increase the probability that these risks negatively impact us.</w:t>
      </w:r>
    </w:p>
    <w:p>
      <w:pPr>
        <w:spacing w:after="0" w:line="120" w:lineRule="exact"/>
        <w:rPr>
          <w:sz w:val="20"/>
          <w:szCs w:val="20"/>
          <w:color w:val="auto"/>
        </w:rPr>
      </w:pPr>
    </w:p>
    <w:p>
      <w:pPr>
        <w:ind w:right="440" w:firstLine="449"/>
        <w:spacing w:after="0" w:line="268" w:lineRule="auto"/>
        <w:rPr>
          <w:sz w:val="20"/>
          <w:szCs w:val="20"/>
          <w:color w:val="auto"/>
        </w:rPr>
      </w:pPr>
      <w:r>
        <w:rPr>
          <w:rFonts w:ascii="Arial" w:cs="Arial" w:eastAsia="Arial" w:hAnsi="Arial"/>
          <w:sz w:val="18"/>
          <w:szCs w:val="18"/>
          <w:color w:val="auto"/>
        </w:rPr>
        <w:t>The recent market volatility and low level of liquidity affects the valuation of our investments. Changes in market activity and liquidity may have a significant impact on the value of our investments in the future.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of regulated investment company tax treatment would substantially reduce net assets and income available for debt service and dividends.</w:t>
      </w:r>
    </w:p>
    <w:p>
      <w:pPr>
        <w:spacing w:after="0" w:line="194"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We have operated so as to qualify as a regulated investment company under Subchapter M of the Code. If we meet source of income,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distributions to our stockholders because in certain cases we may recognize income before or without receiving cash representing such income. If we fail to qualify as a regulated investment company, we will have to pay corporate-level taxes on all of our income whether or not we distribute it, which would substantially reduce the amount of income available for debt service and distributions to our stockholders. Even if we qualify as a regulated investment company,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18"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b w:val="1"/>
          <w:bCs w:val="1"/>
          <w:i w:val="1"/>
          <w:iCs w:val="1"/>
          <w:color w:val="auto"/>
        </w:rPr>
        <w:t>Stockholders may incur dilution if we sell or otherwise issue shares of our common stock at prices below the then current net asset value per share of our common stock.</w:t>
      </w:r>
    </w:p>
    <w:p>
      <w:pPr>
        <w:spacing w:after="0" w:line="132"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We have recently asked our stockholders to approve a proposal that authorizes us to sell shares of our common stock below the then current net asset value per share of our common stock in one or more offerings. This proposal would allow us to access the capital markets in a way that we were previously unable to as a result of restrictions that, absent stockholder approval, apply to BDCs under the 1940 Act. Any decision to sell shares of our common stock below the then current net asset value per share of our common stock in one or more offerings would be subject to the determination by our Board of Directors that such issuance and sale is in our and our stockholders’ best interests.</w:t>
      </w:r>
    </w:p>
    <w:p>
      <w:pPr>
        <w:spacing w:after="0" w:line="11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Any sale or other issuance of shares of our common stock at a price below net asset value per share would result in an immediate dilution to the net asset value per share. This dilution would occur as a result of a proportionately greater decrease in a stockholder’s interest in our earnings and assets and voting interest in us than the increase in our assets resulting from such issuance.</w:t>
      </w:r>
    </w:p>
    <w:p>
      <w:pPr>
        <w:spacing w:after="0" w:line="140" w:lineRule="exact"/>
        <w:rPr>
          <w:sz w:val="20"/>
          <w:szCs w:val="20"/>
          <w:color w:val="auto"/>
        </w:rPr>
      </w:pPr>
    </w:p>
    <w:p>
      <w:pPr>
        <w:ind w:right="380" w:firstLine="449"/>
        <w:spacing w:after="0" w:line="268" w:lineRule="auto"/>
        <w:rPr>
          <w:sz w:val="20"/>
          <w:szCs w:val="20"/>
          <w:color w:val="auto"/>
        </w:rPr>
      </w:pPr>
      <w:r>
        <w:rPr>
          <w:rFonts w:ascii="Arial" w:cs="Arial" w:eastAsia="Arial" w:hAnsi="Arial"/>
          <w:sz w:val="18"/>
          <w:szCs w:val="18"/>
          <w:color w:val="auto"/>
        </w:rPr>
        <w:t>Because the number of shares of common stock that could be issued and the timing of any issuance is not currently known, the actual dilutive effect cannot be predicted. Please refer to our most recently filed Proxy for further details.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common stockholders may not receive dividends or distributions.</w:t>
      </w:r>
    </w:p>
    <w:p>
      <w:pPr>
        <w:spacing w:after="0" w:line="171"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due to the asset coverage test applicable to us as a business development company, we may in the future be limited in our ability to make distributions. Also, our revolving credit facility may limit our ability to declare dividends if we default under certain provisions. If we do not distribute a certain percentage of our income annually, we will suffer adverse tax consequences, including possible loss of the tax benefits available to us as a regulated investment company. In addition, in accordance with U.S. generally accepted accounting principles and tax regulations, we include in income certain amounts that we have not yet received in cash, such as contractual payment-in-kind interest, which represents contractual interest added to the loan balance that becomes due at the end of the loan term, or the accrual of original issue or market discount. Since we may recognize income before or without receiving cash representing such income, we may have difficulty meeting the requirement to distribute at least 90% of our investment company taxable income to obtain tax benefits as a regulated investment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receive our stock as dividends</w:t>
      </w:r>
    </w:p>
    <w:p>
      <w:pPr>
        <w:spacing w:after="0" w:line="171"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regulated investment company to distribute its own stock as a dividend for the purpose of fulfilling its distribution requirements. Pursuant to this revenue procedure, a regulated investment company may treat a distribution of its own stock as a dividend if (i) the stock is publicly traded on an established securities market, (ii) the distribution is declared with respect to a taxable year ending on or before December 31, 2009 and (iii) each shareholder may elect to receive his or her entire distribution in either cash or stock of the regulated investment company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 See the risk factor above, “</w:t>
      </w:r>
      <w:r>
        <w:rPr>
          <w:rFonts w:ascii="Arial" w:cs="Arial" w:eastAsia="Arial" w:hAnsi="Arial"/>
          <w:sz w:val="16"/>
          <w:szCs w:val="16"/>
          <w:i w:val="1"/>
          <w:iCs w:val="1"/>
          <w:color w:val="auto"/>
        </w:rPr>
        <w:t>There is a risk that our common stockholders may</w:t>
      </w:r>
      <w:r>
        <w:rPr>
          <w:rFonts w:ascii="Arial" w:cs="Arial" w:eastAsia="Arial" w:hAnsi="Arial"/>
          <w:sz w:val="16"/>
          <w:szCs w:val="16"/>
          <w:color w:val="auto"/>
        </w:rPr>
        <w:t xml:space="preserve"> </w:t>
      </w:r>
      <w:r>
        <w:rPr>
          <w:rFonts w:ascii="Arial" w:cs="Arial" w:eastAsia="Arial" w:hAnsi="Arial"/>
          <w:sz w:val="16"/>
          <w:szCs w:val="16"/>
          <w:i w:val="1"/>
          <w:iCs w:val="1"/>
          <w:color w:val="auto"/>
        </w:rPr>
        <w:t>not receive dividends or distributions,</w:t>
      </w:r>
      <w:r>
        <w:rPr>
          <w:rFonts w:ascii="Arial" w:cs="Arial" w:eastAsia="Arial" w:hAnsi="Arial"/>
          <w:sz w:val="16"/>
          <w:szCs w:val="16"/>
          <w:color w:val="auto"/>
        </w:rPr>
        <w:t>” regarding the risk that shareholders may receive no dividends.</w:t>
      </w:r>
    </w:p>
    <w:p>
      <w:pPr>
        <w:spacing w:after="0" w:line="2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560" w:type="dxa"/>
            <w:vAlign w:val="bottom"/>
          </w:tcPr>
          <w:p>
            <w:pPr>
              <w:ind w:left="300"/>
              <w:spacing w:after="0"/>
              <w:rPr>
                <w:sz w:val="20"/>
                <w:szCs w:val="20"/>
                <w:color w:val="auto"/>
              </w:rPr>
            </w:pPr>
            <w:r>
              <w:rPr>
                <w:rFonts w:ascii="Arial" w:cs="Arial" w:eastAsia="Arial" w:hAnsi="Arial"/>
                <w:sz w:val="18"/>
                <w:szCs w:val="18"/>
                <w:color w:val="auto"/>
                <w:w w:val="89"/>
              </w:rPr>
              <w:t>Articles of Incorporation (Incorporated by reference to the Registrant’s Pre-Effective Amendment No. 1 to the Registration Statement on Form N-</w:t>
            </w:r>
          </w:p>
        </w:tc>
      </w:tr>
      <w:tr>
        <w:trPr>
          <w:trHeight w:val="222"/>
        </w:trPr>
        <w:tc>
          <w:tcPr>
            <w:tcW w:w="520" w:type="dxa"/>
            <w:vAlign w:val="bottom"/>
          </w:tcPr>
          <w:p>
            <w:pPr>
              <w:spacing w:after="0"/>
              <w:rPr>
                <w:sz w:val="19"/>
                <w:szCs w:val="19"/>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2 (File No. 333-140092), filed on March 5, 2007).</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560" w:type="dxa"/>
            <w:vAlign w:val="bottom"/>
          </w:tcPr>
          <w:p>
            <w:pPr>
              <w:ind w:left="300"/>
              <w:spacing w:after="0"/>
              <w:rPr>
                <w:sz w:val="20"/>
                <w:szCs w:val="20"/>
                <w:color w:val="auto"/>
              </w:rPr>
            </w:pPr>
            <w:r>
              <w:rPr>
                <w:rFonts w:ascii="Arial" w:cs="Arial" w:eastAsia="Arial" w:hAnsi="Arial"/>
                <w:sz w:val="18"/>
                <w:szCs w:val="18"/>
                <w:color w:val="auto"/>
                <w:w w:val="90"/>
              </w:rPr>
              <w:t>Amended and Restated Bylaws (Incorporated by reference to Exhibit 3.2 to the Registrant’s Annual Report on Form 10-K (File No. 814-00736),</w:t>
            </w:r>
          </w:p>
        </w:tc>
      </w:tr>
      <w:tr>
        <w:trPr>
          <w:trHeight w:val="222"/>
        </w:trPr>
        <w:tc>
          <w:tcPr>
            <w:tcW w:w="520" w:type="dxa"/>
            <w:vAlign w:val="bottom"/>
          </w:tcPr>
          <w:p>
            <w:pPr>
              <w:spacing w:after="0"/>
              <w:rPr>
                <w:sz w:val="19"/>
                <w:szCs w:val="19"/>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filed on December 13, 2007).</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Form of Share Certificate (Incorporated by reference to Exhibit 99(d)(1) to the Registrant’s Registration Statement on Form N-2 (File No. 333-</w:t>
            </w:r>
          </w:p>
        </w:tc>
      </w:tr>
      <w:tr>
        <w:trPr>
          <w:trHeight w:val="222"/>
        </w:trPr>
        <w:tc>
          <w:tcPr>
            <w:tcW w:w="520" w:type="dxa"/>
            <w:vAlign w:val="bottom"/>
          </w:tcPr>
          <w:p>
            <w:pPr>
              <w:spacing w:after="0"/>
              <w:rPr>
                <w:sz w:val="19"/>
                <w:szCs w:val="19"/>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150033), filed on April 2, 2008).</w:t>
            </w:r>
          </w:p>
        </w:tc>
      </w:tr>
    </w:tbl>
    <w:p>
      <w:pPr>
        <w:spacing w:after="0" w:line="102" w:lineRule="exact"/>
        <w:rPr>
          <w:sz w:val="20"/>
          <w:szCs w:val="20"/>
          <w:color w:val="auto"/>
        </w:rPr>
      </w:pPr>
    </w:p>
    <w:p>
      <w:pPr>
        <w:ind w:left="920" w:hanging="907"/>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unaudited financial statements contained in this Report).</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920" w:hanging="871"/>
        <w:spacing w:after="0" w:line="268" w:lineRule="auto"/>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Exhibit 99.1 to the Registrant’s Annual Report on Form 10-K (File No. 814-00736), filed on November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tabs>
          <w:tab w:leader="none" w:pos="5960" w:val="left"/>
          <w:tab w:leader="none" w:pos="8140" w:val="left"/>
        </w:tabs>
        <w:rPr>
          <w:sz w:val="20"/>
          <w:szCs w:val="20"/>
          <w:color w:val="auto"/>
        </w:rPr>
      </w:pPr>
      <w:r>
        <w:rPr>
          <w:rFonts w:ascii="Arial" w:cs="Arial" w:eastAsia="Arial" w:hAnsi="Arial"/>
          <w:sz w:val="18"/>
          <w:szCs w:val="18"/>
          <w:color w:val="auto"/>
        </w:rPr>
        <w:t>Date: August 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H. Penn</w:t>
      </w:r>
    </w:p>
    <w:p>
      <w:pPr>
        <w:spacing w:after="0" w:line="17" w:lineRule="exact"/>
        <w:rPr>
          <w:sz w:val="20"/>
          <w:szCs w:val="20"/>
          <w:color w:val="auto"/>
        </w:rPr>
      </w:pPr>
    </w:p>
    <w:p>
      <w:pPr>
        <w:jc w:val="center"/>
        <w:ind w:left="6340"/>
        <w:spacing w:after="0"/>
        <w:rPr>
          <w:sz w:val="20"/>
          <w:szCs w:val="20"/>
          <w:color w:val="auto"/>
        </w:rPr>
      </w:pPr>
      <w:r>
        <w:rPr>
          <w:rFonts w:ascii="Arial" w:cs="Arial" w:eastAsia="Arial" w:hAnsi="Arial"/>
          <w:sz w:val="18"/>
          <w:szCs w:val="18"/>
          <w:b w:val="1"/>
          <w:bCs w:val="1"/>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-130175</wp:posOffset>
            </wp:positionV>
            <wp:extent cx="31718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 w:lineRule="exact"/>
        <w:rPr>
          <w:sz w:val="20"/>
          <w:szCs w:val="20"/>
          <w:color w:val="auto"/>
        </w:rPr>
      </w:pPr>
    </w:p>
    <w:p>
      <w:pPr>
        <w:jc w:val="center"/>
        <w:ind w:left="6340"/>
        <w:spacing w:after="0"/>
        <w:rPr>
          <w:sz w:val="20"/>
          <w:szCs w:val="20"/>
          <w:color w:val="auto"/>
        </w:rPr>
      </w:pPr>
      <w:r>
        <w:rPr>
          <w:rFonts w:ascii="Arial" w:cs="Arial" w:eastAsia="Arial" w:hAnsi="Arial"/>
          <w:sz w:val="18"/>
          <w:szCs w:val="18"/>
          <w:b w:val="1"/>
          <w:bCs w:val="1"/>
          <w:color w:val="auto"/>
        </w:rPr>
        <w:t>Chief Executive Officer</w:t>
      </w:r>
    </w:p>
    <w:p>
      <w:pPr>
        <w:spacing w:after="0" w:line="219" w:lineRule="exact"/>
        <w:rPr>
          <w:sz w:val="20"/>
          <w:szCs w:val="20"/>
          <w:color w:val="auto"/>
        </w:rPr>
      </w:pPr>
    </w:p>
    <w:p>
      <w:pPr>
        <w:spacing w:after="0"/>
        <w:tabs>
          <w:tab w:leader="none" w:pos="5960" w:val="left"/>
          <w:tab w:leader="none" w:pos="8300" w:val="left"/>
        </w:tabs>
        <w:rPr>
          <w:sz w:val="20"/>
          <w:szCs w:val="20"/>
          <w:color w:val="auto"/>
        </w:rPr>
      </w:pPr>
      <w:r>
        <w:rPr>
          <w:rFonts w:ascii="Arial" w:cs="Arial" w:eastAsia="Arial" w:hAnsi="Arial"/>
          <w:sz w:val="18"/>
          <w:szCs w:val="18"/>
          <w:color w:val="auto"/>
        </w:rPr>
        <w:t>Date: August 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Aviv Efrat</w:t>
      </w:r>
    </w:p>
    <w:p>
      <w:pPr>
        <w:spacing w:after="0" w:line="17" w:lineRule="exact"/>
        <w:rPr>
          <w:sz w:val="20"/>
          <w:szCs w:val="20"/>
          <w:color w:val="auto"/>
        </w:rPr>
      </w:pPr>
    </w:p>
    <w:p>
      <w:pPr>
        <w:jc w:val="center"/>
        <w:ind w:left="6340"/>
        <w:spacing w:after="0"/>
        <w:rPr>
          <w:sz w:val="20"/>
          <w:szCs w:val="20"/>
          <w:color w:val="auto"/>
        </w:rPr>
      </w:pPr>
      <w:r>
        <w:rPr>
          <w:rFonts w:ascii="Arial" w:cs="Arial" w:eastAsia="Arial" w:hAnsi="Arial"/>
          <w:sz w:val="18"/>
          <w:szCs w:val="18"/>
          <w:b w:val="1"/>
          <w:bCs w:val="1"/>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-130175</wp:posOffset>
            </wp:positionV>
            <wp:extent cx="31718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 w:lineRule="exact"/>
        <w:rPr>
          <w:sz w:val="20"/>
          <w:szCs w:val="20"/>
          <w:color w:val="auto"/>
        </w:rPr>
      </w:pPr>
    </w:p>
    <w:p>
      <w:pPr>
        <w:jc w:val="center"/>
        <w:ind w:left="63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34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441"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59" w:lineRule="auto"/>
        <w:tabs>
          <w:tab w:leader="none" w:pos="1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0" w:lineRule="exact"/>
        <w:rPr>
          <w:sz w:val="20"/>
          <w:szCs w:val="20"/>
          <w:color w:val="auto"/>
        </w:rPr>
      </w:pPr>
    </w:p>
    <w:p>
      <w:pPr>
        <w:jc w:val="both"/>
        <w:ind w:right="240" w:firstLine="8"/>
        <w:spacing w:after="0" w:line="259"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0" w:firstLine="8"/>
        <w:spacing w:after="0" w:line="259" w:lineRule="auto"/>
        <w:tabs>
          <w:tab w:leader="none" w:pos="1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441"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jc w:val="both"/>
        <w:ind w:right="20" w:firstLine="8"/>
        <w:spacing w:after="0" w:line="369" w:lineRule="auto"/>
        <w:tabs>
          <w:tab w:leader="none" w:pos="175"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64" w:lineRule="exact"/>
        <w:rPr>
          <w:sz w:val="20"/>
          <w:szCs w:val="20"/>
          <w:color w:val="auto"/>
        </w:rPr>
      </w:pPr>
    </w:p>
    <w:p>
      <w:pPr>
        <w:jc w:val="both"/>
        <w:ind w:right="240" w:firstLine="8"/>
        <w:spacing w:after="0" w:line="259"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0" w:firstLine="8"/>
        <w:spacing w:after="0" w:line="259" w:lineRule="auto"/>
        <w:tabs>
          <w:tab w:leader="none" w:pos="1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connection with this Report on Form 10-Q for the nine months ended June 30, 2009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5, 2009</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nine months ended June 30, 2009 (the “Report”) of PennantPark Investment Corporation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5, 2009</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lowerLetter"/>
      <w:start w:val="2"/>
    </w:lvl>
  </w:abstractNum>
  <w:abstractNum w:abstractNumId="7">
    <w:nsid w:val="436C6125"/>
    <w:multiLevelType w:val="hybridMultilevel"/>
    <w:lvl w:ilvl="0">
      <w:lvlJc w:val="left"/>
      <w:lvlText w:val="(%1)"/>
      <w:numFmt w:val="lowerLetter"/>
      <w:start w:val="6"/>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3"/>
    </w:lvl>
  </w:abstractNum>
  <w:abstractNum w:abstractNumId="18">
    <w:nsid w:val="B03E0C6"/>
    <w:multiLevelType w:val="hybridMultilevel"/>
    <w:lvl w:ilvl="0">
      <w:lvlJc w:val="left"/>
      <w:lvlText w:val="(%1)"/>
      <w:numFmt w:val="lowerRoman"/>
      <w:start w:val="3"/>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2"/>
    </w:lvl>
  </w:abstractNum>
  <w:abstractNum w:abstractNumId="22">
    <w:nsid w:val="2CA88611"/>
    <w:multiLevelType w:val="hybridMultilevel"/>
    <w:lvl w:ilvl="0">
      <w:lvlJc w:val="left"/>
      <w:lvlText w:val="%1"/>
      <w:numFmt w:val="decimal"/>
      <w:start w:val="1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2020-05-05T15:09:13Z</dcterms:created>
  <dcterms:modified xsi:type="dcterms:W3CDTF">2020-05-05T15:09:13Z</dcterms:modified>
</cp:coreProperties>
</file>