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9, 2022</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1691 Michigan Avenue, Miami Beach, Florida 33139</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590 Madison Avenue, 15th Floor</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spacing w:after="0" w:line="2"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4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PNNT</w:t>
      </w:r>
    </w:p>
    <w:p>
      <w:pPr>
        <w:spacing w:after="0" w:line="20" w:lineRule="exact"/>
        <w:rPr>
          <w:sz w:val="24"/>
          <w:szCs w:val="24"/>
          <w:color w:val="auto"/>
        </w:rPr>
      </w:pPr>
      <w:r>
        <w:rPr>
          <w:sz w:val="24"/>
          <w:szCs w:val="24"/>
          <w:color w:val="auto"/>
        </w:rPr>
        <w:br w:type="column"/>
      </w:r>
    </w:p>
    <w:p>
      <w:pPr>
        <w:jc w:val="center"/>
        <w:ind w:right="28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300" w:space="720"/>
            <w:col w:w="1560" w:space="720"/>
            <w:col w:w="3800"/>
          </w:cols>
          <w:pgMar w:left="320" w:top="724" w:right="479" w:bottom="1440" w:gutter="0" w:footer="0" w:header="0"/>
          <w:type w:val="continuous"/>
        </w:sectPr>
      </w:pPr>
    </w:p>
    <w:p>
      <w:pPr>
        <w:spacing w:after="0" w:line="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February 9, 2022, PennantPark Investment Corporation, or the Company, issued a press release announcing its financial results for the first fiscal quarter ended December 31, 2021. A copy of the press release is furnished as Exhibit 99.1 to this report pursuant to Item 2.02 on Form 8-K and Regulation FD.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February 9, 2022, the Company announced an increase of its second fiscal quarter 2022 distribution. A copy of the press release is furnished as Exhibit 99.1 to this Form 8-K.</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impact on the Company’s business and operating results, see the Company’s Quarterly Report on Form 10-Q for the quarter ended December 31, 2021, including “Item 2. Management's Discussion and Analysis of Financial Condition and Results of Operations – COVID-19 Developments”.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8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Investment Corporation dated February 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840" w:type="dxa"/>
            <w:vAlign w:val="bottom"/>
            <w:gridSpan w:val="3"/>
          </w:tcPr>
          <w:p>
            <w:pPr>
              <w:ind w:left="190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February 9, 2022</w:t>
            </w:r>
          </w:p>
        </w:tc>
        <w:tc>
          <w:tcPr>
            <w:tcW w:w="4840" w:type="dxa"/>
            <w:vAlign w:val="bottom"/>
            <w:gridSpan w:val="3"/>
          </w:tcPr>
          <w:p>
            <w:pPr>
              <w:ind w:left="1900"/>
              <w:spacing w:after="0"/>
              <w:rPr>
                <w:sz w:val="20"/>
                <w:szCs w:val="20"/>
                <w:color w:val="auto"/>
              </w:rPr>
            </w:pPr>
            <w:r>
              <w:rPr>
                <w:rFonts w:ascii="Arial" w:cs="Arial" w:eastAsia="Arial" w:hAnsi="Arial"/>
                <w:sz w:val="18"/>
                <w:szCs w:val="18"/>
                <w:color w:val="auto"/>
              </w:rPr>
              <w:t>By: /s/ Richard Cheung</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88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340" w:right="380"/>
        <w:spacing w:after="0" w:line="334" w:lineRule="auto"/>
        <w:rPr>
          <w:sz w:val="20"/>
          <w:szCs w:val="20"/>
          <w:color w:val="auto"/>
        </w:rPr>
      </w:pPr>
      <w:r>
        <w:rPr>
          <w:rFonts w:ascii="Arial" w:cs="Arial" w:eastAsia="Arial" w:hAnsi="Arial"/>
          <w:sz w:val="19"/>
          <w:szCs w:val="19"/>
          <w:b w:val="1"/>
          <w:bCs w:val="1"/>
          <w:color w:val="auto"/>
        </w:rPr>
        <w:t>PennantPark Investment Corporation Announces an Increase of Its Quarterly Distribution to $0.14 per Share, Its Financial Results for the Quarter Ended December 31, 2021 and Initiates a Stock Repurchase Program</w:t>
      </w:r>
    </w:p>
    <w:p>
      <w:pPr>
        <w:spacing w:after="0" w:line="10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MIAMI, Feb. 09, 2022 (GLOBE NEWSWIRE) -- PennantPark Investment Corporation (NASDAQ: PNNT) announced today financial results for the first fiscal quarter ended December 31, 2021.</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HIGHLIGHTS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Quarter ended December 31, 2021</w:t>
      </w:r>
    </w:p>
    <w:p>
      <w:pPr>
        <w:ind w:left="20"/>
        <w:spacing w:after="0"/>
        <w:rPr>
          <w:sz w:val="20"/>
          <w:szCs w:val="20"/>
          <w:color w:val="auto"/>
        </w:rPr>
      </w:pPr>
      <w:r>
        <w:rPr>
          <w:rFonts w:ascii="Arial" w:cs="Arial" w:eastAsia="Arial" w:hAnsi="Arial"/>
          <w:sz w:val="22"/>
          <w:szCs w:val="22"/>
          <w:color w:val="auto"/>
        </w:rPr>
        <w:t>($ in millions, except per share amounts)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Assets and Liabilities:</w:t>
      </w:r>
    </w:p>
    <w:tbl>
      <w:tblPr>
        <w:tblLayout w:type="fixed"/>
        <w:tblInd w:w="20" w:type="dxa"/>
        <w:tblCellMar>
          <w:top w:w="0" w:type="dxa"/>
          <w:left w:w="0" w:type="dxa"/>
          <w:bottom w:w="0" w:type="dxa"/>
          <w:right w:w="0" w:type="dxa"/>
        </w:tblCellMar>
      </w:tblPr>
      <w:tr>
        <w:trPr>
          <w:trHeight w:val="337"/>
        </w:trPr>
        <w:tc>
          <w:tcPr>
            <w:tcW w:w="7320" w:type="dxa"/>
            <w:vAlign w:val="bottom"/>
          </w:tcPr>
          <w:p>
            <w:pPr>
              <w:ind w:left="120"/>
              <w:spacing w:after="0" w:line="336"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26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140" w:type="dxa"/>
            <w:vAlign w:val="bottom"/>
          </w:tcPr>
          <w:p>
            <w:pPr>
              <w:jc w:val="right"/>
              <w:ind w:right="72"/>
              <w:spacing w:after="0"/>
              <w:rPr>
                <w:sz w:val="20"/>
                <w:szCs w:val="20"/>
                <w:color w:val="auto"/>
              </w:rPr>
            </w:pPr>
            <w:r>
              <w:rPr>
                <w:rFonts w:ascii="Arial" w:cs="Arial" w:eastAsia="Arial" w:hAnsi="Arial"/>
                <w:sz w:val="22"/>
                <w:szCs w:val="22"/>
                <w:color w:val="auto"/>
              </w:rPr>
              <w:t>1,445.4</w:t>
            </w:r>
          </w:p>
        </w:tc>
        <w:tc>
          <w:tcPr>
            <w:tcW w:w="0" w:type="dxa"/>
            <w:vAlign w:val="bottom"/>
          </w:tcPr>
          <w:p>
            <w:pPr>
              <w:spacing w:after="0"/>
              <w:rPr>
                <w:sz w:val="1"/>
                <w:szCs w:val="1"/>
                <w:color w:val="auto"/>
              </w:rPr>
            </w:pPr>
          </w:p>
        </w:tc>
      </w:tr>
      <w:tr>
        <w:trPr>
          <w:trHeight w:val="270"/>
        </w:trPr>
        <w:tc>
          <w:tcPr>
            <w:tcW w:w="7320" w:type="dxa"/>
            <w:vAlign w:val="bottom"/>
          </w:tcPr>
          <w:p>
            <w:pPr>
              <w:ind w:left="120"/>
              <w:spacing w:after="0"/>
              <w:rPr>
                <w:sz w:val="20"/>
                <w:szCs w:val="20"/>
                <w:color w:val="auto"/>
              </w:rPr>
            </w:pPr>
            <w:r>
              <w:rPr>
                <w:rFonts w:ascii="Arial" w:cs="Arial" w:eastAsia="Arial" w:hAnsi="Arial"/>
                <w:sz w:val="22"/>
                <w:szCs w:val="22"/>
                <w:color w:val="auto"/>
              </w:rPr>
              <w:t>PSLF investment portfolio</w:t>
            </w:r>
          </w:p>
        </w:tc>
        <w:tc>
          <w:tcPr>
            <w:tcW w:w="26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140" w:type="dxa"/>
            <w:vAlign w:val="bottom"/>
          </w:tcPr>
          <w:p>
            <w:pPr>
              <w:jc w:val="right"/>
              <w:ind w:right="72"/>
              <w:spacing w:after="0"/>
              <w:rPr>
                <w:sz w:val="20"/>
                <w:szCs w:val="20"/>
                <w:color w:val="auto"/>
              </w:rPr>
            </w:pPr>
            <w:r>
              <w:rPr>
                <w:rFonts w:ascii="Arial" w:cs="Arial" w:eastAsia="Arial" w:hAnsi="Arial"/>
                <w:sz w:val="22"/>
                <w:szCs w:val="22"/>
                <w:color w:val="auto"/>
              </w:rPr>
              <w:t>421.5</w:t>
            </w:r>
          </w:p>
        </w:tc>
        <w:tc>
          <w:tcPr>
            <w:tcW w:w="0" w:type="dxa"/>
            <w:vAlign w:val="bottom"/>
          </w:tcPr>
          <w:p>
            <w:pPr>
              <w:spacing w:after="0"/>
              <w:rPr>
                <w:sz w:val="1"/>
                <w:szCs w:val="1"/>
                <w:color w:val="auto"/>
              </w:rPr>
            </w:pPr>
          </w:p>
        </w:tc>
      </w:tr>
      <w:tr>
        <w:trPr>
          <w:trHeight w:val="270"/>
        </w:trPr>
        <w:tc>
          <w:tcPr>
            <w:tcW w:w="7320" w:type="dxa"/>
            <w:vAlign w:val="bottom"/>
          </w:tcPr>
          <w:p>
            <w:pPr>
              <w:ind w:left="120"/>
              <w:spacing w:after="0"/>
              <w:rPr>
                <w:sz w:val="20"/>
                <w:szCs w:val="20"/>
                <w:color w:val="auto"/>
              </w:rPr>
            </w:pPr>
            <w:r>
              <w:rPr>
                <w:rFonts w:ascii="Arial" w:cs="Arial" w:eastAsia="Arial" w:hAnsi="Arial"/>
                <w:sz w:val="22"/>
                <w:szCs w:val="22"/>
                <w:color w:val="auto"/>
              </w:rPr>
              <w:t>Net assets</w:t>
            </w:r>
          </w:p>
        </w:tc>
        <w:tc>
          <w:tcPr>
            <w:tcW w:w="26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140" w:type="dxa"/>
            <w:vAlign w:val="bottom"/>
          </w:tcPr>
          <w:p>
            <w:pPr>
              <w:jc w:val="right"/>
              <w:ind w:right="72"/>
              <w:spacing w:after="0"/>
              <w:rPr>
                <w:sz w:val="20"/>
                <w:szCs w:val="20"/>
                <w:color w:val="auto"/>
              </w:rPr>
            </w:pPr>
            <w:r>
              <w:rPr>
                <w:rFonts w:ascii="Arial" w:cs="Arial" w:eastAsia="Arial" w:hAnsi="Arial"/>
                <w:sz w:val="22"/>
                <w:szCs w:val="22"/>
                <w:color w:val="auto"/>
              </w:rPr>
              <w:t>677.6</w:t>
            </w:r>
          </w:p>
        </w:tc>
        <w:tc>
          <w:tcPr>
            <w:tcW w:w="0" w:type="dxa"/>
            <w:vAlign w:val="bottom"/>
          </w:tcPr>
          <w:p>
            <w:pPr>
              <w:spacing w:after="0"/>
              <w:rPr>
                <w:sz w:val="1"/>
                <w:szCs w:val="1"/>
                <w:color w:val="auto"/>
              </w:rPr>
            </w:pPr>
          </w:p>
        </w:tc>
      </w:tr>
      <w:tr>
        <w:trPr>
          <w:trHeight w:val="270"/>
        </w:trPr>
        <w:tc>
          <w:tcPr>
            <w:tcW w:w="7320" w:type="dxa"/>
            <w:vAlign w:val="bottom"/>
          </w:tcPr>
          <w:p>
            <w:pPr>
              <w:ind w:left="120"/>
              <w:spacing w:after="0"/>
              <w:rPr>
                <w:sz w:val="20"/>
                <w:szCs w:val="20"/>
                <w:color w:val="auto"/>
              </w:rPr>
            </w:pPr>
            <w:r>
              <w:rPr>
                <w:rFonts w:ascii="Arial" w:cs="Arial" w:eastAsia="Arial" w:hAnsi="Arial"/>
                <w:sz w:val="22"/>
                <w:szCs w:val="22"/>
                <w:color w:val="auto"/>
              </w:rPr>
              <w:t>GAAP net asset value per share</w:t>
            </w:r>
          </w:p>
        </w:tc>
        <w:tc>
          <w:tcPr>
            <w:tcW w:w="26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140" w:type="dxa"/>
            <w:vAlign w:val="bottom"/>
          </w:tcPr>
          <w:p>
            <w:pPr>
              <w:jc w:val="right"/>
              <w:ind w:right="72"/>
              <w:spacing w:after="0"/>
              <w:rPr>
                <w:sz w:val="20"/>
                <w:szCs w:val="20"/>
                <w:color w:val="auto"/>
              </w:rPr>
            </w:pPr>
            <w:r>
              <w:rPr>
                <w:rFonts w:ascii="Arial" w:cs="Arial" w:eastAsia="Arial" w:hAnsi="Arial"/>
                <w:sz w:val="22"/>
                <w:szCs w:val="22"/>
                <w:color w:val="auto"/>
              </w:rPr>
              <w:t>10.11</w:t>
            </w:r>
          </w:p>
        </w:tc>
        <w:tc>
          <w:tcPr>
            <w:tcW w:w="0" w:type="dxa"/>
            <w:vAlign w:val="bottom"/>
          </w:tcPr>
          <w:p>
            <w:pPr>
              <w:spacing w:after="0"/>
              <w:rPr>
                <w:sz w:val="1"/>
                <w:szCs w:val="1"/>
                <w:color w:val="auto"/>
              </w:rPr>
            </w:pPr>
          </w:p>
        </w:tc>
      </w:tr>
      <w:tr>
        <w:trPr>
          <w:trHeight w:val="274"/>
        </w:trPr>
        <w:tc>
          <w:tcPr>
            <w:tcW w:w="7320" w:type="dxa"/>
            <w:vAlign w:val="bottom"/>
          </w:tcPr>
          <w:p>
            <w:pPr>
              <w:ind w:left="120"/>
              <w:spacing w:after="0"/>
              <w:rPr>
                <w:sz w:val="20"/>
                <w:szCs w:val="20"/>
                <w:color w:val="auto"/>
              </w:rPr>
            </w:pPr>
            <w:r>
              <w:rPr>
                <w:rFonts w:ascii="Arial" w:cs="Arial" w:eastAsia="Arial" w:hAnsi="Arial"/>
                <w:sz w:val="22"/>
                <w:szCs w:val="22"/>
                <w:color w:val="auto"/>
              </w:rPr>
              <w:t>Quarterly increase in GAAP net asset value per share</w:t>
            </w:r>
          </w:p>
        </w:tc>
        <w:tc>
          <w:tcPr>
            <w:tcW w:w="2620" w:type="dxa"/>
            <w:vAlign w:val="bottom"/>
            <w:vMerge w:val="restart"/>
          </w:tcPr>
          <w:p>
            <w:pPr>
              <w:jc w:val="right"/>
              <w:ind w:right="192"/>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327"/>
        </w:trPr>
        <w:tc>
          <w:tcPr>
            <w:tcW w:w="7320" w:type="dxa"/>
            <w:vAlign w:val="bottom"/>
          </w:tcPr>
          <w:p>
            <w:pPr>
              <w:ind w:left="120"/>
              <w:spacing w:after="0" w:line="326" w:lineRule="exact"/>
              <w:rPr>
                <w:sz w:val="20"/>
                <w:szCs w:val="20"/>
                <w:color w:val="auto"/>
              </w:rPr>
            </w:pPr>
            <w:r>
              <w:rPr>
                <w:rFonts w:ascii="Arial" w:cs="Arial" w:eastAsia="Arial" w:hAnsi="Arial"/>
                <w:sz w:val="22"/>
                <w:szCs w:val="22"/>
                <w:color w:val="auto"/>
              </w:rPr>
              <w:t xml:space="preserve">Adjusted net asset value per share </w:t>
            </w:r>
            <w:r>
              <w:rPr>
                <w:rFonts w:ascii="Arial" w:cs="Arial" w:eastAsia="Arial" w:hAnsi="Arial"/>
                <w:sz w:val="35"/>
                <w:szCs w:val="35"/>
                <w:color w:val="auto"/>
                <w:vertAlign w:val="superscript"/>
              </w:rPr>
              <w:t>(2)</w:t>
            </w:r>
          </w:p>
        </w:tc>
        <w:tc>
          <w:tcPr>
            <w:tcW w:w="2620" w:type="dxa"/>
            <w:vAlign w:val="bottom"/>
            <w:vMerge w:val="continue"/>
          </w:tcPr>
          <w:p>
            <w:pPr>
              <w:spacing w:after="0"/>
              <w:rPr>
                <w:sz w:val="24"/>
                <w:szCs w:val="24"/>
                <w:color w:val="auto"/>
              </w:rPr>
            </w:pPr>
          </w:p>
        </w:tc>
        <w:tc>
          <w:tcPr>
            <w:tcW w:w="1140" w:type="dxa"/>
            <w:vAlign w:val="bottom"/>
          </w:tcPr>
          <w:p>
            <w:pPr>
              <w:jc w:val="right"/>
              <w:ind w:right="72"/>
              <w:spacing w:after="0"/>
              <w:rPr>
                <w:sz w:val="20"/>
                <w:szCs w:val="20"/>
                <w:color w:val="auto"/>
              </w:rPr>
            </w:pPr>
            <w:r>
              <w:rPr>
                <w:rFonts w:ascii="Arial" w:cs="Arial" w:eastAsia="Arial" w:hAnsi="Arial"/>
                <w:sz w:val="22"/>
                <w:szCs w:val="22"/>
                <w:color w:val="auto"/>
              </w:rPr>
              <w:t>10.11</w:t>
            </w:r>
          </w:p>
        </w:tc>
        <w:tc>
          <w:tcPr>
            <w:tcW w:w="0" w:type="dxa"/>
            <w:vAlign w:val="bottom"/>
          </w:tcPr>
          <w:p>
            <w:pPr>
              <w:spacing w:after="0"/>
              <w:rPr>
                <w:sz w:val="1"/>
                <w:szCs w:val="1"/>
                <w:color w:val="auto"/>
              </w:rPr>
            </w:pPr>
          </w:p>
        </w:tc>
      </w:tr>
      <w:tr>
        <w:trPr>
          <w:trHeight w:val="471"/>
        </w:trPr>
        <w:tc>
          <w:tcPr>
            <w:tcW w:w="7320" w:type="dxa"/>
            <w:vAlign w:val="bottom"/>
          </w:tcPr>
          <w:p>
            <w:pPr>
              <w:ind w:left="120"/>
              <w:spacing w:after="0"/>
              <w:rPr>
                <w:sz w:val="20"/>
                <w:szCs w:val="20"/>
                <w:color w:val="auto"/>
              </w:rPr>
            </w:pPr>
            <w:r>
              <w:rPr>
                <w:rFonts w:ascii="Arial" w:cs="Arial" w:eastAsia="Arial" w:hAnsi="Arial"/>
                <w:sz w:val="22"/>
                <w:szCs w:val="22"/>
                <w:color w:val="auto"/>
              </w:rPr>
              <w:t xml:space="preserve">Quarterly increase in adjusted net asset value per share </w:t>
            </w:r>
            <w:r>
              <w:rPr>
                <w:rFonts w:ascii="Arial" w:cs="Arial" w:eastAsia="Arial" w:hAnsi="Arial"/>
                <w:sz w:val="35"/>
                <w:szCs w:val="35"/>
                <w:color w:val="auto"/>
                <w:vertAlign w:val="superscript"/>
              </w:rPr>
              <w:t>(2)</w:t>
            </w:r>
          </w:p>
        </w:tc>
        <w:tc>
          <w:tcPr>
            <w:tcW w:w="26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386"/>
        </w:trPr>
        <w:tc>
          <w:tcPr>
            <w:tcW w:w="7320" w:type="dxa"/>
            <w:vAlign w:val="bottom"/>
          </w:tcPr>
          <w:p>
            <w:pPr>
              <w:ind w:left="260"/>
              <w:spacing w:after="0"/>
              <w:rPr>
                <w:sz w:val="20"/>
                <w:szCs w:val="20"/>
                <w:color w:val="auto"/>
              </w:rPr>
            </w:pPr>
            <w:r>
              <w:rPr>
                <w:rFonts w:ascii="Arial" w:cs="Arial" w:eastAsia="Arial" w:hAnsi="Arial"/>
                <w:sz w:val="22"/>
                <w:szCs w:val="22"/>
                <w:color w:val="auto"/>
              </w:rPr>
              <w:t>Credit Facility</w:t>
            </w:r>
          </w:p>
        </w:tc>
        <w:tc>
          <w:tcPr>
            <w:tcW w:w="26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140" w:type="dxa"/>
            <w:vAlign w:val="bottom"/>
          </w:tcPr>
          <w:p>
            <w:pPr>
              <w:jc w:val="right"/>
              <w:ind w:right="72"/>
              <w:spacing w:after="0"/>
              <w:rPr>
                <w:sz w:val="20"/>
                <w:szCs w:val="20"/>
                <w:color w:val="auto"/>
              </w:rPr>
            </w:pPr>
            <w:r>
              <w:rPr>
                <w:rFonts w:ascii="Arial" w:cs="Arial" w:eastAsia="Arial" w:hAnsi="Arial"/>
                <w:sz w:val="22"/>
                <w:szCs w:val="22"/>
                <w:color w:val="auto"/>
              </w:rPr>
              <w:t>444.5</w:t>
            </w:r>
          </w:p>
        </w:tc>
        <w:tc>
          <w:tcPr>
            <w:tcW w:w="0" w:type="dxa"/>
            <w:vAlign w:val="bottom"/>
          </w:tcPr>
          <w:p>
            <w:pPr>
              <w:spacing w:after="0"/>
              <w:rPr>
                <w:sz w:val="1"/>
                <w:szCs w:val="1"/>
                <w:color w:val="auto"/>
              </w:rPr>
            </w:pPr>
          </w:p>
        </w:tc>
      </w:tr>
      <w:tr>
        <w:trPr>
          <w:trHeight w:val="270"/>
        </w:trPr>
        <w:tc>
          <w:tcPr>
            <w:tcW w:w="7320" w:type="dxa"/>
            <w:vAlign w:val="bottom"/>
          </w:tcPr>
          <w:p>
            <w:pPr>
              <w:ind w:left="260"/>
              <w:spacing w:after="0"/>
              <w:rPr>
                <w:sz w:val="20"/>
                <w:szCs w:val="20"/>
                <w:color w:val="auto"/>
              </w:rPr>
            </w:pPr>
            <w:r>
              <w:rPr>
                <w:rFonts w:ascii="Arial" w:cs="Arial" w:eastAsia="Arial" w:hAnsi="Arial"/>
                <w:sz w:val="22"/>
                <w:szCs w:val="22"/>
                <w:color w:val="auto"/>
              </w:rPr>
              <w:t>2026 Notes</w:t>
            </w:r>
          </w:p>
        </w:tc>
        <w:tc>
          <w:tcPr>
            <w:tcW w:w="26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140" w:type="dxa"/>
            <w:vAlign w:val="bottom"/>
          </w:tcPr>
          <w:p>
            <w:pPr>
              <w:jc w:val="right"/>
              <w:ind w:right="72"/>
              <w:spacing w:after="0"/>
              <w:rPr>
                <w:sz w:val="20"/>
                <w:szCs w:val="20"/>
                <w:color w:val="auto"/>
              </w:rPr>
            </w:pPr>
            <w:r>
              <w:rPr>
                <w:rFonts w:ascii="Arial" w:cs="Arial" w:eastAsia="Arial" w:hAnsi="Arial"/>
                <w:sz w:val="22"/>
                <w:szCs w:val="22"/>
                <w:color w:val="auto"/>
              </w:rPr>
              <w:t>146.1</w:t>
            </w:r>
          </w:p>
        </w:tc>
        <w:tc>
          <w:tcPr>
            <w:tcW w:w="0" w:type="dxa"/>
            <w:vAlign w:val="bottom"/>
          </w:tcPr>
          <w:p>
            <w:pPr>
              <w:spacing w:after="0"/>
              <w:rPr>
                <w:sz w:val="1"/>
                <w:szCs w:val="1"/>
                <w:color w:val="auto"/>
              </w:rPr>
            </w:pPr>
          </w:p>
        </w:tc>
      </w:tr>
      <w:tr>
        <w:trPr>
          <w:trHeight w:val="270"/>
        </w:trPr>
        <w:tc>
          <w:tcPr>
            <w:tcW w:w="7320" w:type="dxa"/>
            <w:vAlign w:val="bottom"/>
          </w:tcPr>
          <w:p>
            <w:pPr>
              <w:ind w:left="260"/>
              <w:spacing w:after="0"/>
              <w:rPr>
                <w:sz w:val="20"/>
                <w:szCs w:val="20"/>
                <w:color w:val="auto"/>
              </w:rPr>
            </w:pPr>
            <w:r>
              <w:rPr>
                <w:rFonts w:ascii="Arial" w:cs="Arial" w:eastAsia="Arial" w:hAnsi="Arial"/>
                <w:sz w:val="22"/>
                <w:szCs w:val="22"/>
                <w:color w:val="auto"/>
              </w:rPr>
              <w:t>2026 Notes-2</w:t>
            </w:r>
          </w:p>
        </w:tc>
        <w:tc>
          <w:tcPr>
            <w:tcW w:w="26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140" w:type="dxa"/>
            <w:vAlign w:val="bottom"/>
          </w:tcPr>
          <w:p>
            <w:pPr>
              <w:jc w:val="right"/>
              <w:ind w:right="72"/>
              <w:spacing w:after="0"/>
              <w:rPr>
                <w:sz w:val="20"/>
                <w:szCs w:val="20"/>
                <w:color w:val="auto"/>
              </w:rPr>
            </w:pPr>
            <w:r>
              <w:rPr>
                <w:rFonts w:ascii="Arial" w:cs="Arial" w:eastAsia="Arial" w:hAnsi="Arial"/>
                <w:sz w:val="22"/>
                <w:szCs w:val="22"/>
                <w:color w:val="auto"/>
              </w:rPr>
              <w:t>160.7</w:t>
            </w:r>
          </w:p>
        </w:tc>
        <w:tc>
          <w:tcPr>
            <w:tcW w:w="0" w:type="dxa"/>
            <w:vAlign w:val="bottom"/>
          </w:tcPr>
          <w:p>
            <w:pPr>
              <w:spacing w:after="0"/>
              <w:rPr>
                <w:sz w:val="1"/>
                <w:szCs w:val="1"/>
                <w:color w:val="auto"/>
              </w:rPr>
            </w:pPr>
          </w:p>
        </w:tc>
      </w:tr>
      <w:tr>
        <w:trPr>
          <w:trHeight w:val="270"/>
        </w:trPr>
        <w:tc>
          <w:tcPr>
            <w:tcW w:w="7320" w:type="dxa"/>
            <w:vAlign w:val="bottom"/>
          </w:tcPr>
          <w:p>
            <w:pPr>
              <w:ind w:left="260"/>
              <w:spacing w:after="0"/>
              <w:rPr>
                <w:sz w:val="20"/>
                <w:szCs w:val="20"/>
                <w:color w:val="auto"/>
              </w:rPr>
            </w:pPr>
            <w:r>
              <w:rPr>
                <w:rFonts w:ascii="Arial" w:cs="Arial" w:eastAsia="Arial" w:hAnsi="Arial"/>
                <w:sz w:val="22"/>
                <w:szCs w:val="22"/>
                <w:color w:val="auto"/>
              </w:rPr>
              <w:t>SBA Debentures</w:t>
            </w:r>
          </w:p>
        </w:tc>
        <w:tc>
          <w:tcPr>
            <w:tcW w:w="26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140" w:type="dxa"/>
            <w:vAlign w:val="bottom"/>
          </w:tcPr>
          <w:p>
            <w:pPr>
              <w:jc w:val="right"/>
              <w:ind w:right="72"/>
              <w:spacing w:after="0"/>
              <w:rPr>
                <w:sz w:val="20"/>
                <w:szCs w:val="20"/>
                <w:color w:val="auto"/>
              </w:rPr>
            </w:pPr>
            <w:r>
              <w:rPr>
                <w:rFonts w:ascii="Arial" w:cs="Arial" w:eastAsia="Arial" w:hAnsi="Arial"/>
                <w:sz w:val="22"/>
                <w:szCs w:val="22"/>
                <w:color w:val="auto"/>
              </w:rPr>
              <w:t>62.2</w:t>
            </w:r>
          </w:p>
        </w:tc>
        <w:tc>
          <w:tcPr>
            <w:tcW w:w="0" w:type="dxa"/>
            <w:vAlign w:val="bottom"/>
          </w:tcPr>
          <w:p>
            <w:pPr>
              <w:spacing w:after="0"/>
              <w:rPr>
                <w:sz w:val="1"/>
                <w:szCs w:val="1"/>
                <w:color w:val="auto"/>
              </w:rPr>
            </w:pPr>
          </w:p>
        </w:tc>
      </w:tr>
      <w:tr>
        <w:trPr>
          <w:trHeight w:val="274"/>
        </w:trPr>
        <w:tc>
          <w:tcPr>
            <w:tcW w:w="7320" w:type="dxa"/>
            <w:vAlign w:val="bottom"/>
          </w:tcPr>
          <w:p>
            <w:pPr>
              <w:spacing w:after="0"/>
              <w:rPr>
                <w:sz w:val="20"/>
                <w:szCs w:val="20"/>
                <w:color w:val="auto"/>
              </w:rPr>
            </w:pPr>
            <w:r>
              <w:rPr>
                <w:rFonts w:ascii="Arial" w:cs="Arial" w:eastAsia="Arial" w:hAnsi="Arial"/>
                <w:sz w:val="22"/>
                <w:szCs w:val="22"/>
                <w:color w:val="auto"/>
              </w:rPr>
              <w:t>Regulatory Debt to Equity</w:t>
            </w:r>
          </w:p>
        </w:tc>
        <w:tc>
          <w:tcPr>
            <w:tcW w:w="262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1.12x</w:t>
            </w:r>
          </w:p>
        </w:tc>
        <w:tc>
          <w:tcPr>
            <w:tcW w:w="0" w:type="dxa"/>
            <w:vAlign w:val="bottom"/>
          </w:tcPr>
          <w:p>
            <w:pPr>
              <w:spacing w:after="0"/>
              <w:rPr>
                <w:sz w:val="1"/>
                <w:szCs w:val="1"/>
                <w:color w:val="auto"/>
              </w:rPr>
            </w:pPr>
          </w:p>
        </w:tc>
      </w:tr>
      <w:tr>
        <w:trPr>
          <w:trHeight w:val="327"/>
        </w:trPr>
        <w:tc>
          <w:tcPr>
            <w:tcW w:w="7320" w:type="dxa"/>
            <w:vAlign w:val="bottom"/>
          </w:tcPr>
          <w:p>
            <w:pPr>
              <w:spacing w:after="0" w:line="326" w:lineRule="exact"/>
              <w:rPr>
                <w:sz w:val="20"/>
                <w:szCs w:val="20"/>
                <w:color w:val="auto"/>
              </w:rPr>
            </w:pPr>
            <w:r>
              <w:rPr>
                <w:rFonts w:ascii="Arial" w:cs="Arial" w:eastAsia="Arial" w:hAnsi="Arial"/>
                <w:sz w:val="22"/>
                <w:szCs w:val="22"/>
                <w:color w:val="auto"/>
              </w:rPr>
              <w:t xml:space="preserve">Regulatory Net Debt to Equity </w:t>
            </w:r>
            <w:r>
              <w:rPr>
                <w:rFonts w:ascii="Arial" w:cs="Arial" w:eastAsia="Arial" w:hAnsi="Arial"/>
                <w:sz w:val="35"/>
                <w:szCs w:val="35"/>
                <w:color w:val="auto"/>
                <w:vertAlign w:val="superscript"/>
              </w:rPr>
              <w:t>(3)</w:t>
            </w:r>
          </w:p>
        </w:tc>
        <w:tc>
          <w:tcPr>
            <w:tcW w:w="2620" w:type="dxa"/>
            <w:vAlign w:val="bottom"/>
          </w:tcPr>
          <w:p>
            <w:pPr>
              <w:spacing w:after="0"/>
              <w:rPr>
                <w:sz w:val="24"/>
                <w:szCs w:val="24"/>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1.06x</w:t>
            </w:r>
          </w:p>
        </w:tc>
        <w:tc>
          <w:tcPr>
            <w:tcW w:w="0" w:type="dxa"/>
            <w:vAlign w:val="bottom"/>
          </w:tcPr>
          <w:p>
            <w:pPr>
              <w:spacing w:after="0"/>
              <w:rPr>
                <w:sz w:val="1"/>
                <w:szCs w:val="1"/>
                <w:color w:val="auto"/>
              </w:rPr>
            </w:pPr>
          </w:p>
        </w:tc>
      </w:tr>
      <w:tr>
        <w:trPr>
          <w:trHeight w:val="471"/>
        </w:trPr>
        <w:tc>
          <w:tcPr>
            <w:tcW w:w="7320" w:type="dxa"/>
            <w:vAlign w:val="bottom"/>
          </w:tcPr>
          <w:p>
            <w:pPr>
              <w:spacing w:after="0"/>
              <w:rPr>
                <w:sz w:val="20"/>
                <w:szCs w:val="20"/>
                <w:color w:val="auto"/>
              </w:rPr>
            </w:pPr>
            <w:r>
              <w:rPr>
                <w:rFonts w:ascii="Arial" w:cs="Arial" w:eastAsia="Arial" w:hAnsi="Arial"/>
                <w:sz w:val="22"/>
                <w:szCs w:val="22"/>
                <w:color w:val="auto"/>
              </w:rPr>
              <w:t xml:space="preserve">GAAP Net Debt to Equity </w:t>
            </w:r>
            <w:r>
              <w:rPr>
                <w:rFonts w:ascii="Arial" w:cs="Arial" w:eastAsia="Arial" w:hAnsi="Arial"/>
                <w:sz w:val="35"/>
                <w:szCs w:val="35"/>
                <w:color w:val="auto"/>
                <w:vertAlign w:val="superscript"/>
              </w:rPr>
              <w:t>(4)</w:t>
            </w:r>
          </w:p>
        </w:tc>
        <w:tc>
          <w:tcPr>
            <w:tcW w:w="2620" w:type="dxa"/>
            <w:vAlign w:val="bottom"/>
          </w:tcPr>
          <w:p>
            <w:pPr>
              <w:spacing w:after="0"/>
              <w:rPr>
                <w:sz w:val="24"/>
                <w:szCs w:val="24"/>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1.14x</w:t>
            </w:r>
          </w:p>
        </w:tc>
        <w:tc>
          <w:tcPr>
            <w:tcW w:w="0" w:type="dxa"/>
            <w:vAlign w:val="bottom"/>
          </w:tcPr>
          <w:p>
            <w:pPr>
              <w:spacing w:after="0"/>
              <w:rPr>
                <w:sz w:val="1"/>
                <w:szCs w:val="1"/>
                <w:color w:val="auto"/>
              </w:rPr>
            </w:pPr>
          </w:p>
        </w:tc>
      </w:tr>
      <w:tr>
        <w:trPr>
          <w:trHeight w:val="390"/>
        </w:trPr>
        <w:tc>
          <w:tcPr>
            <w:tcW w:w="7320" w:type="dxa"/>
            <w:vAlign w:val="bottom"/>
          </w:tcPr>
          <w:p>
            <w:pPr>
              <w:spacing w:after="0"/>
              <w:rPr>
                <w:sz w:val="20"/>
                <w:szCs w:val="20"/>
                <w:color w:val="auto"/>
              </w:rPr>
            </w:pPr>
            <w:r>
              <w:rPr>
                <w:rFonts w:ascii="Arial" w:cs="Arial" w:eastAsia="Arial" w:hAnsi="Arial"/>
                <w:sz w:val="22"/>
                <w:szCs w:val="22"/>
                <w:color w:val="auto"/>
              </w:rPr>
              <w:t>Yield on debt investments at quarter-end</w:t>
            </w:r>
          </w:p>
        </w:tc>
        <w:tc>
          <w:tcPr>
            <w:tcW w:w="26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960" w:type="dxa"/>
            <w:vAlign w:val="bottom"/>
          </w:tcPr>
          <w:p>
            <w:pPr>
              <w:spacing w:after="0"/>
              <w:rPr>
                <w:sz w:val="20"/>
                <w:szCs w:val="20"/>
                <w:color w:val="auto"/>
              </w:rPr>
            </w:pPr>
            <w:r>
              <w:rPr>
                <w:rFonts w:ascii="Arial" w:cs="Arial" w:eastAsia="Arial" w:hAnsi="Arial"/>
                <w:sz w:val="22"/>
                <w:szCs w:val="22"/>
                <w:color w:val="auto"/>
              </w:rPr>
              <w:t>Operating Results:</w:t>
            </w:r>
          </w:p>
        </w:tc>
        <w:tc>
          <w:tcPr>
            <w:tcW w:w="30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22"/>
                <w:szCs w:val="22"/>
                <w:color w:val="auto"/>
              </w:rPr>
              <w:t>Net investment income</w:t>
            </w:r>
          </w:p>
        </w:tc>
        <w:tc>
          <w:tcPr>
            <w:tcW w:w="306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270"/>
        </w:trPr>
        <w:tc>
          <w:tcPr>
            <w:tcW w:w="6960" w:type="dxa"/>
            <w:vAlign w:val="bottom"/>
          </w:tcPr>
          <w:p>
            <w:pPr>
              <w:ind w:left="120"/>
              <w:spacing w:after="0"/>
              <w:rPr>
                <w:sz w:val="20"/>
                <w:szCs w:val="20"/>
                <w:color w:val="auto"/>
              </w:rPr>
            </w:pPr>
            <w:r>
              <w:rPr>
                <w:rFonts w:ascii="Arial" w:cs="Arial" w:eastAsia="Arial" w:hAnsi="Arial"/>
                <w:sz w:val="22"/>
                <w:szCs w:val="22"/>
                <w:color w:val="auto"/>
              </w:rPr>
              <w:t>Net investment income per share (GAAP)</w:t>
            </w:r>
          </w:p>
        </w:tc>
        <w:tc>
          <w:tcPr>
            <w:tcW w:w="306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0.19</w:t>
            </w:r>
          </w:p>
        </w:tc>
      </w:tr>
      <w:tr>
        <w:trPr>
          <w:trHeight w:val="274"/>
        </w:trPr>
        <w:tc>
          <w:tcPr>
            <w:tcW w:w="6960" w:type="dxa"/>
            <w:vAlign w:val="bottom"/>
          </w:tcPr>
          <w:p>
            <w:pPr>
              <w:ind w:left="120"/>
              <w:spacing w:after="0"/>
              <w:rPr>
                <w:sz w:val="20"/>
                <w:szCs w:val="20"/>
                <w:color w:val="auto"/>
              </w:rPr>
            </w:pPr>
            <w:r>
              <w:rPr>
                <w:rFonts w:ascii="Arial" w:cs="Arial" w:eastAsia="Arial" w:hAnsi="Arial"/>
                <w:sz w:val="22"/>
                <w:szCs w:val="22"/>
                <w:color w:val="auto"/>
              </w:rPr>
              <w:t>Distributions declared per share</w:t>
            </w:r>
          </w:p>
        </w:tc>
        <w:tc>
          <w:tcPr>
            <w:tcW w:w="306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0.12</w:t>
            </w:r>
          </w:p>
        </w:tc>
      </w:tr>
      <w:tr>
        <w:trPr>
          <w:trHeight w:val="536"/>
        </w:trPr>
        <w:tc>
          <w:tcPr>
            <w:tcW w:w="6960" w:type="dxa"/>
            <w:vAlign w:val="bottom"/>
          </w:tcPr>
          <w:p>
            <w:pPr>
              <w:spacing w:after="0"/>
              <w:rPr>
                <w:sz w:val="20"/>
                <w:szCs w:val="20"/>
                <w:color w:val="auto"/>
              </w:rPr>
            </w:pPr>
            <w:r>
              <w:rPr>
                <w:rFonts w:ascii="Arial" w:cs="Arial" w:eastAsia="Arial" w:hAnsi="Arial"/>
                <w:sz w:val="22"/>
                <w:szCs w:val="22"/>
                <w:color w:val="auto"/>
              </w:rPr>
              <w:t>Portfolio Activity:</w:t>
            </w:r>
          </w:p>
        </w:tc>
        <w:tc>
          <w:tcPr>
            <w:tcW w:w="30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22"/>
                <w:szCs w:val="22"/>
                <w:color w:val="auto"/>
              </w:rPr>
              <w:t>Purchases of investments</w:t>
            </w:r>
          </w:p>
        </w:tc>
        <w:tc>
          <w:tcPr>
            <w:tcW w:w="306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295.0</w:t>
            </w:r>
          </w:p>
        </w:tc>
      </w:tr>
      <w:tr>
        <w:trPr>
          <w:trHeight w:val="274"/>
        </w:trPr>
        <w:tc>
          <w:tcPr>
            <w:tcW w:w="696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306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860" w:type="dxa"/>
            <w:vAlign w:val="bottom"/>
          </w:tcPr>
          <w:p>
            <w:pPr>
              <w:jc w:val="right"/>
              <w:spacing w:after="0"/>
              <w:rPr>
                <w:sz w:val="20"/>
                <w:szCs w:val="20"/>
                <w:color w:val="auto"/>
              </w:rPr>
            </w:pPr>
            <w:r>
              <w:rPr>
                <w:rFonts w:ascii="Arial" w:cs="Arial" w:eastAsia="Arial" w:hAnsi="Arial"/>
                <w:sz w:val="22"/>
                <w:szCs w:val="22"/>
                <w:color w:val="auto"/>
              </w:rPr>
              <w:t>132.2</w:t>
            </w:r>
          </w:p>
        </w:tc>
      </w:tr>
      <w:tr>
        <w:trPr>
          <w:trHeight w:val="536"/>
        </w:trPr>
        <w:tc>
          <w:tcPr>
            <w:tcW w:w="6960" w:type="dxa"/>
            <w:vAlign w:val="bottom"/>
          </w:tcPr>
          <w:p>
            <w:pPr>
              <w:ind w:left="120"/>
              <w:spacing w:after="0"/>
              <w:rPr>
                <w:sz w:val="20"/>
                <w:szCs w:val="20"/>
                <w:color w:val="auto"/>
              </w:rPr>
            </w:pPr>
            <w:r>
              <w:rPr>
                <w:rFonts w:ascii="Arial" w:cs="Arial" w:eastAsia="Arial" w:hAnsi="Arial"/>
                <w:sz w:val="22"/>
                <w:szCs w:val="22"/>
                <w:color w:val="auto"/>
              </w:rPr>
              <w:t>Number of new portfolio companies invested</w:t>
            </w:r>
          </w:p>
        </w:tc>
        <w:tc>
          <w:tcPr>
            <w:tcW w:w="30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70"/>
        </w:trPr>
        <w:tc>
          <w:tcPr>
            <w:tcW w:w="6960" w:type="dxa"/>
            <w:vAlign w:val="bottom"/>
          </w:tcPr>
          <w:p>
            <w:pPr>
              <w:ind w:left="120"/>
              <w:spacing w:after="0"/>
              <w:rPr>
                <w:sz w:val="20"/>
                <w:szCs w:val="20"/>
                <w:color w:val="auto"/>
              </w:rPr>
            </w:pPr>
            <w:r>
              <w:rPr>
                <w:rFonts w:ascii="Arial" w:cs="Arial" w:eastAsia="Arial" w:hAnsi="Arial"/>
                <w:sz w:val="22"/>
                <w:szCs w:val="22"/>
                <w:color w:val="auto"/>
              </w:rPr>
              <w:t>Number of existing portfolio companies invested</w:t>
            </w:r>
          </w:p>
        </w:tc>
        <w:tc>
          <w:tcPr>
            <w:tcW w:w="30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74"/>
        </w:trPr>
        <w:tc>
          <w:tcPr>
            <w:tcW w:w="6960" w:type="dxa"/>
            <w:vAlign w:val="bottom"/>
          </w:tcPr>
          <w:p>
            <w:pPr>
              <w:ind w:left="120"/>
              <w:spacing w:after="0"/>
              <w:rPr>
                <w:sz w:val="20"/>
                <w:szCs w:val="20"/>
                <w:color w:val="auto"/>
              </w:rPr>
            </w:pPr>
            <w:r>
              <w:rPr>
                <w:rFonts w:ascii="Arial" w:cs="Arial" w:eastAsia="Arial" w:hAnsi="Arial"/>
                <w:sz w:val="22"/>
                <w:szCs w:val="22"/>
                <w:color w:val="auto"/>
              </w:rPr>
              <w:t>Number of ending portfolio companies</w:t>
            </w:r>
          </w:p>
        </w:tc>
        <w:tc>
          <w:tcPr>
            <w:tcW w:w="30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107</w:t>
            </w:r>
          </w:p>
        </w:tc>
      </w:tr>
    </w:tbl>
    <w:p>
      <w:pPr>
        <w:spacing w:after="0" w:line="198" w:lineRule="exact"/>
        <w:rPr>
          <w:sz w:val="20"/>
          <w:szCs w:val="20"/>
          <w:color w:val="auto"/>
        </w:rPr>
      </w:pPr>
    </w:p>
    <w:p>
      <w:pPr>
        <w:ind w:right="20" w:firstLine="8"/>
        <w:spacing w:after="0" w:line="239"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Includes investments in PennantPark Senior Loan Fund, LLC, or PSLF, an unconsolidated joint venture, totaling $105.8 million, at fair value.</w:t>
      </w:r>
    </w:p>
    <w:p>
      <w:pPr>
        <w:jc w:val="both"/>
        <w:ind w:firstLine="8"/>
        <w:spacing w:after="0" w:line="266" w:lineRule="auto"/>
        <w:tabs>
          <w:tab w:leader="none" w:pos="313" w:val="left"/>
        </w:tabs>
        <w:numPr>
          <w:ilvl w:val="0"/>
          <w:numId w:val="3"/>
        </w:numPr>
        <w:rPr>
          <w:rFonts w:ascii="Arial" w:cs="Arial" w:eastAsia="Arial" w:hAnsi="Arial"/>
          <w:sz w:val="19"/>
          <w:szCs w:val="19"/>
          <w:color w:val="auto"/>
        </w:rPr>
      </w:pPr>
      <w:r>
        <w:rPr>
          <w:rFonts w:ascii="Arial" w:cs="Arial" w:eastAsia="Arial" w:hAnsi="Arial"/>
          <w:sz w:val="19"/>
          <w:szCs w:val="19"/>
          <w:color w:val="auto"/>
        </w:rPr>
        <w:t>This is a non-GAAP financial measure. The Company believes that this number provides useful information to investors and management because it reflects the Company’s financial performance excluding the impact of the $0.7 million unrealized loss on our multi-currency, senior secured revolving credit facility with Truist Bank, as amended, or the Credit Facility, and, together with our credit facility with BNP Paribas, as amended, the Credit Facilities. The presentation of this additional information is not meant to be considered in isolation or as a substitute for financial results prepared in accordance with GAAP.</w:t>
      </w:r>
    </w:p>
    <w:p>
      <w:pPr>
        <w:spacing w:after="0" w:line="4" w:lineRule="exact"/>
        <w:rPr>
          <w:rFonts w:ascii="Arial" w:cs="Arial" w:eastAsia="Arial" w:hAnsi="Arial"/>
          <w:sz w:val="19"/>
          <w:szCs w:val="19"/>
          <w:color w:val="auto"/>
        </w:rPr>
      </w:pPr>
    </w:p>
    <w:p>
      <w:pPr>
        <w:jc w:val="both"/>
        <w:ind w:firstLine="8"/>
        <w:spacing w:after="0" w:line="230" w:lineRule="auto"/>
        <w:tabs>
          <w:tab w:leader="none" w:pos="313"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net of $39.6 million of cash and cash equivalents. The presentation of this additional information is not meant to be considered in isolation or as a substitute for financial results prepared in accordance with GAAP.</w:t>
      </w:r>
    </w:p>
    <w:p>
      <w:pPr>
        <w:spacing w:after="0" w:line="2" w:lineRule="exact"/>
        <w:rPr>
          <w:rFonts w:ascii="Arial" w:cs="Arial" w:eastAsia="Arial" w:hAnsi="Arial"/>
          <w:sz w:val="22"/>
          <w:szCs w:val="22"/>
          <w:color w:val="auto"/>
        </w:rPr>
      </w:pPr>
    </w:p>
    <w:p>
      <w:pPr>
        <w:jc w:val="both"/>
        <w:ind w:firstLine="8"/>
        <w:spacing w:after="0" w:line="287" w:lineRule="auto"/>
        <w:tabs>
          <w:tab w:leader="none" w:pos="313" w:val="left"/>
        </w:tabs>
        <w:numPr>
          <w:ilvl w:val="0"/>
          <w:numId w:val="3"/>
        </w:numPr>
        <w:rPr>
          <w:rFonts w:ascii="Arial" w:cs="Arial" w:eastAsia="Arial" w:hAnsi="Arial"/>
          <w:sz w:val="19"/>
          <w:szCs w:val="19"/>
          <w:color w:val="auto"/>
        </w:rPr>
      </w:pPr>
      <w:r>
        <w:rPr>
          <w:rFonts w:ascii="Arial" w:cs="Arial" w:eastAsia="Arial" w:hAnsi="Arial"/>
          <w:sz w:val="19"/>
          <w:szCs w:val="19"/>
          <w:color w:val="auto"/>
        </w:rPr>
        <w:t>This is a non-GAAP financial measure. The Company believes that this number provides useful information to investors and management because it reflects the Company’s financial performance including the impact of the $0.7 million unrealized loss on the Credit Facility, Small Business Act, or SBA, debentures and net of $39.6 million of cash and cash equivalents. The</w:t>
      </w:r>
    </w:p>
    <w:p>
      <w:pPr>
        <w:sectPr>
          <w:pgSz w:w="11900" w:h="16838" w:orient="portrait"/>
          <w:cols w:equalWidth="0" w:num="1">
            <w:col w:w="11240"/>
          </w:cols>
          <w:pgMar w:left="320" w:top="112" w:right="339" w:bottom="0" w:gutter="0" w:footer="0" w:header="0"/>
        </w:sectPr>
      </w:pPr>
    </w:p>
    <w:bookmarkStart w:id="4" w:name="page5"/>
    <w:bookmarkEnd w:id="4"/>
    <w:p>
      <w:pPr>
        <w:jc w:val="both"/>
        <w:spacing w:after="0" w:line="251" w:lineRule="auto"/>
        <w:rPr>
          <w:sz w:val="20"/>
          <w:szCs w:val="20"/>
          <w:color w:val="auto"/>
        </w:rPr>
      </w:pPr>
      <w:r>
        <w:rPr>
          <w:rFonts w:ascii="Arial" w:cs="Arial" w:eastAsia="Arial" w:hAnsi="Arial"/>
          <w:sz w:val="22"/>
          <w:szCs w:val="22"/>
          <w:color w:val="auto"/>
        </w:rPr>
        <w:t>presentation of this additional information is not meant to be considered in isolation or as a substitute for financial results prepared in accordance with GAAP.</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12:00 P.M. ET ON FEBRUARY 10, 2022</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PennantPark Investment Corporation (“we,” “our,” “us” or the “Company”) will host a conference call at 12:00 p.m. (Eastern Time) on Thursday, February 10, 2022 to discuss its financial results. All interested parties are welcome to participate. You can access the conference call by dialing toll-free (800) 289-0720 approximately 5-10 minutes prior to the call. International callers should dial (323) 701-0160. All callers should reference conference ID #1936238 or PennantPark Investment Corporation. An archived replay of the call will be available through February 24, 2022, by calling toll-free (888) 203-1112. International callers please dial (719) 457-0820. For all phone replays, please reference conference ID #1936238.</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INCREASE OF QUARTERLY DISTRIBUTION TO $0.14 PER SHARE</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Company declares an increase of its second fiscal quarter 2022 distribution to $0.14 per share, payable on April 1, 2022 to stockholders of record as of March 17, 2022.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pleased with our performance this past quarter and the successful execution of our equity rotation program,” said Arthur Penn, Chairman and CEO. “We have a three part plan to increase long term shareholder value including an increase in our quarterly dividend to 14 cents per share, a $25 million stock buyback program and a $39 million increase in our commitment to the PSLF JV.”</w:t>
      </w:r>
    </w:p>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of December 31, 2021, our portfolio totaled $1,445.4 million, which consisted of $672.7 million of first lien secured debt, $213.9 million of second lien secured debt, $118.7 million of subordinated debt (including $64.2 million in PSLF) and $440.1 million of preferred and common equity (including $41.6 million in PSLF). Our debt portfolio consisted of 93% variable-rate investments and 7% fixed-rate investments. As of December 31, 2021, we did not have any portfolio companies on non-accrual. Overall, the portfolio had net unrealized appreciation of $80.9 million as of December 31, 2021. Our overall portfolio consisted of 107 companies with an average investment size of $13.5 million, had a weighted average yield on interest bearing debt investments of 8.8% and was invested 47% in first lien secured debt, 15% in second lien secured debt, 8% in subordinated debt (including 4% in PSLF) and 30% in preferred and common equity (including 3% in PSLF). As of December 31, 2021, all of the investments held by PSLF were first lien secured debt.</w:t>
      </w:r>
    </w:p>
    <w:p>
      <w:pPr>
        <w:spacing w:after="0" w:line="18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of September 30, 2021, our portfolio totaled $1,255.3 million and consisted of $552.5 million of first lien secured debt, $176.9 million of second lien secured debt, $121.2 million of subordinated debt (including $64.2 million in PSLF) and $404.7 million of preferred and common equity (including $41.2 million in PSLF). Our debt portfolio consisted of 92% variable-rate investments and 8% fixed-rate investments. As of September 30, 2021, we had no portfolio companies on non-accrual. Overall, the portfolio had net unrealized appreciation of $34.2 million as of September 30, 2021. Our overall portfolio consisted of 97 companies with an average investment size of $12.9 million, had a weighted average yield on interest bearing debt investments of 9.0% and was invested 44% in first lien secured debt, 14% in second lien secured debt, 10% in subordinated debt (including 5% in PSLF) and 32% in preferred and common equity (including 3% in PSLF). As of September 30, 2021, all of the investments held by PSLF were first lien secured debt.</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2021, we invested $295.1 million in 15 new and 30 existing portfolio companies with a weighted average yield on debt investments of 8.1%. Sales and repayments of investments for the three months ended December 31, 2021 totaled $132.2 million.</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2020, we invested $68.2 million in four new and 15 existing portfolio companies with a weighted average yield on debt investments of 9.9%. Sales and repayments of investments for the three months ended December 31, 2020 totaled $102.6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Loan Fund, LLC</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December 31, 2021, PSLF’s portfolio totaled $421.5 million, consisted of 54 companies with an average investment size of $7.8 million and had a weighted average yield on debt investments of 7.2%.</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September 30, 2021, PSLF’s portfolio totaled $405.2 million, consisted of 47 companies with an average investment size of $8.6 million and had a weighted average yield on debt investments of 7.1%.</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2021, PSLF invested $50.7 million (of which $[·] million was purchased from the Company) in nine new and two existing portfolio companies with a weighted average yield on debt investments of 7.5%. PSLF’s sales and repayments of investments for the same period totaled $35.6 million.</w:t>
      </w:r>
    </w:p>
    <w:p>
      <w:pPr>
        <w:spacing w:after="0" w:line="18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For the three months ended December 31, 2020, PSLF invested $30.8 million (of which $22.3 million was purchased from the Company) in two new and four existing portfolio companies with a weighted average yield on debt investments of 7.0%. PSLF’s sales and repayments of investments for the same period totaled $35.8 million.</w:t>
      </w:r>
    </w:p>
    <w:p>
      <w:pPr>
        <w:sectPr>
          <w:pgSz w:w="11900" w:h="16838" w:orient="portrait"/>
          <w:cols w:equalWidth="0" w:num="1">
            <w:col w:w="11240"/>
          </w:cols>
          <w:pgMar w:left="320" w:top="118" w:right="339" w:bottom="0" w:gutter="0" w:footer="0" w:header="0"/>
        </w:sectPr>
      </w:pPr>
    </w:p>
    <w:bookmarkStart w:id="5" w:name="page6"/>
    <w:bookmarkEnd w:id="5"/>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months ended December 31, 2021 and 2020.</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Investment income for the three months ended December 31, 2021 was $28.3 million, which was attributable to $20.1 million from first lien secured debt, $4.5 million from second lien secured debt, $1.9 million from subordinated debt and $1.8 million from preferred and common equity, respectively. This compares to investment income for the three months ended December 31, 2020 of $18.7 million, and was attributable to $11.2 million from first lien secured debt, $4.8 million from second lien secured debt and $1.7 million from subordinated debt and $1.0 million from preferred and common equity. The increase in investment income compared to the same period in the prior year was primarily due to the increase in the size of our debt portfolio.</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Expenses for the three months ended December 31, 2021 totaled $15.8 million. Base management fee for the same periods totaled $5.1 million, incentive fees totaled $2.6 million, debt-related interest and expenses totaled $6.9 million, general and administrative expenses totaled $1.0 million and provision for excise taxes totaled $0.2 million, respectively. This compares to net expenses for the three months ended December 31, 2020, which totaled $10.4 million. Base management fee for the same period totaled $4.1 million, debt-related interest and expenses totaled $5.0 million, general and administrative expenses totaled $1.1 million and provision for excise taxes totaled $0.2 million. The increase in expenses for the three months ended December 31, 2021 compared to the same period in the prior year was primarily due to increased financing costs and increased incentive fees.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Net investment income totaled $12.5 million, or $0.19 per share, and $8.3 million, or $0.12 per share, for the three months ended December 31, 2021 and 2020, respectively. The increase in net investment income compared to the same period in the prior year was primarily due to increased investment income.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Sales and repayments of investments for the three months ended December 31, 2021 totaled $132.2 million, and net realized loss totaled $26.1 million. Sales and repayments of investments for the three months ended December 31, 2020 totaled $102.6 million and net realized losses totaled $17.6 million. The change in realized gains was primarily due to changes in the market conditions of our investments and the values at which they were realized.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the Credit Facilities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December 31, 2021 and 2020 we reported net change in unrealized appreciation on investments of $46.8 million and $93.5 million, respectively. As of December 31, 2021 and September 30, 2021, our net unrealized appreciation on investments totaled $80.9 million and $34.2 million, respectively. The net change in unrealized appreciation/depreciation on our investments compared to the same period in the prior year was primarily due to unrealized gains in our equity co-investment program, including PT Network Intermediate Holdings, LLC.</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For the three months ended December 31, 2021 and 2020 the Truist Credit Facility had a net change in unrealized appreciation of $1.0 million and $13.1 million, respectively. As of December 31, 2021 and September 30, 2021, the net unrealized depreciation on the Credit Facilities totaled $0.7 million and $1.7 million, respectively. The net change in unrealized depreciation compared to the same periods in the prior year was primarily due to changes in the capital markets.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Net change in net assets resulting from operations totaled $25.5 million or $0.38 per share, and $71.1 million, or $1.06 per share, for the three months ended December 31, 2021 and 2020, respectively. The decrease in the net change in net assets from operations for the three months ended December 31, 2021 compared to the same periods in the prior year was primarily due to a decrease in unrealized appreciation.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For more information on how the COVID-19 pandemic may impact our ability to comply with the covenants of the Credit Facility, see our Quarterly Report on Form 10-Q for the quarter ended December 31, 2021, including “Item 2. Management's Discussion and Analysis of Financial Condition and Results of Operations – COVID-19 Developments”.</w:t>
      </w:r>
    </w:p>
    <w:p>
      <w:pPr>
        <w:spacing w:after="0" w:line="180"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annualized weighted average cost of debt for the three months ended December 31, 2021 and 2020, inclusive of the fee on the undrawn commitment and amendment costs on the Credit Facilities, amortized upfront fees on SBA debentures, was 4.0%</w:t>
      </w:r>
    </w:p>
    <w:p>
      <w:pPr>
        <w:sectPr>
          <w:pgSz w:w="11900" w:h="16981" w:orient="portrait"/>
          <w:cols w:equalWidth="0" w:num="1">
            <w:col w:w="11240"/>
          </w:cols>
          <w:pgMar w:left="320" w:top="111" w:right="339" w:bottom="0" w:gutter="0" w:footer="0" w:header="0"/>
        </w:sectPr>
      </w:pPr>
    </w:p>
    <w:bookmarkStart w:id="6" w:name="page7"/>
    <w:bookmarkEnd w:id="6"/>
    <w:p>
      <w:pPr>
        <w:jc w:val="both"/>
        <w:spacing w:after="0" w:line="329" w:lineRule="auto"/>
        <w:rPr>
          <w:sz w:val="20"/>
          <w:szCs w:val="20"/>
          <w:color w:val="auto"/>
        </w:rPr>
      </w:pPr>
      <w:r>
        <w:rPr>
          <w:rFonts w:ascii="Arial" w:cs="Arial" w:eastAsia="Arial" w:hAnsi="Arial"/>
          <w:sz w:val="19"/>
          <w:szCs w:val="19"/>
          <w:color w:val="auto"/>
        </w:rPr>
        <w:t>and 3.4%, respectively. As of December 31, 2021 and September 30, 2021, we had $19.8 million and $118.5 million of unused borrowing capacity under the Truist Credit Facility, respectively, subject to leverage and borrowing base restrictions.</w:t>
      </w:r>
    </w:p>
    <w:p>
      <w:pPr>
        <w:spacing w:after="0" w:line="10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of December 31, 2021 and September 30, 2021, we had $445.2 million and $316.5 million, respectively, in outstanding borrowings under the Truist Credit Facility. The Truist Credit Facility had a weighted average interest rate of 2.4% and 2.4%, respectively, exclusive of the fee on undrawn commitments, as of December 31, 2021 and September 30, 2021.</w:t>
      </w:r>
    </w:p>
    <w:p>
      <w:pPr>
        <w:spacing w:after="0" w:line="134"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As of December 31, 2021 and September 30, 2021, we had cash and cash equivalents of $39.6 million and $20.4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operating activities used cash of $177.4 million for the three months ended December 31, 2021, and our financing activities provided cash of $196.6 million for the same period. Our operating activities used cash primarily due to our investment activities and our financing activities provided cash primarily due to the issuance of the 2026 Notes-2 and borrowings under the Truist Credit Facility.</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operating activities provided cash of $35.0 million for the three months ended December 31, 2020 and our financing activities used cash of $40.8 million for the same period. Our operating activities provided cash primarily for our investment activities and our financing activities used cash primarily to pay down the Truist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Subsequent to quarter-end, we announced a share repurchase plan which allows us to repurchase up to $25.0 million of our outstanding common stock in the open market at prices below our net asset value as reported in our then most recently published consolidated financial statements. The program will expire on March 31, 2023.</w:t>
      </w:r>
    </w:p>
    <w:p>
      <w:pPr>
        <w:spacing w:after="0" w:line="186" w:lineRule="exact"/>
        <w:rPr>
          <w:sz w:val="20"/>
          <w:szCs w:val="20"/>
          <w:color w:val="auto"/>
        </w:rPr>
      </w:pPr>
    </w:p>
    <w:p>
      <w:pPr>
        <w:ind w:right="140"/>
        <w:spacing w:after="0" w:line="274" w:lineRule="auto"/>
        <w:rPr>
          <w:sz w:val="20"/>
          <w:szCs w:val="20"/>
          <w:color w:val="auto"/>
        </w:rPr>
      </w:pPr>
      <w:r>
        <w:rPr>
          <w:rFonts w:ascii="Arial" w:cs="Arial" w:eastAsia="Arial" w:hAnsi="Arial"/>
          <w:sz w:val="21"/>
          <w:szCs w:val="21"/>
          <w:color w:val="auto"/>
        </w:rPr>
        <w:t>Subsequent to quarter end we and Pantheon Ventures (UK) LLP, have agreed to increase our capital commitments to PSLF from $169.8 million to $234.8 million. PNNT’s portion of this capital commitment increase is $39.3 million.</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During the three months ended December 31, 2021, we declared distributions of $0.12 per share, for total distributions of $8.0 million. For the same periods in the prior year, we declared distributions of $0.12 for total distributions of $8.0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Company makes available on its website its Quarterly Report on Form 10-Q filed with the SEC, and stockholders may find such report on its website at www.pennantpark.com.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52"/>
              <w:spacing w:after="0"/>
              <w:rPr>
                <w:sz w:val="20"/>
                <w:szCs w:val="20"/>
                <w:color w:val="auto"/>
              </w:rPr>
            </w:pPr>
            <w:r>
              <w:rPr>
                <w:rFonts w:ascii="Arial" w:cs="Arial" w:eastAsia="Arial" w:hAnsi="Arial"/>
                <w:sz w:val="22"/>
                <w:szCs w:val="22"/>
                <w:b w:val="1"/>
                <w:bCs w:val="1"/>
                <w:color w:val="auto"/>
                <w:w w:val="90"/>
              </w:rPr>
              <w:t>September 30,</w:t>
            </w:r>
          </w:p>
        </w:tc>
      </w:tr>
      <w:tr>
        <w:trPr>
          <w:trHeight w:val="270"/>
        </w:trPr>
        <w:tc>
          <w:tcPr>
            <w:tcW w:w="7160" w:type="dxa"/>
            <w:vAlign w:val="bottom"/>
          </w:tcPr>
          <w:p>
            <w:pPr>
              <w:spacing w:after="0"/>
              <w:rPr>
                <w:sz w:val="23"/>
                <w:szCs w:val="23"/>
                <w:color w:val="auto"/>
              </w:rPr>
            </w:pPr>
          </w:p>
        </w:tc>
        <w:tc>
          <w:tcPr>
            <w:tcW w:w="2140" w:type="dxa"/>
            <w:vAlign w:val="bottom"/>
            <w:gridSpan w:val="3"/>
          </w:tcPr>
          <w:p>
            <w:pPr>
              <w:ind w:left="40"/>
              <w:spacing w:after="0"/>
              <w:rPr>
                <w:sz w:val="20"/>
                <w:szCs w:val="20"/>
                <w:color w:val="auto"/>
              </w:rPr>
            </w:pPr>
            <w:r>
              <w:rPr>
                <w:rFonts w:ascii="Arial" w:cs="Arial" w:eastAsia="Arial" w:hAnsi="Arial"/>
                <w:sz w:val="22"/>
                <w:szCs w:val="22"/>
                <w:b w:val="1"/>
                <w:bCs w:val="1"/>
                <w:color w:val="auto"/>
              </w:rPr>
              <w:t>December 31, 2021</w:t>
            </w:r>
          </w:p>
        </w:tc>
        <w:tc>
          <w:tcPr>
            <w:tcW w:w="180" w:type="dxa"/>
            <w:vAlign w:val="bottom"/>
          </w:tcPr>
          <w:p>
            <w:pPr>
              <w:spacing w:after="0"/>
              <w:rPr>
                <w:sz w:val="23"/>
                <w:szCs w:val="23"/>
                <w:color w:val="auto"/>
              </w:rPr>
            </w:pPr>
          </w:p>
        </w:tc>
        <w:tc>
          <w:tcPr>
            <w:tcW w:w="1640" w:type="dxa"/>
            <w:vAlign w:val="bottom"/>
          </w:tcPr>
          <w:p>
            <w:pPr>
              <w:jc w:val="right"/>
              <w:ind w:right="592"/>
              <w:spacing w:after="0"/>
              <w:rPr>
                <w:sz w:val="20"/>
                <w:szCs w:val="20"/>
                <w:color w:val="auto"/>
              </w:rPr>
            </w:pPr>
            <w:r>
              <w:rPr>
                <w:rFonts w:ascii="Arial" w:cs="Arial" w:eastAsia="Arial" w:hAnsi="Arial"/>
                <w:sz w:val="22"/>
                <w:szCs w:val="22"/>
                <w:b w:val="1"/>
                <w:bCs w:val="1"/>
                <w:color w:val="auto"/>
              </w:rPr>
              <w:t>2021</w:t>
            </w:r>
          </w:p>
        </w:tc>
      </w:tr>
      <w:tr>
        <w:trPr>
          <w:trHeight w:val="280"/>
        </w:trPr>
        <w:tc>
          <w:tcPr>
            <w:tcW w:w="7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ind w:left="120"/>
              <w:spacing w:after="0"/>
              <w:rPr>
                <w:sz w:val="20"/>
                <w:szCs w:val="20"/>
                <w:color w:val="auto"/>
              </w:rPr>
            </w:pPr>
            <w:r>
              <w:rPr>
                <w:rFonts w:ascii="Arial" w:cs="Arial" w:eastAsia="Arial" w:hAnsi="Arial"/>
                <w:sz w:val="22"/>
                <w:szCs w:val="22"/>
                <w:b w:val="1"/>
                <w:bCs w:val="1"/>
                <w:color w:val="auto"/>
              </w:rPr>
              <w:t>(unaudited)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9"/>
        </w:trPr>
        <w:tc>
          <w:tcPr>
            <w:tcW w:w="716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43"/>
        </w:trPr>
        <w:tc>
          <w:tcPr>
            <w:tcW w:w="7160" w:type="dxa"/>
            <w:vAlign w:val="bottom"/>
          </w:tcPr>
          <w:p>
            <w:pPr>
              <w:ind w:left="200"/>
              <w:spacing w:after="0" w:line="243" w:lineRule="exact"/>
              <w:rPr>
                <w:sz w:val="20"/>
                <w:szCs w:val="20"/>
                <w:color w:val="auto"/>
              </w:rPr>
            </w:pPr>
            <w:r>
              <w:rPr>
                <w:rFonts w:ascii="Arial" w:cs="Arial" w:eastAsia="Arial" w:hAnsi="Arial"/>
                <w:sz w:val="22"/>
                <w:szCs w:val="22"/>
                <w:color w:val="auto"/>
              </w:rPr>
              <w:t>Non-controlled, non-affiliated investments (cost—$890,776,532 and</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0"/>
        </w:trPr>
        <w:tc>
          <w:tcPr>
            <w:tcW w:w="7160" w:type="dxa"/>
            <w:vAlign w:val="bottom"/>
          </w:tcPr>
          <w:p>
            <w:pPr>
              <w:ind w:left="200"/>
              <w:spacing w:after="0"/>
              <w:rPr>
                <w:sz w:val="20"/>
                <w:szCs w:val="20"/>
                <w:color w:val="auto"/>
              </w:rPr>
            </w:pPr>
            <w:r>
              <w:rPr>
                <w:rFonts w:ascii="Arial" w:cs="Arial" w:eastAsia="Arial" w:hAnsi="Arial"/>
                <w:sz w:val="22"/>
                <w:szCs w:val="22"/>
                <w:color w:val="auto"/>
              </w:rPr>
              <w:t>$729,811,369, respectively)</w:t>
            </w:r>
          </w:p>
        </w:tc>
        <w:tc>
          <w:tcPr>
            <w:tcW w:w="260" w:type="dxa"/>
            <w:vAlign w:val="bottom"/>
          </w:tcPr>
          <w:p>
            <w:pPr>
              <w:ind w:left="20"/>
              <w:spacing w:after="0"/>
              <w:rPr>
                <w:sz w:val="20"/>
                <w:szCs w:val="20"/>
                <w:color w:val="auto"/>
              </w:rPr>
            </w:pPr>
            <w:r>
              <w:rPr>
                <w:rFonts w:ascii="Arial" w:cs="Arial" w:eastAsia="Arial" w:hAnsi="Arial"/>
                <w:sz w:val="22"/>
                <w:szCs w:val="22"/>
                <w:color w:val="auto"/>
              </w:rPr>
              <w:t>$</w:t>
            </w:r>
          </w:p>
        </w:tc>
        <w:tc>
          <w:tcPr>
            <w:tcW w:w="1560" w:type="dxa"/>
            <w:vAlign w:val="bottom"/>
          </w:tcPr>
          <w:p>
            <w:pPr>
              <w:jc w:val="right"/>
              <w:spacing w:after="0"/>
              <w:rPr>
                <w:sz w:val="20"/>
                <w:szCs w:val="20"/>
                <w:color w:val="auto"/>
              </w:rPr>
            </w:pPr>
            <w:r>
              <w:rPr>
                <w:rFonts w:ascii="Arial" w:cs="Arial" w:eastAsia="Arial" w:hAnsi="Arial"/>
                <w:sz w:val="22"/>
                <w:szCs w:val="22"/>
                <w:color w:val="auto"/>
              </w:rPr>
              <w:t>931,825,423</w:t>
            </w:r>
          </w:p>
        </w:tc>
        <w:tc>
          <w:tcPr>
            <w:tcW w:w="3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640" w:type="dxa"/>
            <w:vAlign w:val="bottom"/>
          </w:tcPr>
          <w:p>
            <w:pPr>
              <w:jc w:val="right"/>
              <w:spacing w:after="0"/>
              <w:rPr>
                <w:sz w:val="20"/>
                <w:szCs w:val="20"/>
                <w:color w:val="auto"/>
              </w:rPr>
            </w:pPr>
            <w:r>
              <w:rPr>
                <w:rFonts w:ascii="Arial" w:cs="Arial" w:eastAsia="Arial" w:hAnsi="Arial"/>
                <w:sz w:val="22"/>
                <w:szCs w:val="22"/>
                <w:color w:val="auto"/>
              </w:rPr>
              <w:t>820,500,111</w:t>
            </w:r>
          </w:p>
        </w:tc>
      </w:tr>
      <w:tr>
        <w:trPr>
          <w:trHeight w:val="243"/>
        </w:trPr>
        <w:tc>
          <w:tcPr>
            <w:tcW w:w="7160" w:type="dxa"/>
            <w:vAlign w:val="bottom"/>
          </w:tcPr>
          <w:p>
            <w:pPr>
              <w:ind w:left="200"/>
              <w:spacing w:after="0" w:line="243" w:lineRule="exact"/>
              <w:rPr>
                <w:sz w:val="20"/>
                <w:szCs w:val="20"/>
                <w:color w:val="auto"/>
              </w:rPr>
            </w:pPr>
            <w:r>
              <w:rPr>
                <w:rFonts w:ascii="Arial" w:cs="Arial" w:eastAsia="Arial" w:hAnsi="Arial"/>
                <w:sz w:val="22"/>
                <w:szCs w:val="22"/>
                <w:color w:val="auto"/>
                <w:w w:val="94"/>
              </w:rPr>
              <w:t>Non-controlled, affiliated investments (cost—$47,449,723 and $78,723,320,</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0"/>
        </w:trPr>
        <w:tc>
          <w:tcPr>
            <w:tcW w:w="7160" w:type="dxa"/>
            <w:vAlign w:val="bottom"/>
          </w:tcPr>
          <w:p>
            <w:pPr>
              <w:ind w:left="200"/>
              <w:spacing w:after="0"/>
              <w:rPr>
                <w:sz w:val="20"/>
                <w:szCs w:val="20"/>
                <w:color w:val="auto"/>
              </w:rPr>
            </w:pPr>
            <w:r>
              <w:rPr>
                <w:rFonts w:ascii="Arial" w:cs="Arial" w:eastAsia="Arial" w:hAnsi="Arial"/>
                <w:sz w:val="22"/>
                <w:szCs w:val="22"/>
                <w:color w:val="auto"/>
              </w:rPr>
              <w:t>respectively)</w:t>
            </w: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51,121,783</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50,161,391</w:t>
            </w:r>
          </w:p>
        </w:tc>
      </w:tr>
      <w:tr>
        <w:trPr>
          <w:trHeight w:val="243"/>
        </w:trPr>
        <w:tc>
          <w:tcPr>
            <w:tcW w:w="7160" w:type="dxa"/>
            <w:vAlign w:val="bottom"/>
          </w:tcPr>
          <w:p>
            <w:pPr>
              <w:ind w:left="200"/>
              <w:spacing w:after="0" w:line="243" w:lineRule="exact"/>
              <w:rPr>
                <w:sz w:val="20"/>
                <w:szCs w:val="20"/>
                <w:color w:val="auto"/>
              </w:rPr>
            </w:pPr>
            <w:r>
              <w:rPr>
                <w:rFonts w:ascii="Arial" w:cs="Arial" w:eastAsia="Arial" w:hAnsi="Arial"/>
                <w:sz w:val="22"/>
                <w:szCs w:val="22"/>
                <w:color w:val="auto"/>
                <w:w w:val="96"/>
              </w:rPr>
              <w:t>Controlled, affiliated investments (cost—$426,263,178 and $412,586,761,</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4"/>
        </w:trPr>
        <w:tc>
          <w:tcPr>
            <w:tcW w:w="7160" w:type="dxa"/>
            <w:vAlign w:val="bottom"/>
          </w:tcPr>
          <w:p>
            <w:pPr>
              <w:ind w:left="200"/>
              <w:spacing w:after="0"/>
              <w:rPr>
                <w:sz w:val="20"/>
                <w:szCs w:val="20"/>
                <w:color w:val="auto"/>
              </w:rPr>
            </w:pPr>
            <w:r>
              <w:rPr>
                <w:rFonts w:ascii="Arial" w:cs="Arial" w:eastAsia="Arial" w:hAnsi="Arial"/>
                <w:sz w:val="22"/>
                <w:szCs w:val="22"/>
                <w:color w:val="auto"/>
              </w:rPr>
              <w:t>respectively)</w:t>
            </w: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462,442,536</w:t>
            </w:r>
          </w:p>
        </w:tc>
        <w:tc>
          <w:tcPr>
            <w:tcW w:w="3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384,628,332</w:t>
            </w:r>
          </w:p>
        </w:tc>
      </w:tr>
      <w:tr>
        <w:trPr>
          <w:trHeight w:val="259"/>
        </w:trPr>
        <w:tc>
          <w:tcPr>
            <w:tcW w:w="7160" w:type="dxa"/>
            <w:vAlign w:val="bottom"/>
          </w:tcPr>
          <w:p>
            <w:pPr>
              <w:ind w:left="200"/>
              <w:spacing w:after="0"/>
              <w:rPr>
                <w:sz w:val="20"/>
                <w:szCs w:val="20"/>
                <w:color w:val="auto"/>
              </w:rPr>
            </w:pPr>
            <w:r>
              <w:rPr>
                <w:rFonts w:ascii="Arial" w:cs="Arial" w:eastAsia="Arial" w:hAnsi="Arial"/>
                <w:sz w:val="22"/>
                <w:szCs w:val="22"/>
                <w:color w:val="auto"/>
                <w:w w:val="93"/>
              </w:rPr>
              <w:t>Total investments (cost—$1,364,489,433 and $1,221,121,450, respectively)</w:t>
            </w: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1,445,389,742</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1,255,289,834</w:t>
            </w: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w w:val="92"/>
              </w:rPr>
              <w:t>Cash and cash equivalents (cost—$39,570,438 and $20,382,959, respectively)</w:t>
            </w: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39,581,423</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20,357,016</w:t>
            </w: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Interest receivable</w:t>
            </w: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5,408,144</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4,958,217</w:t>
            </w: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25,614,110</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12,792,969</w:t>
            </w:r>
          </w:p>
        </w:tc>
      </w:tr>
      <w:tr>
        <w:trPr>
          <w:trHeight w:val="274"/>
        </w:trPr>
        <w:tc>
          <w:tcPr>
            <w:tcW w:w="7160" w:type="dxa"/>
            <w:vAlign w:val="bottom"/>
          </w:tcPr>
          <w:p>
            <w:pPr>
              <w:spacing w:after="0"/>
              <w:rPr>
                <w:sz w:val="20"/>
                <w:szCs w:val="20"/>
                <w:color w:val="auto"/>
              </w:rPr>
            </w:pPr>
            <w:r>
              <w:rPr>
                <w:rFonts w:ascii="Arial" w:cs="Arial" w:eastAsia="Arial" w:hAnsi="Arial"/>
                <w:sz w:val="22"/>
                <w:szCs w:val="22"/>
                <w:color w:val="auto"/>
              </w:rPr>
              <w:t>Distribution receivable</w:t>
            </w: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1,815,000</w:t>
            </w:r>
          </w:p>
        </w:tc>
        <w:tc>
          <w:tcPr>
            <w:tcW w:w="3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1,694,000</w:t>
            </w:r>
          </w:p>
        </w:tc>
      </w:tr>
      <w:tr>
        <w:trPr>
          <w:trHeight w:val="267"/>
        </w:trPr>
        <w:tc>
          <w:tcPr>
            <w:tcW w:w="716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1,517,808,419</w:t>
            </w:r>
          </w:p>
        </w:tc>
        <w:tc>
          <w:tcPr>
            <w:tcW w:w="3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1,295,092,036</w:t>
            </w:r>
          </w:p>
        </w:tc>
      </w:tr>
      <w:tr>
        <w:trPr>
          <w:trHeight w:val="256"/>
        </w:trPr>
        <w:tc>
          <w:tcPr>
            <w:tcW w:w="716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Distributions payable</w:t>
            </w: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8,045,413</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8,045,413</w:t>
            </w:r>
          </w:p>
        </w:tc>
      </w:tr>
      <w:tr>
        <w:trPr>
          <w:trHeight w:val="274"/>
        </w:trPr>
        <w:tc>
          <w:tcPr>
            <w:tcW w:w="716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595,350</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8,407,287</w:t>
            </w:r>
          </w:p>
        </w:tc>
      </w:tr>
    </w:tbl>
    <w:p>
      <w:pPr>
        <w:sectPr>
          <w:pgSz w:w="11900" w:h="16838" w:orient="portrait"/>
          <w:cols w:equalWidth="0" w:num="1">
            <w:col w:w="11240"/>
          </w:cols>
          <w:pgMar w:left="320" w:top="118"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60" w:type="dxa"/>
            <w:vAlign w:val="bottom"/>
          </w:tcPr>
          <w:p>
            <w:pPr>
              <w:spacing w:after="0"/>
              <w:rPr>
                <w:sz w:val="20"/>
                <w:szCs w:val="20"/>
                <w:color w:val="auto"/>
              </w:rPr>
            </w:pPr>
            <w:r>
              <w:rPr>
                <w:rFonts w:ascii="Arial" w:cs="Arial" w:eastAsia="Arial" w:hAnsi="Arial"/>
                <w:sz w:val="22"/>
                <w:szCs w:val="22"/>
                <w:color w:val="auto"/>
              </w:rPr>
              <w:t>Truist Credit Facility payable, at fair value (cost—$445,223,900 and</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444,487,950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314,813,145</w:t>
            </w:r>
          </w:p>
        </w:tc>
        <w:tc>
          <w:tcPr>
            <w:tcW w:w="80" w:type="dxa"/>
            <w:vAlign w:val="bottom"/>
          </w:tcPr>
          <w:p>
            <w:pPr>
              <w:spacing w:after="0"/>
              <w:rPr>
                <w:sz w:val="21"/>
                <w:szCs w:val="2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$316,544,900, respectively)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2024 Notes payable, net (par— zero and $86,250,000, respectively)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20" w:type="dxa"/>
            <w:vAlign w:val="bottom"/>
            <w:gridSpan w:val="3"/>
          </w:tcPr>
          <w:p>
            <w:pPr>
              <w:jc w:val="right"/>
              <w:ind w:right="340"/>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84,503,061</w:t>
            </w:r>
          </w:p>
        </w:tc>
        <w:tc>
          <w:tcPr>
            <w:tcW w:w="80" w:type="dxa"/>
            <w:vAlign w:val="bottom"/>
          </w:tcPr>
          <w:p>
            <w:pPr>
              <w:spacing w:after="0"/>
              <w:rPr>
                <w:sz w:val="23"/>
                <w:szCs w:val="23"/>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2026 Notes payable, net (par— $150,000,000)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146,090,709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145,865,253</w:t>
            </w:r>
          </w:p>
        </w:tc>
        <w:tc>
          <w:tcPr>
            <w:tcW w:w="80" w:type="dxa"/>
            <w:vAlign w:val="bottom"/>
          </w:tcPr>
          <w:p>
            <w:pPr>
              <w:spacing w:after="0"/>
              <w:rPr>
                <w:sz w:val="23"/>
                <w:szCs w:val="23"/>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2026 Notes-2 payable, net (par— $165,000,000 and zero, respectively)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160,732,762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SBA debentures payable, net (par—$63,500,000)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62,207,567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62,158,642</w:t>
            </w:r>
          </w:p>
        </w:tc>
        <w:tc>
          <w:tcPr>
            <w:tcW w:w="80" w:type="dxa"/>
            <w:vAlign w:val="bottom"/>
          </w:tcPr>
          <w:p>
            <w:pPr>
              <w:spacing w:after="0"/>
              <w:rPr>
                <w:sz w:val="23"/>
                <w:szCs w:val="23"/>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Base management fee payable, net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5,108,859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4,580,227</w:t>
            </w:r>
          </w:p>
        </w:tc>
        <w:tc>
          <w:tcPr>
            <w:tcW w:w="80" w:type="dxa"/>
            <w:vAlign w:val="bottom"/>
          </w:tcPr>
          <w:p>
            <w:pPr>
              <w:spacing w:after="0"/>
              <w:rPr>
                <w:sz w:val="23"/>
                <w:szCs w:val="23"/>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Performance based-incentive fee payable</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2,656,598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574,728</w:t>
            </w:r>
          </w:p>
        </w:tc>
        <w:tc>
          <w:tcPr>
            <w:tcW w:w="80" w:type="dxa"/>
            <w:vAlign w:val="bottom"/>
          </w:tcPr>
          <w:p>
            <w:pPr>
              <w:spacing w:after="0"/>
              <w:rPr>
                <w:sz w:val="23"/>
                <w:szCs w:val="23"/>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4,011,871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4,942,513</w:t>
            </w:r>
          </w:p>
        </w:tc>
        <w:tc>
          <w:tcPr>
            <w:tcW w:w="80" w:type="dxa"/>
            <w:vAlign w:val="bottom"/>
          </w:tcPr>
          <w:p>
            <w:pPr>
              <w:spacing w:after="0"/>
              <w:rPr>
                <w:sz w:val="23"/>
                <w:szCs w:val="23"/>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Deferred tax liability</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5,045,141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4"/>
        </w:trPr>
        <w:tc>
          <w:tcPr>
            <w:tcW w:w="716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1,216,808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1,057,660</w:t>
            </w:r>
          </w:p>
        </w:tc>
        <w:tc>
          <w:tcPr>
            <w:tcW w:w="80" w:type="dxa"/>
            <w:vAlign w:val="bottom"/>
          </w:tcPr>
          <w:p>
            <w:pPr>
              <w:spacing w:after="0"/>
              <w:rPr>
                <w:sz w:val="23"/>
                <w:szCs w:val="23"/>
                <w:color w:val="auto"/>
              </w:rPr>
            </w:pPr>
          </w:p>
        </w:tc>
      </w:tr>
      <w:tr>
        <w:trPr>
          <w:trHeight w:val="267"/>
        </w:trPr>
        <w:tc>
          <w:tcPr>
            <w:tcW w:w="716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840,199,028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634,947,929</w:t>
            </w:r>
          </w:p>
        </w:tc>
        <w:tc>
          <w:tcPr>
            <w:tcW w:w="80" w:type="dxa"/>
            <w:vAlign w:val="bottom"/>
          </w:tcPr>
          <w:p>
            <w:pPr>
              <w:spacing w:after="0"/>
              <w:rPr>
                <w:sz w:val="23"/>
                <w:szCs w:val="23"/>
                <w:color w:val="auto"/>
              </w:rPr>
            </w:pPr>
          </w:p>
        </w:tc>
      </w:tr>
      <w:tr>
        <w:trPr>
          <w:trHeight w:val="250"/>
        </w:trPr>
        <w:tc>
          <w:tcPr>
            <w:tcW w:w="716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716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7160" w:type="dxa"/>
            <w:vAlign w:val="bottom"/>
          </w:tcPr>
          <w:p>
            <w:pPr>
              <w:spacing w:after="0" w:line="243" w:lineRule="exact"/>
              <w:rPr>
                <w:sz w:val="20"/>
                <w:szCs w:val="20"/>
                <w:color w:val="auto"/>
              </w:rPr>
            </w:pPr>
            <w:r>
              <w:rPr>
                <w:rFonts w:ascii="Arial" w:cs="Arial" w:eastAsia="Arial" w:hAnsi="Arial"/>
                <w:sz w:val="22"/>
                <w:szCs w:val="22"/>
                <w:color w:val="auto"/>
              </w:rPr>
              <w:t>Common stock, 67,045,105 shares issued and outstanding</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Par value $0.001 per share and 100,000,000 shares authorized</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67,045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67,045</w:t>
            </w:r>
          </w:p>
        </w:tc>
        <w:tc>
          <w:tcPr>
            <w:tcW w:w="80" w:type="dxa"/>
            <w:vAlign w:val="bottom"/>
          </w:tcPr>
          <w:p>
            <w:pPr>
              <w:spacing w:after="0"/>
              <w:rPr>
                <w:sz w:val="23"/>
                <w:szCs w:val="23"/>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786,992,974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786,992,974</w:t>
            </w:r>
          </w:p>
        </w:tc>
        <w:tc>
          <w:tcPr>
            <w:tcW w:w="80" w:type="dxa"/>
            <w:vAlign w:val="bottom"/>
          </w:tcPr>
          <w:p>
            <w:pPr>
              <w:spacing w:after="0"/>
              <w:rPr>
                <w:sz w:val="23"/>
                <w:szCs w:val="23"/>
                <w:color w:val="auto"/>
              </w:rPr>
            </w:pPr>
          </w:p>
        </w:tc>
      </w:tr>
      <w:tr>
        <w:trPr>
          <w:trHeight w:val="274"/>
        </w:trPr>
        <w:tc>
          <w:tcPr>
            <w:tcW w:w="7160" w:type="dxa"/>
            <w:vAlign w:val="bottom"/>
          </w:tcPr>
          <w:p>
            <w:pPr>
              <w:spacing w:after="0"/>
              <w:rPr>
                <w:sz w:val="20"/>
                <w:szCs w:val="20"/>
                <w:color w:val="auto"/>
              </w:rPr>
            </w:pPr>
            <w:r>
              <w:rPr>
                <w:rFonts w:ascii="Arial" w:cs="Arial" w:eastAsia="Arial" w:hAnsi="Arial"/>
                <w:sz w:val="22"/>
                <w:szCs w:val="22"/>
                <w:color w:val="auto"/>
              </w:rPr>
              <w:t>Accumulated deficit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2"/>
                <w:szCs w:val="22"/>
                <w:color w:val="auto"/>
              </w:rPr>
              <w:t>(109,450,628)</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(126,915,912)</w:t>
            </w:r>
          </w:p>
        </w:tc>
      </w:tr>
      <w:tr>
        <w:trPr>
          <w:trHeight w:val="267"/>
        </w:trPr>
        <w:tc>
          <w:tcPr>
            <w:tcW w:w="716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32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22"/>
                <w:szCs w:val="22"/>
                <w:color w:val="auto"/>
                <w:w w:val="97"/>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677,609,391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660,144,107</w:t>
            </w:r>
          </w:p>
        </w:tc>
        <w:tc>
          <w:tcPr>
            <w:tcW w:w="80" w:type="dxa"/>
            <w:vAlign w:val="bottom"/>
          </w:tcPr>
          <w:p>
            <w:pPr>
              <w:spacing w:after="0"/>
              <w:rPr>
                <w:sz w:val="23"/>
                <w:szCs w:val="23"/>
                <w:color w:val="auto"/>
              </w:rPr>
            </w:pPr>
          </w:p>
        </w:tc>
      </w:tr>
      <w:tr>
        <w:trPr>
          <w:trHeight w:val="263"/>
        </w:trPr>
        <w:tc>
          <w:tcPr>
            <w:tcW w:w="716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22"/>
                <w:szCs w:val="22"/>
                <w:color w:val="auto"/>
                <w:w w:val="97"/>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1,517,808,419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1,295,092,036</w:t>
            </w:r>
          </w:p>
        </w:tc>
        <w:tc>
          <w:tcPr>
            <w:tcW w:w="80" w:type="dxa"/>
            <w:vAlign w:val="bottom"/>
          </w:tcPr>
          <w:p>
            <w:pPr>
              <w:spacing w:after="0"/>
              <w:rPr>
                <w:sz w:val="22"/>
                <w:szCs w:val="22"/>
                <w:color w:val="auto"/>
              </w:rPr>
            </w:pPr>
          </w:p>
        </w:tc>
      </w:tr>
      <w:tr>
        <w:trPr>
          <w:trHeight w:val="20"/>
        </w:trPr>
        <w:tc>
          <w:tcPr>
            <w:tcW w:w="7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716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22"/>
                <w:szCs w:val="22"/>
                <w:color w:val="auto"/>
                <w:w w:val="97"/>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10.11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9.85</w:t>
            </w:r>
          </w:p>
        </w:tc>
        <w:tc>
          <w:tcPr>
            <w:tcW w:w="80" w:type="dxa"/>
            <w:vAlign w:val="bottom"/>
          </w:tcPr>
          <w:p>
            <w:pPr>
              <w:spacing w:after="0"/>
              <w:rPr>
                <w:sz w:val="22"/>
                <w:szCs w:val="22"/>
                <w:color w:val="auto"/>
              </w:rPr>
            </w:pPr>
          </w:p>
        </w:tc>
      </w:tr>
      <w:tr>
        <w:trPr>
          <w:trHeight w:val="20"/>
        </w:trPr>
        <w:tc>
          <w:tcPr>
            <w:tcW w:w="7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68"/>
        </w:trPr>
        <w:tc>
          <w:tcPr>
            <w:tcW w:w="9300" w:type="dxa"/>
            <w:vAlign w:val="bottom"/>
            <w:gridSpan w:val="6"/>
          </w:tcPr>
          <w:p>
            <w:pPr>
              <w:jc w:val="center"/>
              <w:ind w:left="1792"/>
              <w:spacing w:after="0"/>
              <w:rPr>
                <w:sz w:val="20"/>
                <w:szCs w:val="20"/>
                <w:color w:val="auto"/>
              </w:rPr>
            </w:pPr>
            <w:r>
              <w:rPr>
                <w:rFonts w:ascii="Arial" w:cs="Arial" w:eastAsia="Arial" w:hAnsi="Arial"/>
                <w:sz w:val="22"/>
                <w:szCs w:val="22"/>
                <w:b w:val="1"/>
                <w:bCs w:val="1"/>
                <w:color w:val="auto"/>
                <w:w w:val="98"/>
              </w:rPr>
              <w:t>PENNANTPARK INVESTMENT CORPORATION AND SUBSIDIARIES</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9300" w:type="dxa"/>
            <w:vAlign w:val="bottom"/>
            <w:gridSpan w:val="6"/>
          </w:tcPr>
          <w:p>
            <w:pPr>
              <w:jc w:val="center"/>
              <w:ind w:left="1812"/>
              <w:spacing w:after="0" w:line="243" w:lineRule="exact"/>
              <w:rPr>
                <w:sz w:val="20"/>
                <w:szCs w:val="20"/>
                <w:color w:val="auto"/>
              </w:rPr>
            </w:pPr>
            <w:r>
              <w:rPr>
                <w:rFonts w:ascii="Arial" w:cs="Arial" w:eastAsia="Arial" w:hAnsi="Arial"/>
                <w:sz w:val="22"/>
                <w:szCs w:val="22"/>
                <w:b w:val="1"/>
                <w:bCs w:val="1"/>
                <w:color w:val="auto"/>
                <w:w w:val="97"/>
              </w:rPr>
              <w:t>CONSOLIDATED STATEMENTS OF OPERATIONS</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80"/>
        </w:trPr>
        <w:tc>
          <w:tcPr>
            <w:tcW w:w="7160" w:type="dxa"/>
            <w:vAlign w:val="bottom"/>
          </w:tcPr>
          <w:p>
            <w:pPr>
              <w:jc w:val="center"/>
              <w:ind w:left="3932"/>
              <w:spacing w:after="0"/>
              <w:rPr>
                <w:sz w:val="20"/>
                <w:szCs w:val="20"/>
                <w:color w:val="auto"/>
              </w:rPr>
            </w:pPr>
            <w:r>
              <w:rPr>
                <w:rFonts w:ascii="Arial" w:cs="Arial" w:eastAsia="Arial" w:hAnsi="Arial"/>
                <w:sz w:val="22"/>
                <w:szCs w:val="22"/>
                <w:b w:val="1"/>
                <w:bCs w:val="1"/>
                <w:color w:val="auto"/>
                <w:w w:val="91"/>
              </w:rPr>
              <w:t>(Unaudited)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4"/>
        </w:trPr>
        <w:tc>
          <w:tcPr>
            <w:tcW w:w="7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gridSpan w:val="6"/>
          </w:tcPr>
          <w:p>
            <w:pPr>
              <w:jc w:val="right"/>
              <w:ind w:right="360"/>
              <w:spacing w:after="0"/>
              <w:rPr>
                <w:sz w:val="20"/>
                <w:szCs w:val="20"/>
                <w:color w:val="auto"/>
              </w:rPr>
            </w:pPr>
            <w:r>
              <w:rPr>
                <w:rFonts w:ascii="Arial" w:cs="Arial" w:eastAsia="Arial" w:hAnsi="Arial"/>
                <w:sz w:val="22"/>
                <w:szCs w:val="22"/>
                <w:b w:val="1"/>
                <w:bCs w:val="1"/>
                <w:color w:val="auto"/>
                <w:w w:val="91"/>
              </w:rPr>
              <w:t>Three Months Ended December 31,</w:t>
            </w:r>
          </w:p>
        </w:tc>
      </w:tr>
      <w:tr>
        <w:trPr>
          <w:trHeight w:val="265"/>
        </w:trPr>
        <w:tc>
          <w:tcPr>
            <w:tcW w:w="7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5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2021</w:t>
            </w:r>
          </w:p>
        </w:tc>
        <w:tc>
          <w:tcPr>
            <w:tcW w:w="100" w:type="dxa"/>
            <w:vAlign w:val="bottom"/>
            <w:tcBorders>
              <w:top w:val="single" w:sz="8" w:color="auto"/>
              <w:bottom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4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22"/>
                <w:szCs w:val="22"/>
                <w:b w:val="1"/>
                <w:bCs w:val="1"/>
                <w:color w:val="auto"/>
              </w:rPr>
              <w:t>2020</w:t>
            </w:r>
          </w:p>
        </w:tc>
        <w:tc>
          <w:tcPr>
            <w:tcW w:w="80" w:type="dxa"/>
            <w:vAlign w:val="bottom"/>
          </w:tcPr>
          <w:p>
            <w:pPr>
              <w:spacing w:after="0"/>
              <w:rPr>
                <w:sz w:val="23"/>
                <w:szCs w:val="23"/>
                <w:color w:val="auto"/>
              </w:rPr>
            </w:pPr>
          </w:p>
        </w:tc>
      </w:tr>
      <w:tr>
        <w:trPr>
          <w:trHeight w:val="256"/>
        </w:trPr>
        <w:tc>
          <w:tcPr>
            <w:tcW w:w="716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160" w:type="dxa"/>
            <w:vAlign w:val="bottom"/>
          </w:tcPr>
          <w:p>
            <w:pPr>
              <w:ind w:left="200"/>
              <w:spacing w:after="0"/>
              <w:rPr>
                <w:sz w:val="20"/>
                <w:szCs w:val="20"/>
                <w:color w:val="auto"/>
              </w:rPr>
            </w:pPr>
            <w:r>
              <w:rPr>
                <w:rFonts w:ascii="Arial" w:cs="Arial" w:eastAsia="Arial" w:hAnsi="Arial"/>
                <w:sz w:val="22"/>
                <w:szCs w:val="22"/>
                <w:color w:val="auto"/>
              </w:rPr>
              <w:t>Interest</w:t>
            </w:r>
          </w:p>
        </w:tc>
        <w:tc>
          <w:tcPr>
            <w:tcW w:w="32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15,540,240</w:t>
            </w:r>
          </w:p>
        </w:tc>
        <w:tc>
          <w:tcPr>
            <w:tcW w:w="22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480" w:type="dxa"/>
            <w:vAlign w:val="bottom"/>
          </w:tcPr>
          <w:p>
            <w:pPr>
              <w:jc w:val="right"/>
              <w:spacing w:after="0"/>
              <w:rPr>
                <w:sz w:val="20"/>
                <w:szCs w:val="20"/>
                <w:color w:val="auto"/>
              </w:rPr>
            </w:pPr>
            <w:r>
              <w:rPr>
                <w:rFonts w:ascii="Arial" w:cs="Arial" w:eastAsia="Arial" w:hAnsi="Arial"/>
                <w:sz w:val="22"/>
                <w:szCs w:val="22"/>
                <w:color w:val="auto"/>
              </w:rPr>
              <w:t>11,432,511</w:t>
            </w:r>
          </w:p>
        </w:tc>
        <w:tc>
          <w:tcPr>
            <w:tcW w:w="80" w:type="dxa"/>
            <w:vAlign w:val="bottom"/>
          </w:tcPr>
          <w:p>
            <w:pPr>
              <w:spacing w:after="0"/>
              <w:rPr>
                <w:sz w:val="23"/>
                <w:szCs w:val="23"/>
                <w:color w:val="auto"/>
              </w:rPr>
            </w:pPr>
          </w:p>
        </w:tc>
      </w:tr>
      <w:tr>
        <w:trPr>
          <w:trHeight w:val="270"/>
        </w:trPr>
        <w:tc>
          <w:tcPr>
            <w:tcW w:w="7160" w:type="dxa"/>
            <w:vAlign w:val="bottom"/>
          </w:tcPr>
          <w:p>
            <w:pPr>
              <w:ind w:left="200"/>
              <w:spacing w:after="0"/>
              <w:rPr>
                <w:sz w:val="20"/>
                <w:szCs w:val="20"/>
                <w:color w:val="auto"/>
              </w:rPr>
            </w:pPr>
            <w:r>
              <w:rPr>
                <w:rFonts w:ascii="Arial" w:cs="Arial" w:eastAsia="Arial" w:hAnsi="Arial"/>
                <w:sz w:val="22"/>
                <w:szCs w:val="22"/>
                <w:color w:val="auto"/>
              </w:rPr>
              <w:t>Payment-in-kind</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2,410,294</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1,458,798</w:t>
            </w:r>
          </w:p>
        </w:tc>
        <w:tc>
          <w:tcPr>
            <w:tcW w:w="80" w:type="dxa"/>
            <w:vAlign w:val="bottom"/>
          </w:tcPr>
          <w:p>
            <w:pPr>
              <w:spacing w:after="0"/>
              <w:rPr>
                <w:sz w:val="23"/>
                <w:szCs w:val="23"/>
                <w:color w:val="auto"/>
              </w:rPr>
            </w:pPr>
          </w:p>
        </w:tc>
      </w:tr>
      <w:tr>
        <w:trPr>
          <w:trHeight w:val="270"/>
        </w:trPr>
        <w:tc>
          <w:tcPr>
            <w:tcW w:w="7160" w:type="dxa"/>
            <w:vAlign w:val="bottom"/>
          </w:tcPr>
          <w:p>
            <w:pPr>
              <w:ind w:left="200"/>
              <w:spacing w:after="0"/>
              <w:rPr>
                <w:sz w:val="20"/>
                <w:szCs w:val="20"/>
                <w:color w:val="auto"/>
              </w:rPr>
            </w:pPr>
            <w:r>
              <w:rPr>
                <w:rFonts w:ascii="Arial" w:cs="Arial" w:eastAsia="Arial" w:hAnsi="Arial"/>
                <w:sz w:val="22"/>
                <w:szCs w:val="22"/>
                <w:color w:val="auto"/>
              </w:rPr>
              <w:t>Other income</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4,190,708</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481,125</w:t>
            </w:r>
          </w:p>
        </w:tc>
        <w:tc>
          <w:tcPr>
            <w:tcW w:w="80" w:type="dxa"/>
            <w:vAlign w:val="bottom"/>
          </w:tcPr>
          <w:p>
            <w:pPr>
              <w:spacing w:after="0"/>
              <w:rPr>
                <w:sz w:val="23"/>
                <w:szCs w:val="23"/>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160" w:type="dxa"/>
            <w:vAlign w:val="bottom"/>
          </w:tcPr>
          <w:p>
            <w:pPr>
              <w:ind w:left="200"/>
              <w:spacing w:after="0"/>
              <w:rPr>
                <w:sz w:val="20"/>
                <w:szCs w:val="20"/>
                <w:color w:val="auto"/>
              </w:rPr>
            </w:pPr>
            <w:r>
              <w:rPr>
                <w:rFonts w:ascii="Arial" w:cs="Arial" w:eastAsia="Arial" w:hAnsi="Arial"/>
                <w:sz w:val="22"/>
                <w:szCs w:val="22"/>
                <w:color w:val="auto"/>
              </w:rPr>
              <w:t>Payment-in-kind</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20" w:type="dxa"/>
            <w:vAlign w:val="bottom"/>
            <w:gridSpan w:val="3"/>
          </w:tcPr>
          <w:p>
            <w:pPr>
              <w:jc w:val="right"/>
              <w:ind w:right="220"/>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160" w:type="dxa"/>
            <w:vAlign w:val="bottom"/>
          </w:tcPr>
          <w:p>
            <w:pPr>
              <w:ind w:left="200"/>
              <w:spacing w:after="0"/>
              <w:rPr>
                <w:sz w:val="20"/>
                <w:szCs w:val="20"/>
                <w:color w:val="auto"/>
              </w:rPr>
            </w:pPr>
            <w:r>
              <w:rPr>
                <w:rFonts w:ascii="Arial" w:cs="Arial" w:eastAsia="Arial" w:hAnsi="Arial"/>
                <w:sz w:val="22"/>
                <w:szCs w:val="22"/>
                <w:color w:val="auto"/>
              </w:rPr>
              <w:t>Interest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2,266,807</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2,276,776</w:t>
            </w:r>
          </w:p>
        </w:tc>
        <w:tc>
          <w:tcPr>
            <w:tcW w:w="80" w:type="dxa"/>
            <w:vAlign w:val="bottom"/>
          </w:tcPr>
          <w:p>
            <w:pPr>
              <w:spacing w:after="0"/>
              <w:rPr>
                <w:sz w:val="23"/>
                <w:szCs w:val="23"/>
                <w:color w:val="auto"/>
              </w:rPr>
            </w:pPr>
          </w:p>
        </w:tc>
      </w:tr>
      <w:tr>
        <w:trPr>
          <w:trHeight w:val="270"/>
        </w:trPr>
        <w:tc>
          <w:tcPr>
            <w:tcW w:w="7160" w:type="dxa"/>
            <w:vAlign w:val="bottom"/>
          </w:tcPr>
          <w:p>
            <w:pPr>
              <w:ind w:left="200"/>
              <w:spacing w:after="0"/>
              <w:rPr>
                <w:sz w:val="20"/>
                <w:szCs w:val="20"/>
                <w:color w:val="auto"/>
              </w:rPr>
            </w:pPr>
            <w:r>
              <w:rPr>
                <w:rFonts w:ascii="Arial" w:cs="Arial" w:eastAsia="Arial" w:hAnsi="Arial"/>
                <w:sz w:val="22"/>
                <w:szCs w:val="22"/>
                <w:color w:val="auto"/>
              </w:rPr>
              <w:t>Payment-in-kind</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2,126,309</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1,562,250</w:t>
            </w:r>
          </w:p>
        </w:tc>
        <w:tc>
          <w:tcPr>
            <w:tcW w:w="80" w:type="dxa"/>
            <w:vAlign w:val="bottom"/>
          </w:tcPr>
          <w:p>
            <w:pPr>
              <w:spacing w:after="0"/>
              <w:rPr>
                <w:sz w:val="23"/>
                <w:szCs w:val="23"/>
                <w:color w:val="auto"/>
              </w:rPr>
            </w:pPr>
          </w:p>
        </w:tc>
      </w:tr>
      <w:tr>
        <w:trPr>
          <w:trHeight w:val="274"/>
        </w:trPr>
        <w:tc>
          <w:tcPr>
            <w:tcW w:w="7160" w:type="dxa"/>
            <w:vAlign w:val="bottom"/>
          </w:tcPr>
          <w:p>
            <w:pPr>
              <w:ind w:left="200"/>
              <w:spacing w:after="0"/>
              <w:rPr>
                <w:sz w:val="20"/>
                <w:szCs w:val="20"/>
                <w:color w:val="auto"/>
              </w:rPr>
            </w:pPr>
            <w:r>
              <w:rPr>
                <w:rFonts w:ascii="Arial" w:cs="Arial" w:eastAsia="Arial" w:hAnsi="Arial"/>
                <w:sz w:val="22"/>
                <w:szCs w:val="22"/>
                <w:color w:val="auto"/>
              </w:rPr>
              <w:t>Dividend income</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1,815,000</w:t>
            </w:r>
          </w:p>
        </w:tc>
        <w:tc>
          <w:tcPr>
            <w:tcW w:w="2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1,521,000</w:t>
            </w:r>
          </w:p>
        </w:tc>
        <w:tc>
          <w:tcPr>
            <w:tcW w:w="80" w:type="dxa"/>
            <w:vAlign w:val="bottom"/>
          </w:tcPr>
          <w:p>
            <w:pPr>
              <w:spacing w:after="0"/>
              <w:rPr>
                <w:sz w:val="23"/>
                <w:szCs w:val="23"/>
                <w:color w:val="auto"/>
              </w:rPr>
            </w:pPr>
          </w:p>
        </w:tc>
      </w:tr>
      <w:tr>
        <w:trPr>
          <w:trHeight w:val="267"/>
        </w:trPr>
        <w:tc>
          <w:tcPr>
            <w:tcW w:w="7160" w:type="dxa"/>
            <w:vAlign w:val="bottom"/>
          </w:tcPr>
          <w:p>
            <w:pPr>
              <w:ind w:left="200"/>
              <w:spacing w:after="0"/>
              <w:rPr>
                <w:sz w:val="20"/>
                <w:szCs w:val="20"/>
                <w:color w:val="auto"/>
              </w:rPr>
            </w:pPr>
            <w:r>
              <w:rPr>
                <w:rFonts w:ascii="Arial" w:cs="Arial" w:eastAsia="Arial" w:hAnsi="Arial"/>
                <w:sz w:val="22"/>
                <w:szCs w:val="22"/>
                <w:b w:val="1"/>
                <w:bCs w:val="1"/>
                <w:color w:val="auto"/>
              </w:rPr>
              <w:t>Total investment income</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28,349,358</w:t>
            </w:r>
          </w:p>
        </w:tc>
        <w:tc>
          <w:tcPr>
            <w:tcW w:w="2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18,732,460</w:t>
            </w:r>
          </w:p>
        </w:tc>
        <w:tc>
          <w:tcPr>
            <w:tcW w:w="80" w:type="dxa"/>
            <w:vAlign w:val="bottom"/>
          </w:tcPr>
          <w:p>
            <w:pPr>
              <w:spacing w:after="0"/>
              <w:rPr>
                <w:sz w:val="23"/>
                <w:szCs w:val="23"/>
                <w:color w:val="auto"/>
              </w:rPr>
            </w:pPr>
          </w:p>
        </w:tc>
      </w:tr>
      <w:tr>
        <w:trPr>
          <w:trHeight w:val="256"/>
        </w:trPr>
        <w:tc>
          <w:tcPr>
            <w:tcW w:w="716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160" w:type="dxa"/>
            <w:vAlign w:val="bottom"/>
          </w:tcPr>
          <w:p>
            <w:pPr>
              <w:ind w:left="200"/>
              <w:spacing w:after="0"/>
              <w:rPr>
                <w:sz w:val="20"/>
                <w:szCs w:val="20"/>
                <w:color w:val="auto"/>
              </w:rPr>
            </w:pPr>
            <w:r>
              <w:rPr>
                <w:rFonts w:ascii="Arial" w:cs="Arial" w:eastAsia="Arial" w:hAnsi="Arial"/>
                <w:sz w:val="22"/>
                <w:szCs w:val="22"/>
                <w:color w:val="auto"/>
              </w:rPr>
              <w:t>Base management fee</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5,108,859</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4,114,428</w:t>
            </w:r>
          </w:p>
        </w:tc>
        <w:tc>
          <w:tcPr>
            <w:tcW w:w="80" w:type="dxa"/>
            <w:vAlign w:val="bottom"/>
          </w:tcPr>
          <w:p>
            <w:pPr>
              <w:spacing w:after="0"/>
              <w:rPr>
                <w:sz w:val="23"/>
                <w:szCs w:val="23"/>
                <w:color w:val="auto"/>
              </w:rPr>
            </w:pPr>
          </w:p>
        </w:tc>
      </w:tr>
      <w:tr>
        <w:trPr>
          <w:trHeight w:val="270"/>
        </w:trPr>
        <w:tc>
          <w:tcPr>
            <w:tcW w:w="7160" w:type="dxa"/>
            <w:vAlign w:val="bottom"/>
          </w:tcPr>
          <w:p>
            <w:pPr>
              <w:ind w:left="200"/>
              <w:spacing w:after="0"/>
              <w:rPr>
                <w:sz w:val="20"/>
                <w:szCs w:val="20"/>
                <w:color w:val="auto"/>
              </w:rPr>
            </w:pPr>
            <w:r>
              <w:rPr>
                <w:rFonts w:ascii="Arial" w:cs="Arial" w:eastAsia="Arial" w:hAnsi="Arial"/>
                <w:sz w:val="22"/>
                <w:szCs w:val="22"/>
                <w:color w:val="auto"/>
              </w:rPr>
              <w:t>Performance-based incentive fee</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2,656,598</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0"/>
        </w:trPr>
        <w:tc>
          <w:tcPr>
            <w:tcW w:w="7160" w:type="dxa"/>
            <w:vAlign w:val="bottom"/>
          </w:tcPr>
          <w:p>
            <w:pPr>
              <w:ind w:left="200"/>
              <w:spacing w:after="0"/>
              <w:rPr>
                <w:sz w:val="20"/>
                <w:szCs w:val="20"/>
                <w:color w:val="auto"/>
              </w:rPr>
            </w:pPr>
            <w:r>
              <w:rPr>
                <w:rFonts w:ascii="Arial" w:cs="Arial" w:eastAsia="Arial" w:hAnsi="Arial"/>
                <w:sz w:val="22"/>
                <w:szCs w:val="22"/>
                <w:color w:val="auto"/>
              </w:rPr>
              <w:t>Interest and expenses on debt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6,886,467</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5,004,131</w:t>
            </w:r>
          </w:p>
        </w:tc>
        <w:tc>
          <w:tcPr>
            <w:tcW w:w="80" w:type="dxa"/>
            <w:vAlign w:val="bottom"/>
          </w:tcPr>
          <w:p>
            <w:pPr>
              <w:spacing w:after="0"/>
              <w:rPr>
                <w:sz w:val="23"/>
                <w:szCs w:val="23"/>
                <w:color w:val="auto"/>
              </w:rPr>
            </w:pPr>
          </w:p>
        </w:tc>
      </w:tr>
      <w:tr>
        <w:trPr>
          <w:trHeight w:val="270"/>
        </w:trPr>
        <w:tc>
          <w:tcPr>
            <w:tcW w:w="7160" w:type="dxa"/>
            <w:vAlign w:val="bottom"/>
          </w:tcPr>
          <w:p>
            <w:pPr>
              <w:ind w:left="200"/>
              <w:spacing w:after="0"/>
              <w:rPr>
                <w:sz w:val="20"/>
                <w:szCs w:val="20"/>
                <w:color w:val="auto"/>
              </w:rPr>
            </w:pPr>
            <w:r>
              <w:rPr>
                <w:rFonts w:ascii="Arial" w:cs="Arial" w:eastAsia="Arial" w:hAnsi="Arial"/>
                <w:sz w:val="22"/>
                <w:szCs w:val="22"/>
                <w:color w:val="auto"/>
              </w:rPr>
              <w:t>Administrative services expenses</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250,000</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505,020</w:t>
            </w:r>
          </w:p>
        </w:tc>
        <w:tc>
          <w:tcPr>
            <w:tcW w:w="80" w:type="dxa"/>
            <w:vAlign w:val="bottom"/>
          </w:tcPr>
          <w:p>
            <w:pPr>
              <w:spacing w:after="0"/>
              <w:rPr>
                <w:sz w:val="23"/>
                <w:szCs w:val="23"/>
                <w:color w:val="auto"/>
              </w:rPr>
            </w:pPr>
          </w:p>
        </w:tc>
      </w:tr>
      <w:tr>
        <w:trPr>
          <w:trHeight w:val="274"/>
        </w:trPr>
        <w:tc>
          <w:tcPr>
            <w:tcW w:w="7160" w:type="dxa"/>
            <w:vAlign w:val="bottom"/>
          </w:tcPr>
          <w:p>
            <w:pPr>
              <w:ind w:left="200"/>
              <w:spacing w:after="0"/>
              <w:rPr>
                <w:sz w:val="20"/>
                <w:szCs w:val="20"/>
                <w:color w:val="auto"/>
              </w:rPr>
            </w:pPr>
            <w:r>
              <w:rPr>
                <w:rFonts w:ascii="Arial" w:cs="Arial" w:eastAsia="Arial" w:hAnsi="Arial"/>
                <w:sz w:val="22"/>
                <w:szCs w:val="22"/>
                <w:color w:val="auto"/>
              </w:rPr>
              <w:t>Other general and administrative expenses</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723,100</w:t>
            </w:r>
          </w:p>
        </w:tc>
        <w:tc>
          <w:tcPr>
            <w:tcW w:w="2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643,483</w:t>
            </w:r>
          </w:p>
        </w:tc>
        <w:tc>
          <w:tcPr>
            <w:tcW w:w="80" w:type="dxa"/>
            <w:vAlign w:val="bottom"/>
          </w:tcPr>
          <w:p>
            <w:pPr>
              <w:spacing w:after="0"/>
              <w:rPr>
                <w:sz w:val="23"/>
                <w:szCs w:val="23"/>
                <w:color w:val="auto"/>
              </w:rPr>
            </w:pPr>
          </w:p>
        </w:tc>
      </w:tr>
      <w:tr>
        <w:trPr>
          <w:trHeight w:val="213"/>
        </w:trPr>
        <w:tc>
          <w:tcPr>
            <w:tcW w:w="7160" w:type="dxa"/>
            <w:vAlign w:val="bottom"/>
          </w:tcPr>
          <w:p>
            <w:pPr>
              <w:ind w:left="200"/>
              <w:spacing w:after="0" w:line="212" w:lineRule="exact"/>
              <w:rPr>
                <w:sz w:val="20"/>
                <w:szCs w:val="20"/>
                <w:color w:val="auto"/>
              </w:rPr>
            </w:pPr>
            <w:r>
              <w:rPr>
                <w:rFonts w:ascii="Arial" w:cs="Arial" w:eastAsia="Arial" w:hAnsi="Arial"/>
                <w:sz w:val="22"/>
                <w:szCs w:val="22"/>
                <w:b w:val="1"/>
                <w:bCs w:val="1"/>
                <w:color w:val="auto"/>
                <w:w w:val="88"/>
              </w:rPr>
              <w:t>Expenses before performance-based incentive fee waiver and provision for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80"/>
        </w:trPr>
        <w:tc>
          <w:tcPr>
            <w:tcW w:w="7160" w:type="dxa"/>
            <w:vAlign w:val="bottom"/>
          </w:tcPr>
          <w:p>
            <w:pPr>
              <w:ind w:left="200"/>
              <w:spacing w:after="0"/>
              <w:rPr>
                <w:sz w:val="20"/>
                <w:szCs w:val="20"/>
                <w:color w:val="auto"/>
              </w:rPr>
            </w:pPr>
            <w:r>
              <w:rPr>
                <w:rFonts w:ascii="Arial" w:cs="Arial" w:eastAsia="Arial" w:hAnsi="Arial"/>
                <w:sz w:val="22"/>
                <w:szCs w:val="22"/>
                <w:b w:val="1"/>
                <w:bCs w:val="1"/>
                <w:color w:val="auto"/>
              </w:rPr>
              <w:t>taxes</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15,625,024</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10,267,062</w:t>
            </w:r>
          </w:p>
        </w:tc>
        <w:tc>
          <w:tcPr>
            <w:tcW w:w="80" w:type="dxa"/>
            <w:vAlign w:val="bottom"/>
          </w:tcPr>
          <w:p>
            <w:pPr>
              <w:spacing w:after="0"/>
              <w:rPr>
                <w:sz w:val="24"/>
                <w:szCs w:val="24"/>
                <w:color w:val="auto"/>
              </w:rPr>
            </w:pPr>
          </w:p>
        </w:tc>
      </w:tr>
      <w:tr>
        <w:trPr>
          <w:trHeight w:val="267"/>
        </w:trPr>
        <w:tc>
          <w:tcPr>
            <w:tcW w:w="7160" w:type="dxa"/>
            <w:vAlign w:val="bottom"/>
          </w:tcPr>
          <w:p>
            <w:pPr>
              <w:ind w:left="200"/>
              <w:spacing w:after="0"/>
              <w:rPr>
                <w:sz w:val="20"/>
                <w:szCs w:val="20"/>
                <w:color w:val="auto"/>
              </w:rPr>
            </w:pPr>
            <w:r>
              <w:rPr>
                <w:rFonts w:ascii="Arial" w:cs="Arial" w:eastAsia="Arial" w:hAnsi="Arial"/>
                <w:sz w:val="22"/>
                <w:szCs w:val="22"/>
                <w:color w:val="auto"/>
              </w:rPr>
              <w:t>Provision for taxes</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200,000</w:t>
            </w:r>
          </w:p>
        </w:tc>
        <w:tc>
          <w:tcPr>
            <w:tcW w:w="2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150,000</w:t>
            </w:r>
          </w:p>
        </w:tc>
        <w:tc>
          <w:tcPr>
            <w:tcW w:w="80" w:type="dxa"/>
            <w:vAlign w:val="bottom"/>
          </w:tcPr>
          <w:p>
            <w:pPr>
              <w:spacing w:after="0"/>
              <w:rPr>
                <w:sz w:val="23"/>
                <w:szCs w:val="23"/>
                <w:color w:val="auto"/>
              </w:rPr>
            </w:pPr>
          </w:p>
        </w:tc>
      </w:tr>
      <w:tr>
        <w:trPr>
          <w:trHeight w:val="264"/>
        </w:trPr>
        <w:tc>
          <w:tcPr>
            <w:tcW w:w="7160" w:type="dxa"/>
            <w:vAlign w:val="bottom"/>
          </w:tcPr>
          <w:p>
            <w:pPr>
              <w:ind w:left="200"/>
              <w:spacing w:after="0"/>
              <w:rPr>
                <w:sz w:val="20"/>
                <w:szCs w:val="20"/>
                <w:color w:val="auto"/>
              </w:rPr>
            </w:pPr>
            <w:r>
              <w:rPr>
                <w:rFonts w:ascii="Arial" w:cs="Arial" w:eastAsia="Arial" w:hAnsi="Arial"/>
                <w:sz w:val="22"/>
                <w:szCs w:val="22"/>
                <w:b w:val="1"/>
                <w:bCs w:val="1"/>
                <w:color w:val="auto"/>
              </w:rPr>
              <w:t>Net expenses</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15,825,024</w:t>
            </w:r>
          </w:p>
        </w:tc>
        <w:tc>
          <w:tcPr>
            <w:tcW w:w="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10,417,062</w:t>
            </w:r>
          </w:p>
        </w:tc>
        <w:tc>
          <w:tcPr>
            <w:tcW w:w="80" w:type="dxa"/>
            <w:vAlign w:val="bottom"/>
          </w:tcPr>
          <w:p>
            <w:pPr>
              <w:spacing w:after="0"/>
              <w:rPr>
                <w:sz w:val="22"/>
                <w:szCs w:val="22"/>
                <w:color w:val="auto"/>
              </w:rPr>
            </w:pPr>
          </w:p>
        </w:tc>
      </w:tr>
      <w:tr>
        <w:trPr>
          <w:trHeight w:val="264"/>
        </w:trPr>
        <w:tc>
          <w:tcPr>
            <w:tcW w:w="7160" w:type="dxa"/>
            <w:vAlign w:val="bottom"/>
          </w:tcPr>
          <w:p>
            <w:pPr>
              <w:ind w:left="200"/>
              <w:spacing w:after="0"/>
              <w:rPr>
                <w:sz w:val="20"/>
                <w:szCs w:val="20"/>
                <w:color w:val="auto"/>
              </w:rPr>
            </w:pPr>
            <w:r>
              <w:rPr>
                <w:rFonts w:ascii="Arial" w:cs="Arial" w:eastAsia="Arial" w:hAnsi="Arial"/>
                <w:sz w:val="22"/>
                <w:szCs w:val="22"/>
                <w:b w:val="1"/>
                <w:bCs w:val="1"/>
                <w:color w:val="auto"/>
              </w:rPr>
              <w:t>Net investment income</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12,524,334</w:t>
            </w:r>
          </w:p>
        </w:tc>
        <w:tc>
          <w:tcPr>
            <w:tcW w:w="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8,315,398</w:t>
            </w:r>
          </w:p>
        </w:tc>
        <w:tc>
          <w:tcPr>
            <w:tcW w:w="80" w:type="dxa"/>
            <w:vAlign w:val="bottom"/>
          </w:tcPr>
          <w:p>
            <w:pPr>
              <w:spacing w:after="0"/>
              <w:rPr>
                <w:sz w:val="22"/>
                <w:szCs w:val="22"/>
                <w:color w:val="auto"/>
              </w:rPr>
            </w:pPr>
          </w:p>
        </w:tc>
      </w:tr>
      <w:tr>
        <w:trPr>
          <w:trHeight w:val="256"/>
        </w:trPr>
        <w:tc>
          <w:tcPr>
            <w:tcW w:w="7160" w:type="dxa"/>
            <w:vAlign w:val="bottom"/>
          </w:tcPr>
          <w:p>
            <w:pPr>
              <w:spacing w:after="0"/>
              <w:rPr>
                <w:sz w:val="20"/>
                <w:szCs w:val="20"/>
                <w:color w:val="auto"/>
              </w:rPr>
            </w:pPr>
            <w:r>
              <w:rPr>
                <w:rFonts w:ascii="Arial" w:cs="Arial" w:eastAsia="Arial" w:hAnsi="Arial"/>
                <w:sz w:val="22"/>
                <w:szCs w:val="22"/>
                <w:b w:val="1"/>
                <w:bCs w:val="1"/>
                <w:color w:val="auto"/>
              </w:rPr>
              <w:t>Realized and unrealized gain (loss) on investments and debt: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Net realized gain (loss) on investments and debt: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160" w:type="dxa"/>
            <w:vAlign w:val="bottom"/>
          </w:tcPr>
          <w:p>
            <w:pPr>
              <w:ind w:left="200"/>
              <w:spacing w:after="0"/>
              <w:rPr>
                <w:sz w:val="20"/>
                <w:szCs w:val="20"/>
                <w:color w:val="auto"/>
              </w:rPr>
            </w:pPr>
            <w:r>
              <w:rPr>
                <w:rFonts w:ascii="Arial" w:cs="Arial" w:eastAsia="Arial" w:hAnsi="Arial"/>
                <w:sz w:val="22"/>
                <w:szCs w:val="22"/>
                <w:color w:val="auto"/>
              </w:rPr>
              <w:t>Non-controlled, non-affiliated investments</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5,201,459</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2,130,958</w:t>
            </w:r>
          </w:p>
        </w:tc>
        <w:tc>
          <w:tcPr>
            <w:tcW w:w="80" w:type="dxa"/>
            <w:vAlign w:val="bottom"/>
          </w:tcPr>
          <w:p>
            <w:pPr>
              <w:spacing w:after="0"/>
              <w:rPr>
                <w:sz w:val="23"/>
                <w:szCs w:val="23"/>
                <w:color w:val="auto"/>
              </w:rPr>
            </w:pPr>
          </w:p>
        </w:tc>
      </w:tr>
      <w:tr>
        <w:trPr>
          <w:trHeight w:val="270"/>
        </w:trPr>
        <w:tc>
          <w:tcPr>
            <w:tcW w:w="7160" w:type="dxa"/>
            <w:vAlign w:val="bottom"/>
          </w:tcPr>
          <w:p>
            <w:pPr>
              <w:ind w:left="200"/>
              <w:spacing w:after="0"/>
              <w:rPr>
                <w:sz w:val="20"/>
                <w:szCs w:val="20"/>
                <w:color w:val="auto"/>
              </w:rPr>
            </w:pPr>
            <w:r>
              <w:rPr>
                <w:rFonts w:ascii="Arial" w:cs="Arial" w:eastAsia="Arial" w:hAnsi="Arial"/>
                <w:sz w:val="22"/>
                <w:szCs w:val="22"/>
                <w:color w:val="auto"/>
              </w:rPr>
              <w:t>Non-controlled and controlled, affiliated investments</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20" w:type="dxa"/>
            <w:vAlign w:val="bottom"/>
            <w:gridSpan w:val="3"/>
          </w:tcPr>
          <w:p>
            <w:pPr>
              <w:jc w:val="right"/>
              <w:ind w:right="120"/>
              <w:spacing w:after="0"/>
              <w:rPr>
                <w:sz w:val="20"/>
                <w:szCs w:val="20"/>
                <w:color w:val="auto"/>
              </w:rPr>
            </w:pPr>
            <w:r>
              <w:rPr>
                <w:rFonts w:ascii="Arial" w:cs="Arial" w:eastAsia="Arial" w:hAnsi="Arial"/>
                <w:sz w:val="22"/>
                <w:szCs w:val="22"/>
                <w:color w:val="auto"/>
              </w:rPr>
              <w:t>(31,273,597)</w:t>
            </w:r>
          </w:p>
        </w:tc>
        <w:tc>
          <w:tcPr>
            <w:tcW w:w="340" w:type="dxa"/>
            <w:vAlign w:val="bottom"/>
          </w:tcPr>
          <w:p>
            <w:pPr>
              <w:spacing w:after="0"/>
              <w:rPr>
                <w:sz w:val="23"/>
                <w:szCs w:val="23"/>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(19,708,359)</w:t>
            </w:r>
          </w:p>
        </w:tc>
      </w:tr>
      <w:tr>
        <w:trPr>
          <w:trHeight w:val="274"/>
        </w:trPr>
        <w:tc>
          <w:tcPr>
            <w:tcW w:w="7160" w:type="dxa"/>
            <w:vAlign w:val="bottom"/>
          </w:tcPr>
          <w:p>
            <w:pPr>
              <w:ind w:left="200"/>
              <w:spacing w:after="0"/>
              <w:rPr>
                <w:sz w:val="20"/>
                <w:szCs w:val="20"/>
                <w:color w:val="auto"/>
              </w:rPr>
            </w:pPr>
            <w:r>
              <w:rPr>
                <w:rFonts w:ascii="Arial" w:cs="Arial" w:eastAsia="Arial" w:hAnsi="Arial"/>
                <w:sz w:val="22"/>
                <w:szCs w:val="22"/>
                <w:color w:val="auto"/>
              </w:rPr>
              <w:t>Debt extinguishment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20" w:type="dxa"/>
            <w:vAlign w:val="bottom"/>
            <w:gridSpan w:val="3"/>
          </w:tcPr>
          <w:p>
            <w:pPr>
              <w:jc w:val="right"/>
              <w:ind w:right="120"/>
              <w:spacing w:after="0"/>
              <w:rPr>
                <w:sz w:val="20"/>
                <w:szCs w:val="20"/>
                <w:color w:val="auto"/>
              </w:rPr>
            </w:pPr>
            <w:r>
              <w:rPr>
                <w:rFonts w:ascii="Arial" w:cs="Arial" w:eastAsia="Arial" w:hAnsi="Arial"/>
                <w:sz w:val="22"/>
                <w:szCs w:val="22"/>
                <w:color w:val="auto"/>
              </w:rPr>
              <w:t>(1,669,298)</w:t>
            </w:r>
          </w:p>
        </w:tc>
        <w:tc>
          <w:tcPr>
            <w:tcW w:w="34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67"/>
        </w:trPr>
        <w:tc>
          <w:tcPr>
            <w:tcW w:w="7160" w:type="dxa"/>
            <w:vAlign w:val="bottom"/>
          </w:tcPr>
          <w:p>
            <w:pPr>
              <w:ind w:left="200"/>
              <w:spacing w:after="0"/>
              <w:rPr>
                <w:sz w:val="20"/>
                <w:szCs w:val="20"/>
                <w:color w:val="auto"/>
              </w:rPr>
            </w:pPr>
            <w:r>
              <w:rPr>
                <w:rFonts w:ascii="Arial" w:cs="Arial" w:eastAsia="Arial" w:hAnsi="Arial"/>
                <w:sz w:val="22"/>
                <w:szCs w:val="22"/>
                <w:b w:val="1"/>
                <w:bCs w:val="1"/>
                <w:color w:val="auto"/>
              </w:rPr>
              <w:t>Net realized gain (loss) on investments and debt</w:t>
            </w:r>
          </w:p>
        </w:tc>
        <w:tc>
          <w:tcPr>
            <w:tcW w:w="12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(27,741,436)</w:t>
            </w:r>
          </w:p>
        </w:tc>
        <w:tc>
          <w:tcPr>
            <w:tcW w:w="220" w:type="dxa"/>
            <w:vAlign w:val="bottom"/>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(17,577,401)</w:t>
            </w:r>
          </w:p>
        </w:tc>
        <w:tc>
          <w:tcPr>
            <w:tcW w:w="80" w:type="dxa"/>
            <w:vAlign w:val="bottom"/>
          </w:tcPr>
          <w:p>
            <w:pPr>
              <w:spacing w:after="0"/>
              <w:rPr>
                <w:sz w:val="23"/>
                <w:szCs w:val="23"/>
                <w:color w:val="auto"/>
              </w:rPr>
            </w:pPr>
          </w:p>
        </w:tc>
      </w:tr>
      <w:tr>
        <w:trPr>
          <w:trHeight w:val="256"/>
        </w:trPr>
        <w:tc>
          <w:tcPr>
            <w:tcW w:w="7160" w:type="dxa"/>
            <w:vAlign w:val="bottom"/>
          </w:tcPr>
          <w:p>
            <w:pPr>
              <w:spacing w:after="0"/>
              <w:rPr>
                <w:sz w:val="20"/>
                <w:szCs w:val="20"/>
                <w:color w:val="auto"/>
              </w:rPr>
            </w:pPr>
            <w:r>
              <w:rPr>
                <w:rFonts w:ascii="Arial" w:cs="Arial" w:eastAsia="Arial" w:hAnsi="Arial"/>
                <w:sz w:val="22"/>
                <w:szCs w:val="22"/>
                <w:color w:val="auto"/>
              </w:rPr>
              <w:t>Net change in unrealized appreciation (depreciation) on:</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160" w:type="dxa"/>
            <w:vAlign w:val="bottom"/>
          </w:tcPr>
          <w:p>
            <w:pPr>
              <w:ind w:left="200"/>
              <w:spacing w:after="0"/>
              <w:rPr>
                <w:sz w:val="20"/>
                <w:szCs w:val="20"/>
                <w:color w:val="auto"/>
              </w:rPr>
            </w:pPr>
            <w:r>
              <w:rPr>
                <w:rFonts w:ascii="Arial" w:cs="Arial" w:eastAsia="Arial" w:hAnsi="Arial"/>
                <w:sz w:val="22"/>
                <w:szCs w:val="22"/>
                <w:color w:val="auto"/>
              </w:rPr>
              <w:t>Non-controlled, non-affiliated investments</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20" w:type="dxa"/>
            <w:vAlign w:val="bottom"/>
            <w:gridSpan w:val="3"/>
          </w:tcPr>
          <w:p>
            <w:pPr>
              <w:jc w:val="right"/>
              <w:ind w:right="120"/>
              <w:spacing w:after="0"/>
              <w:rPr>
                <w:sz w:val="20"/>
                <w:szCs w:val="20"/>
                <w:color w:val="auto"/>
              </w:rPr>
            </w:pPr>
            <w:r>
              <w:rPr>
                <w:rFonts w:ascii="Arial" w:cs="Arial" w:eastAsia="Arial" w:hAnsi="Arial"/>
                <w:sz w:val="22"/>
                <w:szCs w:val="22"/>
                <w:color w:val="auto"/>
              </w:rPr>
              <w:t>(49,603,030)</w:t>
            </w: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76,405,417</w:t>
            </w:r>
          </w:p>
        </w:tc>
        <w:tc>
          <w:tcPr>
            <w:tcW w:w="80" w:type="dxa"/>
            <w:vAlign w:val="bottom"/>
          </w:tcPr>
          <w:p>
            <w:pPr>
              <w:spacing w:after="0"/>
              <w:rPr>
                <w:sz w:val="23"/>
                <w:szCs w:val="23"/>
                <w:color w:val="auto"/>
              </w:rPr>
            </w:pPr>
          </w:p>
        </w:tc>
      </w:tr>
      <w:tr>
        <w:trPr>
          <w:trHeight w:val="274"/>
        </w:trPr>
        <w:tc>
          <w:tcPr>
            <w:tcW w:w="7160" w:type="dxa"/>
            <w:vAlign w:val="bottom"/>
          </w:tcPr>
          <w:p>
            <w:pPr>
              <w:ind w:left="200"/>
              <w:spacing w:after="0"/>
              <w:rPr>
                <w:sz w:val="20"/>
                <w:szCs w:val="20"/>
                <w:color w:val="auto"/>
              </w:rPr>
            </w:pPr>
            <w:r>
              <w:rPr>
                <w:rFonts w:ascii="Arial" w:cs="Arial" w:eastAsia="Arial" w:hAnsi="Arial"/>
                <w:sz w:val="22"/>
                <w:szCs w:val="22"/>
                <w:color w:val="auto"/>
              </w:rPr>
              <w:t>Non-controlled and controlled, affiliated investments</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96,371,775</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17,099,609</w:t>
            </w:r>
          </w:p>
        </w:tc>
        <w:tc>
          <w:tcPr>
            <w:tcW w:w="80" w:type="dxa"/>
            <w:vAlign w:val="bottom"/>
          </w:tcPr>
          <w:p>
            <w:pPr>
              <w:spacing w:after="0"/>
              <w:rPr>
                <w:sz w:val="23"/>
                <w:szCs w:val="23"/>
                <w:color w:val="auto"/>
              </w:rPr>
            </w:pPr>
          </w:p>
        </w:tc>
      </w:tr>
    </w:tbl>
    <w:p>
      <w:pPr>
        <w:sectPr>
          <w:pgSz w:w="11900" w:h="16838" w:orient="portrait"/>
          <w:cols w:equalWidth="0" w:num="1">
            <w:col w:w="11200"/>
          </w:cols>
          <w:pgMar w:left="340" w:top="108" w:right="35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7280" w:type="dxa"/>
            <w:vAlign w:val="bottom"/>
          </w:tcPr>
          <w:p>
            <w:pPr>
              <w:ind w:left="200"/>
              <w:spacing w:after="0"/>
              <w:rPr>
                <w:sz w:val="20"/>
                <w:szCs w:val="20"/>
                <w:color w:val="auto"/>
              </w:rPr>
            </w:pPr>
            <w:r>
              <w:rPr>
                <w:rFonts w:ascii="Arial" w:cs="Arial" w:eastAsia="Arial" w:hAnsi="Arial"/>
                <w:sz w:val="22"/>
                <w:szCs w:val="22"/>
                <w:color w:val="auto"/>
              </w:rPr>
              <w:t>Provision for taxes on unrealized appreciation on investments</w:t>
            </w:r>
          </w:p>
        </w:tc>
        <w:tc>
          <w:tcPr>
            <w:tcW w:w="480" w:type="dxa"/>
            <w:vAlign w:val="bottom"/>
          </w:tcPr>
          <w:p>
            <w:pPr>
              <w:spacing w:after="0"/>
              <w:rPr>
                <w:sz w:val="23"/>
                <w:szCs w:val="23"/>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22"/>
                <w:szCs w:val="22"/>
                <w:color w:val="auto"/>
              </w:rPr>
              <w:t>(5,045,141)</w:t>
            </w:r>
          </w:p>
        </w:tc>
        <w:tc>
          <w:tcPr>
            <w:tcW w:w="44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4"/>
        </w:trPr>
        <w:tc>
          <w:tcPr>
            <w:tcW w:w="7280" w:type="dxa"/>
            <w:vAlign w:val="bottom"/>
          </w:tcPr>
          <w:p>
            <w:pPr>
              <w:ind w:left="200"/>
              <w:spacing w:after="0"/>
              <w:rPr>
                <w:sz w:val="20"/>
                <w:szCs w:val="20"/>
                <w:color w:val="auto"/>
              </w:rPr>
            </w:pPr>
            <w:r>
              <w:rPr>
                <w:rFonts w:ascii="Arial" w:cs="Arial" w:eastAsia="Arial" w:hAnsi="Arial"/>
                <w:sz w:val="22"/>
                <w:szCs w:val="22"/>
                <w:color w:val="auto"/>
              </w:rPr>
              <w:t>Debt (appreciation) depreciation</w:t>
            </w:r>
          </w:p>
        </w:tc>
        <w:tc>
          <w:tcPr>
            <w:tcW w:w="480" w:type="dxa"/>
            <w:vAlign w:val="bottom"/>
          </w:tcPr>
          <w:p>
            <w:pPr>
              <w:spacing w:after="0"/>
              <w:rPr>
                <w:sz w:val="23"/>
                <w:szCs w:val="23"/>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22"/>
                <w:szCs w:val="22"/>
                <w:color w:val="auto"/>
              </w:rPr>
              <w:t>(995,805)</w:t>
            </w:r>
          </w:p>
        </w:tc>
        <w:tc>
          <w:tcPr>
            <w:tcW w:w="44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Arial" w:cs="Arial" w:eastAsia="Arial" w:hAnsi="Arial"/>
                <w:sz w:val="22"/>
                <w:szCs w:val="22"/>
                <w:color w:val="auto"/>
              </w:rPr>
              <w:t>(13,109,272)</w:t>
            </w:r>
          </w:p>
        </w:tc>
      </w:tr>
      <w:tr>
        <w:trPr>
          <w:trHeight w:val="213"/>
        </w:trPr>
        <w:tc>
          <w:tcPr>
            <w:tcW w:w="7280" w:type="dxa"/>
            <w:vAlign w:val="bottom"/>
          </w:tcPr>
          <w:p>
            <w:pPr>
              <w:ind w:left="200"/>
              <w:spacing w:after="0" w:line="212" w:lineRule="exact"/>
              <w:rPr>
                <w:sz w:val="20"/>
                <w:szCs w:val="20"/>
                <w:color w:val="auto"/>
              </w:rPr>
            </w:pPr>
            <w:r>
              <w:rPr>
                <w:rFonts w:ascii="Arial" w:cs="Arial" w:eastAsia="Arial" w:hAnsi="Arial"/>
                <w:sz w:val="22"/>
                <w:szCs w:val="22"/>
                <w:b w:val="1"/>
                <w:bCs w:val="1"/>
                <w:color w:val="auto"/>
                <w:w w:val="92"/>
              </w:rPr>
              <w:t>Net change in unrealized appreciation (depreciation) on investments and</w:t>
            </w:r>
          </w:p>
        </w:tc>
        <w:tc>
          <w:tcPr>
            <w:tcW w:w="4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80"/>
        </w:trPr>
        <w:tc>
          <w:tcPr>
            <w:tcW w:w="7280" w:type="dxa"/>
            <w:vAlign w:val="bottom"/>
          </w:tcPr>
          <w:p>
            <w:pPr>
              <w:ind w:left="200"/>
              <w:spacing w:after="0"/>
              <w:rPr>
                <w:sz w:val="20"/>
                <w:szCs w:val="20"/>
                <w:color w:val="auto"/>
              </w:rPr>
            </w:pPr>
            <w:r>
              <w:rPr>
                <w:rFonts w:ascii="Arial" w:cs="Arial" w:eastAsia="Arial" w:hAnsi="Arial"/>
                <w:sz w:val="22"/>
                <w:szCs w:val="22"/>
                <w:b w:val="1"/>
                <w:bCs w:val="1"/>
                <w:color w:val="auto"/>
              </w:rPr>
              <w:t>debt</w:t>
            </w:r>
          </w:p>
        </w:tc>
        <w:tc>
          <w:tcPr>
            <w:tcW w:w="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40,727,799</w:t>
            </w: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80,395,754</w:t>
            </w:r>
          </w:p>
        </w:tc>
        <w:tc>
          <w:tcPr>
            <w:tcW w:w="80" w:type="dxa"/>
            <w:vAlign w:val="bottom"/>
          </w:tcPr>
          <w:p>
            <w:pPr>
              <w:spacing w:after="0"/>
              <w:rPr>
                <w:sz w:val="24"/>
                <w:szCs w:val="24"/>
                <w:color w:val="auto"/>
              </w:rPr>
            </w:pPr>
          </w:p>
        </w:tc>
      </w:tr>
      <w:tr>
        <w:trPr>
          <w:trHeight w:val="267"/>
        </w:trPr>
        <w:tc>
          <w:tcPr>
            <w:tcW w:w="7280" w:type="dxa"/>
            <w:vAlign w:val="bottom"/>
          </w:tcPr>
          <w:p>
            <w:pPr>
              <w:spacing w:after="0"/>
              <w:rPr>
                <w:sz w:val="20"/>
                <w:szCs w:val="20"/>
                <w:color w:val="auto"/>
              </w:rPr>
            </w:pPr>
            <w:r>
              <w:rPr>
                <w:rFonts w:ascii="Arial" w:cs="Arial" w:eastAsia="Arial" w:hAnsi="Arial"/>
                <w:sz w:val="22"/>
                <w:szCs w:val="22"/>
                <w:b w:val="1"/>
                <w:bCs w:val="1"/>
                <w:color w:val="auto"/>
              </w:rPr>
              <w:t>Net realized and unrealized gain (loss) from investments and debt</w:t>
            </w:r>
          </w:p>
        </w:tc>
        <w:tc>
          <w:tcPr>
            <w:tcW w:w="4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12,986,363</w:t>
            </w:r>
          </w:p>
        </w:tc>
        <w:tc>
          <w:tcPr>
            <w:tcW w:w="2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62,818,353</w:t>
            </w:r>
          </w:p>
        </w:tc>
        <w:tc>
          <w:tcPr>
            <w:tcW w:w="80" w:type="dxa"/>
            <w:vAlign w:val="bottom"/>
          </w:tcPr>
          <w:p>
            <w:pPr>
              <w:spacing w:after="0"/>
              <w:rPr>
                <w:sz w:val="23"/>
                <w:szCs w:val="23"/>
                <w:color w:val="auto"/>
              </w:rPr>
            </w:pPr>
          </w:p>
        </w:tc>
      </w:tr>
      <w:tr>
        <w:trPr>
          <w:trHeight w:val="263"/>
        </w:trPr>
        <w:tc>
          <w:tcPr>
            <w:tcW w:w="7280" w:type="dxa"/>
            <w:vAlign w:val="bottom"/>
          </w:tcPr>
          <w:p>
            <w:pPr>
              <w:spacing w:after="0"/>
              <w:rPr>
                <w:sz w:val="20"/>
                <w:szCs w:val="20"/>
                <w:color w:val="auto"/>
              </w:rPr>
            </w:pPr>
            <w:r>
              <w:rPr>
                <w:rFonts w:ascii="Arial" w:cs="Arial" w:eastAsia="Arial" w:hAnsi="Arial"/>
                <w:sz w:val="22"/>
                <w:szCs w:val="22"/>
                <w:b w:val="1"/>
                <w:bCs w:val="1"/>
                <w:color w:val="auto"/>
              </w:rPr>
              <w:t>Net increase (decrease) in net assets resulting from operations</w:t>
            </w:r>
          </w:p>
        </w:tc>
        <w:tc>
          <w:tcPr>
            <w:tcW w:w="4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25,510,697</w:t>
            </w: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71,133,751</w:t>
            </w:r>
          </w:p>
        </w:tc>
        <w:tc>
          <w:tcPr>
            <w:tcW w:w="80" w:type="dxa"/>
            <w:vAlign w:val="bottom"/>
          </w:tcPr>
          <w:p>
            <w:pPr>
              <w:spacing w:after="0"/>
              <w:rPr>
                <w:sz w:val="22"/>
                <w:szCs w:val="22"/>
                <w:color w:val="auto"/>
              </w:rPr>
            </w:pPr>
          </w:p>
        </w:tc>
      </w:tr>
      <w:tr>
        <w:trPr>
          <w:trHeight w:val="21"/>
        </w:trPr>
        <w:tc>
          <w:tcPr>
            <w:tcW w:w="7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7280" w:type="dxa"/>
            <w:vAlign w:val="bottom"/>
          </w:tcPr>
          <w:p>
            <w:pPr>
              <w:spacing w:after="0"/>
              <w:rPr>
                <w:sz w:val="20"/>
                <w:szCs w:val="20"/>
                <w:color w:val="auto"/>
              </w:rPr>
            </w:pPr>
            <w:r>
              <w:rPr>
                <w:rFonts w:ascii="Arial" w:cs="Arial" w:eastAsia="Arial" w:hAnsi="Arial"/>
                <w:sz w:val="22"/>
                <w:szCs w:val="22"/>
                <w:color w:val="auto"/>
                <w:w w:val="90"/>
              </w:rPr>
              <w:t>Net increase (decrease) in net assets resulting from operations per common share</w:t>
            </w:r>
          </w:p>
        </w:tc>
        <w:tc>
          <w:tcPr>
            <w:tcW w:w="48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w w:val="8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0.38</w:t>
            </w:r>
          </w:p>
        </w:tc>
        <w:tc>
          <w:tcPr>
            <w:tcW w:w="220" w:type="dxa"/>
            <w:vAlign w:val="bottom"/>
          </w:tcPr>
          <w:p>
            <w:pPr>
              <w:spacing w:after="0"/>
              <w:rPr>
                <w:sz w:val="22"/>
                <w:szCs w:val="22"/>
                <w:color w:val="auto"/>
              </w:rPr>
            </w:pPr>
          </w:p>
        </w:tc>
        <w:tc>
          <w:tcPr>
            <w:tcW w:w="4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8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1.06</w:t>
            </w:r>
          </w:p>
        </w:tc>
        <w:tc>
          <w:tcPr>
            <w:tcW w:w="80" w:type="dxa"/>
            <w:vAlign w:val="bottom"/>
          </w:tcPr>
          <w:p>
            <w:pPr>
              <w:spacing w:after="0"/>
              <w:rPr>
                <w:sz w:val="22"/>
                <w:szCs w:val="22"/>
                <w:color w:val="auto"/>
              </w:rPr>
            </w:pPr>
          </w:p>
        </w:tc>
      </w:tr>
      <w:tr>
        <w:trPr>
          <w:trHeight w:val="21"/>
        </w:trPr>
        <w:tc>
          <w:tcPr>
            <w:tcW w:w="7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728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48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w w:val="8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0.19</w:t>
            </w:r>
          </w:p>
        </w:tc>
        <w:tc>
          <w:tcPr>
            <w:tcW w:w="220" w:type="dxa"/>
            <w:vAlign w:val="bottom"/>
          </w:tcPr>
          <w:p>
            <w:pPr>
              <w:spacing w:after="0"/>
              <w:rPr>
                <w:sz w:val="22"/>
                <w:szCs w:val="22"/>
                <w:color w:val="auto"/>
              </w:rPr>
            </w:pPr>
          </w:p>
        </w:tc>
        <w:tc>
          <w:tcPr>
            <w:tcW w:w="4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8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0.12</w:t>
            </w:r>
          </w:p>
        </w:tc>
        <w:tc>
          <w:tcPr>
            <w:tcW w:w="80" w:type="dxa"/>
            <w:vAlign w:val="bottom"/>
          </w:tcPr>
          <w:p>
            <w:pPr>
              <w:spacing w:after="0"/>
              <w:rPr>
                <w:sz w:val="22"/>
                <w:szCs w:val="22"/>
                <w:color w:val="auto"/>
              </w:rPr>
            </w:pPr>
          </w:p>
        </w:tc>
      </w:tr>
      <w:tr>
        <w:trPr>
          <w:trHeight w:val="20"/>
        </w:trPr>
        <w:tc>
          <w:tcPr>
            <w:tcW w:w="7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middle-market credit platform, managing $5.7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98" w:lineRule="exact"/>
        <w:rPr>
          <w:sz w:val="20"/>
          <w:szCs w:val="20"/>
          <w:color w:val="auto"/>
        </w:rPr>
      </w:pPr>
    </w:p>
    <w:p>
      <w:pPr>
        <w:ind w:left="20"/>
        <w:spacing w:after="0"/>
        <w:tabs>
          <w:tab w:leader="none" w:pos="1680" w:val="left"/>
        </w:tabs>
        <w:rPr>
          <w:sz w:val="20"/>
          <w:szCs w:val="20"/>
          <w:color w:val="auto"/>
        </w:rPr>
      </w:pPr>
      <w:r>
        <w:rPr>
          <w:rFonts w:ascii="Arial" w:cs="Arial" w:eastAsia="Arial" w:hAnsi="Arial"/>
          <w:sz w:val="22"/>
          <w:szCs w:val="22"/>
          <w:color w:val="auto"/>
        </w:rPr>
        <w:t>CONTACT:</w:t>
      </w:r>
      <w:r>
        <w:rPr>
          <w:sz w:val="20"/>
          <w:szCs w:val="20"/>
          <w:color w:val="auto"/>
        </w:rPr>
        <w:tab/>
      </w:r>
      <w:r>
        <w:rPr>
          <w:rFonts w:ascii="Arial" w:cs="Arial" w:eastAsia="Arial" w:hAnsi="Arial"/>
          <w:sz w:val="22"/>
          <w:szCs w:val="22"/>
          <w:color w:val="auto"/>
        </w:rPr>
        <w:t>Richard Cheung</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PennantPark Investment Corporation</w:t>
      </w:r>
    </w:p>
    <w:p>
      <w:pPr>
        <w:spacing w:after="0" w:line="17" w:lineRule="exact"/>
        <w:rPr>
          <w:sz w:val="20"/>
          <w:szCs w:val="20"/>
          <w:color w:val="auto"/>
        </w:rPr>
      </w:pPr>
    </w:p>
    <w:p>
      <w:pPr>
        <w:ind w:left="1700" w:right="7520" w:firstLine="9"/>
        <w:spacing w:after="0" w:line="353" w:lineRule="auto"/>
        <w:tabs>
          <w:tab w:leader="none" w:pos="2222" w:val="left"/>
        </w:tabs>
        <w:numPr>
          <w:ilvl w:val="0"/>
          <w:numId w:val="4"/>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2022-02-09T15:15:12Z</dcterms:created>
  <dcterms:modified xsi:type="dcterms:W3CDTF">2022-02-09T15:15:12Z</dcterms:modified>
</cp:coreProperties>
</file>