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333-192782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5140" w:type="dxa"/>
            <w:vAlign w:val="bottom"/>
            <w:gridSpan w:val="2"/>
          </w:tcPr>
          <w:p>
            <w:pPr>
              <w:ind w:left="660"/>
              <w:spacing w:after="0"/>
              <w:rPr>
                <w:sz w:val="20"/>
                <w:szCs w:val="20"/>
                <w:color w:val="auto"/>
              </w:rPr>
            </w:pPr>
            <w:r>
              <w:rPr>
                <w:rFonts w:ascii="Arial" w:cs="Arial" w:eastAsia="Arial" w:hAnsi="Arial"/>
                <w:sz w:val="18"/>
                <w:szCs w:val="18"/>
                <w:color w:val="auto"/>
                <w:w w:val="97"/>
              </w:rPr>
              <w:t>[TEXT OF COMMUNICATION SENT VIA BLOOMBERG]</w:t>
            </w:r>
          </w:p>
        </w:tc>
      </w:tr>
      <w:tr>
        <w:trPr>
          <w:trHeight w:val="392"/>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PennantPark Investment Corporation Launch Announcement</w:t>
            </w:r>
          </w:p>
        </w:tc>
      </w:tr>
      <w:tr>
        <w:trPr>
          <w:trHeight w:val="20"/>
        </w:trPr>
        <w:tc>
          <w:tcPr>
            <w:tcW w:w="28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61"/>
        </w:trPr>
        <w:tc>
          <w:tcPr>
            <w:tcW w:w="2820" w:type="dxa"/>
            <w:vAlign w:val="bottom"/>
          </w:tcPr>
          <w:p>
            <w:pPr>
              <w:spacing w:after="0"/>
              <w:rPr>
                <w:sz w:val="20"/>
                <w:szCs w:val="20"/>
                <w:color w:val="auto"/>
              </w:rPr>
            </w:pPr>
            <w:r>
              <w:rPr>
                <w:rFonts w:ascii="Arial" w:cs="Arial" w:eastAsia="Arial" w:hAnsi="Arial"/>
                <w:sz w:val="18"/>
                <w:szCs w:val="18"/>
                <w:b w:val="1"/>
                <w:bCs w:val="1"/>
                <w:color w:val="auto"/>
              </w:rPr>
              <w:t>LAUNCH:</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$250mm at T+275bps</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PennantPark Investment Corporation (“PNNT”)</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BBB- / BBB- (S&amp;P/Fitch) (Stable/Stable)*</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SECURITY DESCRIPTION:</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Unsecured Notes</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FORMAT:</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SEC Registered</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SIZE:</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$250mm</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1960" w:type="dxa"/>
            <w:vAlign w:val="bottom"/>
          </w:tcPr>
          <w:p>
            <w:pPr>
              <w:ind w:left="520"/>
              <w:spacing w:after="0"/>
              <w:rPr>
                <w:sz w:val="20"/>
                <w:szCs w:val="20"/>
                <w:color w:val="auto"/>
              </w:rPr>
            </w:pPr>
            <w:r>
              <w:rPr>
                <w:rFonts w:ascii="Arial" w:cs="Arial" w:eastAsia="Arial" w:hAnsi="Arial"/>
                <w:sz w:val="18"/>
                <w:szCs w:val="18"/>
                <w:b w:val="1"/>
                <w:bCs w:val="1"/>
                <w:color w:val="auto"/>
              </w:rPr>
              <w:t>10/1/19</w:t>
            </w:r>
          </w:p>
        </w:tc>
        <w:tc>
          <w:tcPr>
            <w:tcW w:w="318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BOOKRUNNERS: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JPM/GS/MS/STRH</w:t>
            </w:r>
          </w:p>
        </w:tc>
      </w:tr>
      <w:tr>
        <w:trPr>
          <w:trHeight w:val="230"/>
        </w:trPr>
        <w:tc>
          <w:tcPr>
            <w:tcW w:w="2820" w:type="dxa"/>
            <w:vAlign w:val="bottom"/>
          </w:tcPr>
          <w:p>
            <w:pPr>
              <w:spacing w:after="0"/>
              <w:rPr>
                <w:sz w:val="20"/>
                <w:szCs w:val="20"/>
                <w:color w:val="auto"/>
              </w:rPr>
            </w:pPr>
            <w:r>
              <w:rPr>
                <w:rFonts w:ascii="Arial" w:cs="Arial" w:eastAsia="Arial" w:hAnsi="Arial"/>
                <w:sz w:val="18"/>
                <w:szCs w:val="18"/>
                <w:b w:val="1"/>
                <w:bCs w:val="1"/>
                <w:color w:val="auto"/>
              </w:rPr>
              <w:t>JOINT LEAD MANAGERS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KBW/RBC</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CMA/ING</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MINIMUM DENOMS: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$2,000 x $1,000</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w w:val="96"/>
              </w:rPr>
              <w:t>To repay outstanding indebtedness under credit facility</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SETTLEMENT:</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T+5</w:t>
            </w: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TIMING:</w:t>
            </w:r>
          </w:p>
        </w:tc>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ASAP</w:t>
            </w:r>
          </w:p>
        </w:tc>
      </w:tr>
    </w:tbl>
    <w:p>
      <w:pPr>
        <w:spacing w:after="0" w:line="198" w:lineRule="exact"/>
        <w:rPr>
          <w:sz w:val="24"/>
          <w:szCs w:val="24"/>
          <w:color w:val="auto"/>
        </w:rPr>
      </w:pPr>
    </w:p>
    <w:p>
      <w:pPr>
        <w:jc w:val="both"/>
        <w:ind w:right="70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 risks, charges and expenses of PNNT before investing. The preliminary prospectus supplement dated September 16, 2014, together with an accompanying prospectus, which have been filed with the Securities and Exchange Commission, contain this and other information about PNNT and should be read carefully before investing.</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The information in the preliminary prospectus supplement and the accompanying prospectus, and in this announcement, is not complete and may be changed.</w:t>
      </w:r>
    </w:p>
    <w:p>
      <w:pPr>
        <w:spacing w:after="0" w:line="248" w:lineRule="exact"/>
        <w:rPr>
          <w:sz w:val="24"/>
          <w:szCs w:val="24"/>
          <w:color w:val="auto"/>
        </w:rPr>
      </w:pPr>
    </w:p>
    <w:p>
      <w:pPr>
        <w:jc w:val="both"/>
        <w:ind w:right="580"/>
        <w:spacing w:after="0" w:line="264" w:lineRule="auto"/>
        <w:rPr>
          <w:sz w:val="20"/>
          <w:szCs w:val="20"/>
          <w:color w:val="auto"/>
        </w:rPr>
      </w:pPr>
      <w:r>
        <w:rPr>
          <w:rFonts w:ascii="Arial" w:cs="Arial" w:eastAsia="Arial" w:hAnsi="Arial"/>
          <w:sz w:val="18"/>
          <w:szCs w:val="18"/>
          <w:color w:val="auto"/>
        </w:rPr>
        <w:t>This announcement does not constitute an offer to sell or the solicitation of an offer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4"/>
          <w:szCs w:val="24"/>
          <w:color w:val="auto"/>
        </w:rPr>
      </w:pPr>
    </w:p>
    <w:p>
      <w:pPr>
        <w:ind w:right="320"/>
        <w:spacing w:after="0" w:line="289"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Securities and Exchange Commission. The offering may be made only by means of a prospectus and a related prospectus supplement. When available, copies may be obtained from J.P. Morgan Securities LLC, Attention: Investment Grade Syndicate Desk, 383 Madison Avenue, New York, NY 10179, telephone:</w:t>
      </w:r>
    </w:p>
    <w:p>
      <w:pPr>
        <w:spacing w:after="0" w:line="2" w:lineRule="exact"/>
        <w:rPr>
          <w:sz w:val="24"/>
          <w:szCs w:val="24"/>
          <w:color w:val="auto"/>
        </w:rPr>
      </w:pPr>
    </w:p>
    <w:p>
      <w:pPr>
        <w:ind w:right="200" w:firstLine="8"/>
        <w:spacing w:after="0" w:line="254" w:lineRule="auto"/>
        <w:tabs>
          <w:tab w:leader="none" w:pos="43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834-4533, Goldman, Sachs &amp; Co., Prospectus Department, 200 West Street, New York, NY 10282, telephone: 1-866-471-2526, facsimile: 212-902-9316 or by emailing prospectusny@ny.email.gs.com, Morgan Stanley &amp; Co. LLC, Attention: Prospectus Department, 180 Varick Street, 2nd Floor, New York, NY 10014, telephone: (866) 718-1649, or SunTrust Robinson Humphrey, Inc., Attention: Prospectus Department, 3333 Peachtree Road, NE, Atlanta, GA 30326, telephone: (404) 926-5744.</w:t>
      </w:r>
    </w:p>
    <w:p>
      <w:pPr>
        <w:spacing w:after="0" w:line="190"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2019-12-07T15:13:26Z</dcterms:created>
  <dcterms:modified xsi:type="dcterms:W3CDTF">2019-12-07T15:13:26Z</dcterms:modified>
</cp:coreProperties>
</file>