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2015</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700"/>
        <w:spacing w:after="0"/>
        <w:tabs>
          <w:tab w:leader="none" w:pos="68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4065905</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54"/>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w:t>
            </w:r>
          </w:p>
        </w:tc>
        <w:tc>
          <w:tcPr>
            <w:tcW w:w="20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5"/>
              </w:rPr>
              <w:t>15</w:t>
            </w:r>
            <w:r>
              <w:rPr>
                <w:rFonts w:ascii="Arial" w:cs="Arial" w:eastAsia="Arial" w:hAnsi="Arial"/>
                <w:sz w:val="12"/>
                <w:szCs w:val="12"/>
                <w:b w:val="1"/>
                <w:bCs w:val="1"/>
                <w:color w:val="auto"/>
                <w:w w:val="95"/>
              </w:rPr>
              <w:t>th</w:t>
            </w:r>
            <w:r>
              <w:rPr>
                <w:rFonts w:ascii="Arial" w:cs="Arial" w:eastAsia="Arial" w:hAnsi="Arial"/>
                <w:sz w:val="14"/>
                <w:szCs w:val="14"/>
                <w:b w:val="1"/>
                <w:bCs w:val="1"/>
                <w:color w:val="auto"/>
                <w:w w:val="95"/>
              </w:rPr>
              <w:t xml:space="preserve"> Floor, New York, N.Y.</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41"/>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0"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ind w:right="46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spacing w:after="0" w:line="27"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4">
            <w:col w:w="7100" w:space="140"/>
            <w:col w:w="200" w:space="80"/>
            <w:col w:w="120" w:space="160"/>
            <w:col w:w="3440"/>
          </w:cols>
          <w:pgMar w:left="320" w:top="230" w:right="339" w:bottom="1440" w:gutter="0" w:footer="0" w:header="0"/>
          <w:type w:val="continuous"/>
        </w:sectPr>
      </w:pPr>
    </w:p>
    <w:p>
      <w:pPr>
        <w:spacing w:after="0" w:line="2" w:lineRule="exact"/>
        <w:rPr>
          <w:sz w:val="24"/>
          <w:szCs w:val="24"/>
          <w:color w:val="auto"/>
        </w:rPr>
      </w:pPr>
    </w:p>
    <w:p>
      <w:pPr>
        <w:ind w:left="56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May 6, 2015 was 75,092,911.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MARCH 31, 2015</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2015 (unaudited) and September 30, 2014</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six months ended March 31,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4"/>
        </w:trPr>
        <w:tc>
          <w:tcPr>
            <w:tcW w:w="910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2015 (unaudited) and September 30, 2014</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27">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00" w:type="dxa"/>
            <w:vAlign w:val="bottom"/>
          </w:tcPr>
          <w:p>
            <w:pPr>
              <w:ind w:left="4280"/>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97"/>
        </w:trPr>
        <w:tc>
          <w:tcPr>
            <w:tcW w:w="91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are filing this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“Credit Facility” refers to our multi-currency, senior secured revolving credit facility; “2025 Notes” refers to our 6.25% senior notes due 2025; “2019 Notes” refers to our 4.50% notes due 2019; “our Notes” refer collectively to our 2025 Notes and our 2019 Notes;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020"/>
          </w:cols>
          <w:pgMar w:left="320" w:top="459" w:right="5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320" w:type="dxa"/>
            <w:vAlign w:val="bottom"/>
          </w:tcPr>
          <w:p>
            <w:pPr>
              <w:ind w:left="380"/>
              <w:spacing w:after="0"/>
              <w:rPr>
                <w:sz w:val="20"/>
                <w:szCs w:val="20"/>
                <w:color w:val="auto"/>
              </w:rPr>
            </w:pPr>
            <w:r>
              <w:rPr>
                <w:rFonts w:ascii="Arial" w:cs="Arial" w:eastAsia="Arial" w:hAnsi="Arial"/>
                <w:sz w:val="14"/>
                <w:szCs w:val="14"/>
                <w:b w:val="1"/>
                <w:bCs w:val="1"/>
                <w:color w:val="auto"/>
              </w:rPr>
              <w:t>Consolidated Financial Statements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520" w:type="dxa"/>
            <w:vAlign w:val="bottom"/>
          </w:tcPr>
          <w:p>
            <w:pPr>
              <w:spacing w:after="0"/>
              <w:rPr>
                <w:sz w:val="24"/>
                <w:szCs w:val="24"/>
                <w:color w:val="auto"/>
              </w:rPr>
            </w:pPr>
          </w:p>
        </w:tc>
        <w:tc>
          <w:tcPr>
            <w:tcW w:w="8320" w:type="dxa"/>
            <w:vAlign w:val="bottom"/>
          </w:tcPr>
          <w:p>
            <w:pPr>
              <w:ind w:left="280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832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0"/>
              </w:rPr>
              <w:t>March 31, 2015</w:t>
            </w:r>
          </w:p>
        </w:tc>
        <w:tc>
          <w:tcPr>
            <w:tcW w:w="8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3"/>
              </w:rPr>
              <w:t>September 30, 2014</w:t>
            </w:r>
          </w:p>
        </w:tc>
        <w:tc>
          <w:tcPr>
            <w:tcW w:w="0" w:type="dxa"/>
            <w:vAlign w:val="bottom"/>
          </w:tcPr>
          <w:p>
            <w:pPr>
              <w:spacing w:after="0"/>
              <w:rPr>
                <w:sz w:val="1"/>
                <w:szCs w:val="1"/>
                <w:color w:val="auto"/>
              </w:rPr>
            </w:pPr>
          </w:p>
        </w:tc>
      </w:tr>
      <w:tr>
        <w:trPr>
          <w:trHeight w:val="153"/>
        </w:trPr>
        <w:tc>
          <w:tcPr>
            <w:tcW w:w="5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(cost—$1,103,030,048 and $1,171,573,359,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1,094,956,490</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5"/>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1,212,515,400</w:t>
            </w:r>
          </w:p>
        </w:tc>
        <w:tc>
          <w:tcPr>
            <w:tcW w:w="0" w:type="dxa"/>
            <w:vAlign w:val="bottom"/>
          </w:tcPr>
          <w:p>
            <w:pPr>
              <w:spacing w:after="0"/>
              <w:rPr>
                <w:sz w:val="1"/>
                <w:szCs w:val="1"/>
                <w:color w:val="auto"/>
              </w:rPr>
            </w:pPr>
          </w:p>
        </w:tc>
      </w:tr>
      <w:tr>
        <w:trPr>
          <w:trHeight w:val="148"/>
        </w:trPr>
        <w:tc>
          <w:tcPr>
            <w:tcW w:w="8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Non-controlled, affiliated investments (cost—$203,579,582 and $108,572,406, respectively)</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154,004,271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67,847,521</w:t>
            </w:r>
          </w:p>
        </w:tc>
        <w:tc>
          <w:tcPr>
            <w:tcW w:w="0" w:type="dxa"/>
            <w:vAlign w:val="bottom"/>
          </w:tcPr>
          <w:p>
            <w:pPr>
              <w:spacing w:after="0"/>
              <w:rPr>
                <w:sz w:val="1"/>
                <w:szCs w:val="1"/>
                <w:color w:val="auto"/>
              </w:rPr>
            </w:pPr>
          </w:p>
        </w:tc>
      </w:tr>
      <w:tr>
        <w:trPr>
          <w:trHeight w:val="149"/>
        </w:trPr>
        <w:tc>
          <w:tcPr>
            <w:tcW w:w="8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Controlled, affiliated investments (cost—$72,384,496 and $38,708,555, respectively)</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51,446,532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37,691,845</w:t>
            </w:r>
          </w:p>
        </w:tc>
        <w:tc>
          <w:tcPr>
            <w:tcW w:w="0" w:type="dxa"/>
            <w:vAlign w:val="bottom"/>
          </w:tcPr>
          <w:p>
            <w:pPr>
              <w:spacing w:after="0"/>
              <w:rPr>
                <w:sz w:val="1"/>
                <w:szCs w:val="1"/>
                <w:color w:val="auto"/>
              </w:rPr>
            </w:pPr>
          </w:p>
        </w:tc>
      </w:tr>
      <w:tr>
        <w:trPr>
          <w:trHeight w:val="155"/>
        </w:trPr>
        <w:tc>
          <w:tcPr>
            <w:tcW w:w="88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 of investments (cost—$1,378,994,126 and $1,318,854,320, respectively)</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1,300,407,293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1,318,054,766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(cost—$63,051,050 and $66,600,195, respectively)</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62,823,624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66,518,682</w:t>
            </w:r>
          </w:p>
        </w:tc>
        <w:tc>
          <w:tcPr>
            <w:tcW w:w="0" w:type="dxa"/>
            <w:vAlign w:val="bottom"/>
          </w:tcPr>
          <w:p>
            <w:pPr>
              <w:spacing w:after="0"/>
              <w:rPr>
                <w:sz w:val="1"/>
                <w:szCs w:val="1"/>
                <w:color w:val="auto"/>
              </w:rPr>
            </w:pPr>
          </w:p>
        </w:tc>
      </w:tr>
      <w:tr>
        <w:trPr>
          <w:trHeight w:val="148"/>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Interest receivable</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12,715,483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13,703,525</w:t>
            </w:r>
          </w:p>
        </w:tc>
        <w:tc>
          <w:tcPr>
            <w:tcW w:w="0" w:type="dxa"/>
            <w:vAlign w:val="bottom"/>
          </w:tcPr>
          <w:p>
            <w:pPr>
              <w:spacing w:after="0"/>
              <w:rPr>
                <w:sz w:val="1"/>
                <w:szCs w:val="1"/>
                <w:color w:val="auto"/>
              </w:rPr>
            </w:pPr>
          </w:p>
        </w:tc>
      </w:tr>
      <w:tr>
        <w:trPr>
          <w:trHeight w:val="149"/>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and other assets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13,326,399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13,550,224</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32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1,389,272,799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1,411,827,197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payable</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21,026,015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21,026,015</w:t>
            </w: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8,022,188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4,432,500</w:t>
            </w:r>
          </w:p>
        </w:tc>
        <w:tc>
          <w:tcPr>
            <w:tcW w:w="0" w:type="dxa"/>
            <w:vAlign w:val="bottom"/>
          </w:tcPr>
          <w:p>
            <w:pPr>
              <w:spacing w:after="0"/>
              <w:rPr>
                <w:sz w:val="1"/>
                <w:szCs w:val="1"/>
                <w:color w:val="auto"/>
              </w:rPr>
            </w:pPr>
          </w:p>
        </w:tc>
      </w:tr>
      <w:tr>
        <w:trPr>
          <w:trHeight w:val="148"/>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Unfunded investments</w:t>
            </w:r>
          </w:p>
        </w:tc>
        <w:tc>
          <w:tcPr>
            <w:tcW w:w="80" w:type="dxa"/>
            <w:vAlign w:val="bottom"/>
          </w:tcPr>
          <w:p>
            <w:pPr>
              <w:spacing w:after="0"/>
              <w:rPr>
                <w:sz w:val="12"/>
                <w:szCs w:val="12"/>
                <w:color w:val="auto"/>
              </w:rPr>
            </w:pP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15,607,059</w:t>
            </w:r>
          </w:p>
        </w:tc>
        <w:tc>
          <w:tcPr>
            <w:tcW w:w="0" w:type="dxa"/>
            <w:vAlign w:val="bottom"/>
          </w:tcPr>
          <w:p>
            <w:pPr>
              <w:spacing w:after="0"/>
              <w:rPr>
                <w:sz w:val="1"/>
                <w:szCs w:val="1"/>
                <w:color w:val="auto"/>
              </w:rPr>
            </w:pPr>
          </w:p>
        </w:tc>
      </w:tr>
      <w:tr>
        <w:trPr>
          <w:trHeight w:val="149"/>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(cost—$99,209,100 and $55,226,300, respectively) (See Notes 5 and 10)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93,501,790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53,497,620</w:t>
            </w:r>
          </w:p>
        </w:tc>
        <w:tc>
          <w:tcPr>
            <w:tcW w:w="0" w:type="dxa"/>
            <w:vAlign w:val="bottom"/>
          </w:tcPr>
          <w:p>
            <w:pPr>
              <w:spacing w:after="0"/>
              <w:rPr>
                <w:sz w:val="1"/>
                <w:szCs w:val="1"/>
                <w:color w:val="auto"/>
              </w:rPr>
            </w:pPr>
          </w:p>
        </w:tc>
      </w:tr>
      <w:tr>
        <w:trPr>
          <w:trHeight w:val="148"/>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SBA debentures payable (cost—$150,000,000) (See Notes 5 and 10)</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150,000,000</w:t>
            </w: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 payable (cost—$250,000,000) (See Notes 5 and 10)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254,051,000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251,350,250</w:t>
            </w:r>
          </w:p>
        </w:tc>
        <w:tc>
          <w:tcPr>
            <w:tcW w:w="0" w:type="dxa"/>
            <w:vAlign w:val="bottom"/>
          </w:tcPr>
          <w:p>
            <w:pPr>
              <w:spacing w:after="0"/>
              <w:rPr>
                <w:sz w:val="1"/>
                <w:szCs w:val="1"/>
                <w:color w:val="auto"/>
              </w:rPr>
            </w:pPr>
          </w:p>
        </w:tc>
      </w:tr>
      <w:tr>
        <w:trPr>
          <w:trHeight w:val="148"/>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2025 Notes payable (cost—$71,250,000) (See Notes 5 and 10)</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71,421,000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71,820,000</w:t>
            </w: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6,799,736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6,385,103</w:t>
            </w:r>
          </w:p>
        </w:tc>
        <w:tc>
          <w:tcPr>
            <w:tcW w:w="0" w:type="dxa"/>
            <w:vAlign w:val="bottom"/>
          </w:tcPr>
          <w:p>
            <w:pPr>
              <w:spacing w:after="0"/>
              <w:rPr>
                <w:sz w:val="1"/>
                <w:szCs w:val="1"/>
                <w:color w:val="auto"/>
              </w:rPr>
            </w:pPr>
          </w:p>
        </w:tc>
      </w:tr>
      <w:tr>
        <w:trPr>
          <w:trHeight w:val="148"/>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5,523,967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4,622,754</w:t>
            </w:r>
          </w:p>
        </w:tc>
        <w:tc>
          <w:tcPr>
            <w:tcW w:w="0" w:type="dxa"/>
            <w:vAlign w:val="bottom"/>
          </w:tcPr>
          <w:p>
            <w:pPr>
              <w:spacing w:after="0"/>
              <w:rPr>
                <w:sz w:val="1"/>
                <w:szCs w:val="1"/>
                <w:color w:val="auto"/>
              </w:rPr>
            </w:pPr>
          </w:p>
        </w:tc>
      </w:tr>
      <w:tr>
        <w:trPr>
          <w:trHeight w:val="149"/>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debt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7,870,970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1,962,264</w:t>
            </w:r>
          </w:p>
        </w:tc>
        <w:tc>
          <w:tcPr>
            <w:tcW w:w="0" w:type="dxa"/>
            <w:vAlign w:val="bottom"/>
          </w:tcPr>
          <w:p>
            <w:pPr>
              <w:spacing w:after="0"/>
              <w:rPr>
                <w:sz w:val="1"/>
                <w:szCs w:val="1"/>
                <w:color w:val="auto"/>
              </w:rPr>
            </w:pPr>
          </w:p>
        </w:tc>
      </w:tr>
      <w:tr>
        <w:trPr>
          <w:trHeight w:val="148"/>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Accrued other expenses</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1,665,207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3,113,683</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20" w:type="dxa"/>
            <w:vAlign w:val="bottom"/>
            <w:shd w:val="clear" w:color="auto" w:fill="CCEEFF"/>
          </w:tcPr>
          <w:p>
            <w:pPr>
              <w:spacing w:after="0"/>
              <w:rPr>
                <w:sz w:val="12"/>
                <w:szCs w:val="12"/>
                <w:color w:val="auto"/>
              </w:rPr>
            </w:pPr>
          </w:p>
        </w:tc>
        <w:tc>
          <w:tcPr>
            <w:tcW w:w="8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liabilities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619,881,873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583,817,248</w:t>
            </w:r>
          </w:p>
        </w:tc>
        <w:tc>
          <w:tcPr>
            <w:tcW w:w="0" w:type="dxa"/>
            <w:vAlign w:val="bottom"/>
          </w:tcPr>
          <w:p>
            <w:pPr>
              <w:spacing w:after="0"/>
              <w:rPr>
                <w:sz w:val="1"/>
                <w:szCs w:val="1"/>
                <w:color w:val="auto"/>
              </w:rPr>
            </w:pPr>
          </w:p>
        </w:tc>
      </w:tr>
      <w:tr>
        <w:trPr>
          <w:trHeight w:val="156"/>
        </w:trPr>
        <w:tc>
          <w:tcPr>
            <w:tcW w:w="884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840" w:type="dxa"/>
            <w:vAlign w:val="bottom"/>
            <w:gridSpan w:val="2"/>
          </w:tcPr>
          <w:p>
            <w:pPr>
              <w:spacing w:after="0" w:line="130" w:lineRule="exact"/>
              <w:rPr>
                <w:sz w:val="20"/>
                <w:szCs w:val="20"/>
                <w:color w:val="auto"/>
              </w:rPr>
            </w:pPr>
            <w:r>
              <w:rPr>
                <w:rFonts w:ascii="Arial" w:cs="Arial" w:eastAsia="Arial" w:hAnsi="Arial"/>
                <w:sz w:val="14"/>
                <w:szCs w:val="14"/>
                <w:color w:val="auto"/>
              </w:rPr>
              <w:t>Common stock, 75,092,911 shares issued and outstanding.</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840" w:type="dxa"/>
            <w:vAlign w:val="bottom"/>
            <w:gridSpan w:val="2"/>
          </w:tcPr>
          <w:p>
            <w:pPr>
              <w:ind w:left="300"/>
              <w:spacing w:after="0"/>
              <w:rPr>
                <w:sz w:val="20"/>
                <w:szCs w:val="20"/>
                <w:color w:val="auto"/>
              </w:rPr>
            </w:pPr>
            <w:r>
              <w:rPr>
                <w:rFonts w:ascii="Arial" w:cs="Arial" w:eastAsia="Arial" w:hAnsi="Arial"/>
                <w:sz w:val="14"/>
                <w:szCs w:val="14"/>
                <w:color w:val="auto"/>
              </w:rPr>
              <w:t>Par value $0.001 per share and 100,000,000 shares authorized.</w:t>
            </w: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75,093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75,093</w:t>
            </w: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852,465,375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852,465,375</w:t>
            </w:r>
          </w:p>
        </w:tc>
        <w:tc>
          <w:tcPr>
            <w:tcW w:w="0" w:type="dxa"/>
            <w:vAlign w:val="bottom"/>
          </w:tcPr>
          <w:p>
            <w:pPr>
              <w:spacing w:after="0"/>
              <w:rPr>
                <w:sz w:val="1"/>
                <w:szCs w:val="1"/>
                <w:color w:val="auto"/>
              </w:rPr>
            </w:pPr>
          </w:p>
        </w:tc>
      </w:tr>
      <w:tr>
        <w:trPr>
          <w:trHeight w:val="148"/>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80" w:type="dxa"/>
            <w:vAlign w:val="bottom"/>
          </w:tcPr>
          <w:p>
            <w:pPr>
              <w:spacing w:after="0"/>
              <w:rPr>
                <w:sz w:val="12"/>
                <w:szCs w:val="12"/>
                <w:color w:val="auto"/>
              </w:rPr>
            </w:pPr>
          </w:p>
        </w:tc>
        <w:tc>
          <w:tcPr>
            <w:tcW w:w="11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(12,281,869)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(11,802,580)</w:t>
            </w: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gain (loss) on investments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6,461,276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(11,655,302)</w:t>
            </w:r>
          </w:p>
        </w:tc>
        <w:tc>
          <w:tcPr>
            <w:tcW w:w="0" w:type="dxa"/>
            <w:vAlign w:val="bottom"/>
          </w:tcPr>
          <w:p>
            <w:pPr>
              <w:spacing w:after="0"/>
              <w:rPr>
                <w:sz w:val="1"/>
                <w:szCs w:val="1"/>
                <w:color w:val="auto"/>
              </w:rPr>
            </w:pPr>
          </w:p>
        </w:tc>
      </w:tr>
      <w:tr>
        <w:trPr>
          <w:trHeight w:val="149"/>
        </w:trPr>
        <w:tc>
          <w:tcPr>
            <w:tcW w:w="884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80" w:type="dxa"/>
            <w:vAlign w:val="bottom"/>
          </w:tcPr>
          <w:p>
            <w:pPr>
              <w:spacing w:after="0"/>
              <w:rPr>
                <w:sz w:val="12"/>
                <w:szCs w:val="12"/>
                <w:color w:val="auto"/>
              </w:rPr>
            </w:pPr>
          </w:p>
        </w:tc>
        <w:tc>
          <w:tcPr>
            <w:tcW w:w="11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(78,814,259)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(881,067)</w:t>
            </w:r>
          </w:p>
        </w:tc>
        <w:tc>
          <w:tcPr>
            <w:tcW w:w="0" w:type="dxa"/>
            <w:vAlign w:val="bottom"/>
          </w:tcPr>
          <w:p>
            <w:pPr>
              <w:spacing w:after="0"/>
              <w:rPr>
                <w:sz w:val="1"/>
                <w:szCs w:val="1"/>
                <w:color w:val="auto"/>
              </w:rPr>
            </w:pPr>
          </w:p>
        </w:tc>
      </w:tr>
      <w:tr>
        <w:trPr>
          <w:trHeight w:val="148"/>
        </w:trPr>
        <w:tc>
          <w:tcPr>
            <w:tcW w:w="8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(appreciation) on debt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1,485,310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(191,570)</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32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net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769,390,926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828,009,949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 w:type="dxa"/>
            <w:vAlign w:val="bottom"/>
            <w:shd w:val="clear" w:color="auto" w:fill="CCEEFF"/>
          </w:tcPr>
          <w:p>
            <w:pPr>
              <w:spacing w:after="0"/>
              <w:rPr>
                <w:sz w:val="12"/>
                <w:szCs w:val="12"/>
                <w:color w:val="auto"/>
              </w:rPr>
            </w:pPr>
          </w:p>
        </w:tc>
        <w:tc>
          <w:tcPr>
            <w:tcW w:w="8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liabilities and 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1,389,272,799</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5"/>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1,411,827,197</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4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10.25</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20" w:type="dxa"/>
            <w:vAlign w:val="bottom"/>
            <w:gridSpan w:val="7"/>
          </w:tcPr>
          <w:p>
            <w:pPr>
              <w:jc w:val="right"/>
              <w:ind w:right="160"/>
              <w:spacing w:after="0"/>
              <w:rPr>
                <w:sz w:val="20"/>
                <w:szCs w:val="20"/>
                <w:color w:val="auto"/>
              </w:rPr>
            </w:pPr>
            <w:r>
              <w:rPr>
                <w:rFonts w:ascii="Arial" w:cs="Arial" w:eastAsia="Arial" w:hAnsi="Arial"/>
                <w:sz w:val="13"/>
                <w:szCs w:val="13"/>
                <w:b w:val="1"/>
                <w:bCs w:val="1"/>
                <w:color w:val="auto"/>
                <w:w w:val="90"/>
              </w:rPr>
              <w:t>Three Months Ended March 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w w:val="88"/>
              </w:rPr>
              <w:t>Six Months Ended March 31,</w:t>
            </w:r>
          </w:p>
        </w:tc>
        <w:tc>
          <w:tcPr>
            <w:tcW w:w="0" w:type="dxa"/>
            <w:vAlign w:val="bottom"/>
          </w:tcPr>
          <w:p>
            <w:pPr>
              <w:spacing w:after="0"/>
              <w:rPr>
                <w:sz w:val="1"/>
                <w:szCs w:val="1"/>
                <w:color w:val="auto"/>
              </w:rPr>
            </w:pPr>
          </w:p>
        </w:tc>
      </w:tr>
      <w:tr>
        <w:trPr>
          <w:trHeight w:val="128"/>
        </w:trPr>
        <w:tc>
          <w:tcPr>
            <w:tcW w:w="642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Arial" w:cs="Arial" w:eastAsia="Arial" w:hAnsi="Arial"/>
                <w:sz w:val="13"/>
                <w:szCs w:val="13"/>
                <w:b w:val="1"/>
                <w:bCs w:val="1"/>
                <w:color w:val="auto"/>
              </w:rPr>
              <w:t>2015</w:t>
            </w: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89"/>
              <w:spacing w:after="0" w:line="129" w:lineRule="exact"/>
              <w:rPr>
                <w:sz w:val="20"/>
                <w:szCs w:val="20"/>
                <w:color w:val="auto"/>
              </w:rPr>
            </w:pPr>
            <w:r>
              <w:rPr>
                <w:rFonts w:ascii="Arial" w:cs="Arial" w:eastAsia="Arial" w:hAnsi="Arial"/>
                <w:sz w:val="13"/>
                <w:szCs w:val="13"/>
                <w:b w:val="1"/>
                <w:bCs w:val="1"/>
                <w:color w:val="auto"/>
              </w:rPr>
              <w:t>2015</w:t>
            </w:r>
          </w:p>
        </w:tc>
        <w:tc>
          <w:tcPr>
            <w:tcW w:w="12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4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w w:val="99"/>
              </w:rPr>
              <w:t>35,227,997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31,858,467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w w:val="96"/>
              </w:rPr>
              <w:t>70,089,625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60,823,402</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4,818,465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2,336,170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6,397,303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4,851,027</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1,251,778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1,453,003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2,737,188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2,717,613</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1,362,313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2,231,179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2,641,109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3,624,633</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income</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300,833</w:t>
            </w:r>
          </w:p>
        </w:tc>
        <w:tc>
          <w:tcPr>
            <w:tcW w:w="0" w:type="dxa"/>
            <w:vAlign w:val="bottom"/>
          </w:tcPr>
          <w:p>
            <w:pPr>
              <w:spacing w:after="0"/>
              <w:rPr>
                <w:sz w:val="1"/>
                <w:szCs w:val="1"/>
                <w:color w:val="auto"/>
              </w:rPr>
            </w:pPr>
          </w:p>
        </w:tc>
      </w:tr>
      <w:tr>
        <w:trPr>
          <w:trHeight w:val="163"/>
        </w:trPr>
        <w:tc>
          <w:tcPr>
            <w:tcW w:w="64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0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42,660,553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37,878,819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81,865,225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72,317,508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6,799,737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6,027,293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w w:val="96"/>
              </w:rPr>
              <w:t>13,596,488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11,774,353</w:t>
            </w:r>
          </w:p>
        </w:tc>
        <w:tc>
          <w:tcPr>
            <w:tcW w:w="0" w:type="dxa"/>
            <w:vAlign w:val="bottom"/>
          </w:tcPr>
          <w:p>
            <w:pPr>
              <w:spacing w:after="0"/>
              <w:rPr>
                <w:sz w:val="1"/>
                <w:szCs w:val="1"/>
                <w:color w:val="auto"/>
              </w:rPr>
            </w:pPr>
          </w:p>
        </w:tc>
      </w:tr>
      <w:tr>
        <w:trPr>
          <w:trHeight w:val="149"/>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5,523,967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5,007,264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w w:val="96"/>
              </w:rPr>
              <w:t>10,393,185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9,496,043</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6,567,496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5,099,113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w w:val="96"/>
              </w:rPr>
              <w:t>13,082,827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9,672,746</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849,656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928,954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1,706,720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1,840,550</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823,828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787,140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1,513,264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1,549,644</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20,564,684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17,849,764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w w:val="96"/>
              </w:rPr>
              <w:t>40,292,484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34,333,336</w:t>
            </w:r>
          </w:p>
        </w:tc>
        <w:tc>
          <w:tcPr>
            <w:tcW w:w="0" w:type="dxa"/>
            <w:vAlign w:val="bottom"/>
          </w:tcPr>
          <w:p>
            <w:pPr>
              <w:spacing w:after="0"/>
              <w:rPr>
                <w:sz w:val="1"/>
                <w:szCs w:val="1"/>
                <w:color w:val="auto"/>
              </w:rPr>
            </w:pPr>
          </w:p>
        </w:tc>
      </w:tr>
      <w:tr>
        <w:trPr>
          <w:trHeight w:val="163"/>
        </w:trPr>
        <w:tc>
          <w:tcPr>
            <w:tcW w:w="64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0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22,095,869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20,029,055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41,572,741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37,984,172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line="149" w:lineRule="exact"/>
              <w:rPr>
                <w:sz w:val="20"/>
                <w:szCs w:val="20"/>
                <w:color w:val="auto"/>
              </w:rPr>
            </w:pPr>
            <w:r>
              <w:rPr>
                <w:rFonts w:ascii="Arial" w:cs="Arial" w:eastAsia="Arial" w:hAnsi="Arial"/>
                <w:sz w:val="14"/>
                <w:szCs w:val="14"/>
                <w:color w:val="auto"/>
              </w:rPr>
              <w:t>Net realized gain on investments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9,490,439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3,029,573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w w:val="96"/>
              </w:rPr>
              <w:t>18,116,578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5,688,684</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w w:val="93"/>
              </w:rPr>
              <w:t>(24,876,250)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15,782,680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w w:val="90"/>
              </w:rPr>
              <w:t>(77,935,809)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29,998,188</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Controlled and non-controlled, affiliated investments</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107,390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7,987,620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2,617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8,508,837</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Debt depreciation (appreciation) (See Notes 5 and 10)</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561,253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(6,147,777)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1,676,880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(2,043,777)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3"/>
              </w:rPr>
              <w:t>(24,207,607)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17,622,523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0"/>
              </w:rPr>
              <w:t>(76,256,312)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36,463,248</w:t>
            </w:r>
          </w:p>
        </w:tc>
        <w:tc>
          <w:tcPr>
            <w:tcW w:w="0" w:type="dxa"/>
            <w:vAlign w:val="bottom"/>
          </w:tcPr>
          <w:p>
            <w:pPr>
              <w:spacing w:after="0"/>
              <w:rPr>
                <w:sz w:val="1"/>
                <w:szCs w:val="1"/>
                <w:color w:val="auto"/>
              </w:rPr>
            </w:pPr>
          </w:p>
        </w:tc>
      </w:tr>
      <w:tr>
        <w:trPr>
          <w:trHeight w:val="162"/>
        </w:trPr>
        <w:tc>
          <w:tcPr>
            <w:tcW w:w="6420" w:type="dxa"/>
            <w:vAlign w:val="bottom"/>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10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(14,717,168</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20,652,096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(58,139,734</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42,151,932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7,378,701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40,681,151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0"/>
              </w:rPr>
              <w:t>(16,566,993)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80,136,104</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10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79"/>
              <w:spacing w:after="0" w:line="143" w:lineRule="exact"/>
              <w:rPr>
                <w:sz w:val="20"/>
                <w:szCs w:val="20"/>
                <w:color w:val="auto"/>
              </w:rPr>
            </w:pPr>
            <w:r>
              <w:rPr>
                <w:rFonts w:ascii="Arial" w:cs="Arial" w:eastAsia="Arial" w:hAnsi="Arial"/>
                <w:sz w:val="14"/>
                <w:szCs w:val="14"/>
                <w:color w:val="auto"/>
              </w:rPr>
              <w:t>0.29</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0.30</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79"/>
              <w:spacing w:after="0" w:line="143" w:lineRule="exact"/>
              <w:rPr>
                <w:sz w:val="20"/>
                <w:szCs w:val="20"/>
                <w:color w:val="auto"/>
              </w:rPr>
            </w:pPr>
            <w:r>
              <w:rPr>
                <w:rFonts w:ascii="Arial" w:cs="Arial" w:eastAsia="Arial" w:hAnsi="Arial"/>
                <w:sz w:val="14"/>
                <w:szCs w:val="14"/>
                <w:color w:val="auto"/>
              </w:rPr>
              <w:t>0.55</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0"/>
              </w:rPr>
              <w:t>Six Months Ended March 31,</w:t>
            </w:r>
          </w:p>
        </w:tc>
        <w:tc>
          <w:tcPr>
            <w:tcW w:w="0" w:type="dxa"/>
            <w:vAlign w:val="bottom"/>
          </w:tcPr>
          <w:p>
            <w:pPr>
              <w:spacing w:after="0"/>
              <w:rPr>
                <w:sz w:val="1"/>
                <w:szCs w:val="1"/>
                <w:color w:val="auto"/>
              </w:rPr>
            </w:pPr>
          </w:p>
        </w:tc>
      </w:tr>
      <w:tr>
        <w:trPr>
          <w:trHeight w:val="128"/>
        </w:trPr>
        <w:tc>
          <w:tcPr>
            <w:tcW w:w="93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2015</w:t>
            </w: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3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32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41,572,741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37,984,172</w:t>
            </w:r>
          </w:p>
        </w:tc>
        <w:tc>
          <w:tcPr>
            <w:tcW w:w="0" w:type="dxa"/>
            <w:vAlign w:val="bottom"/>
          </w:tcPr>
          <w:p>
            <w:pPr>
              <w:spacing w:after="0"/>
              <w:rPr>
                <w:sz w:val="1"/>
                <w:szCs w:val="1"/>
                <w:color w:val="auto"/>
              </w:rPr>
            </w:pPr>
          </w:p>
        </w:tc>
      </w:tr>
      <w:tr>
        <w:trPr>
          <w:trHeight w:val="149"/>
        </w:trPr>
        <w:tc>
          <w:tcPr>
            <w:tcW w:w="9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18,116,578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5,688,684</w:t>
            </w:r>
          </w:p>
        </w:tc>
        <w:tc>
          <w:tcPr>
            <w:tcW w:w="0" w:type="dxa"/>
            <w:vAlign w:val="bottom"/>
          </w:tcPr>
          <w:p>
            <w:pPr>
              <w:spacing w:after="0"/>
              <w:rPr>
                <w:sz w:val="1"/>
                <w:szCs w:val="1"/>
                <w:color w:val="auto"/>
              </w:rPr>
            </w:pPr>
          </w:p>
        </w:tc>
      </w:tr>
      <w:tr>
        <w:trPr>
          <w:trHeight w:val="148"/>
        </w:trPr>
        <w:tc>
          <w:tcPr>
            <w:tcW w:w="932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(77,933,192)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38,507,025</w:t>
            </w:r>
          </w:p>
        </w:tc>
        <w:tc>
          <w:tcPr>
            <w:tcW w:w="0" w:type="dxa"/>
            <w:vAlign w:val="bottom"/>
          </w:tcPr>
          <w:p>
            <w:pPr>
              <w:spacing w:after="0"/>
              <w:rPr>
                <w:sz w:val="1"/>
                <w:szCs w:val="1"/>
                <w:color w:val="auto"/>
              </w:rPr>
            </w:pPr>
          </w:p>
        </w:tc>
      </w:tr>
      <w:tr>
        <w:trPr>
          <w:trHeight w:val="148"/>
        </w:trPr>
        <w:tc>
          <w:tcPr>
            <w:tcW w:w="9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debt depreciation (appreciation)</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1,676,880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(2,043,777)</w:t>
            </w:r>
          </w:p>
        </w:tc>
        <w:tc>
          <w:tcPr>
            <w:tcW w:w="0" w:type="dxa"/>
            <w:vAlign w:val="bottom"/>
          </w:tcPr>
          <w:p>
            <w:pPr>
              <w:spacing w:after="0"/>
              <w:rPr>
                <w:sz w:val="1"/>
                <w:szCs w:val="1"/>
                <w:color w:val="auto"/>
              </w:rPr>
            </w:pPr>
          </w:p>
        </w:tc>
      </w:tr>
      <w:tr>
        <w:trPr>
          <w:trHeight w:val="163"/>
        </w:trPr>
        <w:tc>
          <w:tcPr>
            <w:tcW w:w="93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(16,566,993)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80,136,104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(42,052,030)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(37,272,416)</w:t>
            </w:r>
          </w:p>
        </w:tc>
        <w:tc>
          <w:tcPr>
            <w:tcW w:w="0" w:type="dxa"/>
            <w:vAlign w:val="bottom"/>
          </w:tcPr>
          <w:p>
            <w:pPr>
              <w:spacing w:after="0"/>
              <w:rPr>
                <w:sz w:val="1"/>
                <w:szCs w:val="1"/>
                <w:color w:val="auto"/>
              </w:rPr>
            </w:pPr>
          </w:p>
        </w:tc>
      </w:tr>
      <w:tr>
        <w:trPr>
          <w:trHeight w:val="156"/>
        </w:trPr>
        <w:tc>
          <w:tcPr>
            <w:tcW w:w="93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Reinvestment of distributions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792,925</w:t>
            </w:r>
          </w:p>
        </w:tc>
        <w:tc>
          <w:tcPr>
            <w:tcW w:w="0" w:type="dxa"/>
            <w:vAlign w:val="bottom"/>
          </w:tcPr>
          <w:p>
            <w:pPr>
              <w:spacing w:after="0"/>
              <w:rPr>
                <w:sz w:val="1"/>
                <w:szCs w:val="1"/>
                <w:color w:val="auto"/>
              </w:rPr>
            </w:pPr>
          </w:p>
        </w:tc>
      </w:tr>
      <w:tr>
        <w:trPr>
          <w:trHeight w:val="163"/>
        </w:trPr>
        <w:tc>
          <w:tcPr>
            <w:tcW w:w="93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792,925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net assets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(58,619,023)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43,656,613</w:t>
            </w:r>
          </w:p>
        </w:tc>
        <w:tc>
          <w:tcPr>
            <w:tcW w:w="0" w:type="dxa"/>
            <w:vAlign w:val="bottom"/>
          </w:tcPr>
          <w:p>
            <w:pPr>
              <w:spacing w:after="0"/>
              <w:rPr>
                <w:sz w:val="1"/>
                <w:szCs w:val="1"/>
                <w:color w:val="auto"/>
              </w:rPr>
            </w:pPr>
          </w:p>
        </w:tc>
      </w:tr>
      <w:tr>
        <w:trPr>
          <w:trHeight w:val="156"/>
        </w:trPr>
        <w:tc>
          <w:tcPr>
            <w:tcW w:w="932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828,009,949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697,506,199</w:t>
            </w:r>
          </w:p>
        </w:tc>
        <w:tc>
          <w:tcPr>
            <w:tcW w:w="0" w:type="dxa"/>
            <w:vAlign w:val="bottom"/>
          </w:tcPr>
          <w:p>
            <w:pPr>
              <w:spacing w:after="0"/>
              <w:rPr>
                <w:sz w:val="1"/>
                <w:szCs w:val="1"/>
                <w:color w:val="auto"/>
              </w:rPr>
            </w:pPr>
          </w:p>
        </w:tc>
      </w:tr>
      <w:tr>
        <w:trPr>
          <w:trHeight w:val="155"/>
        </w:trPr>
        <w:tc>
          <w:tcPr>
            <w:tcW w:w="9320" w:type="dxa"/>
            <w:vAlign w:val="bottom"/>
          </w:tcPr>
          <w:p>
            <w:pPr>
              <w:ind w:left="300"/>
              <w:spacing w:after="0" w:line="155" w:lineRule="exact"/>
              <w:rPr>
                <w:sz w:val="20"/>
                <w:szCs w:val="20"/>
                <w:color w:val="auto"/>
              </w:rPr>
            </w:pPr>
            <w:r>
              <w:rPr>
                <w:rFonts w:ascii="Arial" w:cs="Arial" w:eastAsia="Arial" w:hAnsi="Arial"/>
                <w:sz w:val="14"/>
                <w:szCs w:val="14"/>
                <w:color w:val="auto"/>
              </w:rPr>
              <w:t>End of period</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769,390,926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741,162,812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32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Distributions in excess of net investment income, at end of period</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5"/>
              </w:rPr>
              <w:t>(12,281,869)</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(3,963,461)</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Shares issued from reinvestment of distributions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69,709</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89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89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899"/>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6"/>
          </w:tcPr>
          <w:p>
            <w:pPr>
              <w:jc w:val="right"/>
              <w:ind w:right="339"/>
              <w:spacing w:after="0"/>
              <w:rPr>
                <w:sz w:val="20"/>
                <w:szCs w:val="20"/>
                <w:color w:val="auto"/>
              </w:rPr>
            </w:pPr>
            <w:r>
              <w:rPr>
                <w:rFonts w:ascii="Arial" w:cs="Arial" w:eastAsia="Arial" w:hAnsi="Arial"/>
                <w:sz w:val="13"/>
                <w:szCs w:val="13"/>
                <w:b w:val="1"/>
                <w:bCs w:val="1"/>
                <w:color w:val="auto"/>
                <w:w w:val="99"/>
              </w:rPr>
              <w:t>Six Months Ended March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4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Arial" w:cs="Arial" w:eastAsia="Arial" w:hAnsi="Arial"/>
                <w:sz w:val="13"/>
                <w:szCs w:val="13"/>
                <w:b w:val="1"/>
                <w:bCs w:val="1"/>
                <w:color w:val="auto"/>
              </w:rPr>
              <w:t>2015</w:t>
            </w:r>
          </w:p>
        </w:tc>
        <w:tc>
          <w:tcPr>
            <w:tcW w:w="2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400"/>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(16,566,993)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80,136,104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5"/>
              </w:rPr>
              <w:t>Adjustments to reconcile net (decrease) increase in net assets resulting from operations to net cash used by</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840"/>
              <w:spacing w:after="0" w:line="149" w:lineRule="exact"/>
              <w:rPr>
                <w:sz w:val="20"/>
                <w:szCs w:val="20"/>
                <w:color w:val="auto"/>
              </w:rPr>
            </w:pPr>
            <w:r>
              <w:rPr>
                <w:rFonts w:ascii="Arial" w:cs="Arial" w:eastAsia="Arial" w:hAnsi="Arial"/>
                <w:sz w:val="14"/>
                <w:szCs w:val="14"/>
                <w:color w:val="auto"/>
              </w:rPr>
              <w:t>Net change in net unrealized depreciation (appreciation) on investments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77,933,192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(38,507,025)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change in unrealized (deprecation) appreciation on debt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(1,676,880)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2,043,777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840"/>
              <w:spacing w:after="0" w:line="149" w:lineRule="exact"/>
              <w:rPr>
                <w:sz w:val="20"/>
                <w:szCs w:val="20"/>
                <w:color w:val="auto"/>
              </w:rPr>
            </w:pPr>
            <w:r>
              <w:rPr>
                <w:rFonts w:ascii="Arial" w:cs="Arial" w:eastAsia="Arial" w:hAnsi="Arial"/>
                <w:sz w:val="14"/>
                <w:szCs w:val="14"/>
                <w:color w:val="auto"/>
              </w:rPr>
              <w:t>Net realized gain on investments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(18,116,578)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(5,688,684)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(3,382,651)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(5,037,388)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840"/>
              <w:spacing w:after="0" w:line="149" w:lineRule="exact"/>
              <w:rPr>
                <w:sz w:val="20"/>
                <w:szCs w:val="20"/>
                <w:color w:val="auto"/>
              </w:rPr>
            </w:pPr>
            <w:r>
              <w:rPr>
                <w:rFonts w:ascii="Arial" w:cs="Arial" w:eastAsia="Arial" w:hAnsi="Arial"/>
                <w:sz w:val="14"/>
                <w:szCs w:val="14"/>
                <w:color w:val="auto"/>
              </w:rPr>
              <w:t>Purchases of investments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(231,500,954)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w w:val="91"/>
              </w:rPr>
              <w:t>(370,006,367)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Payment-in-kind income</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(5,306,995)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(4,696,824)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84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182,505,754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w w:val="97"/>
              </w:rPr>
              <w:t>260,770,085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interest receivable</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988,042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(603,449)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deferred financing costs and other assets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223,825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(83,722)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Increase (decrease) in payable for investments purchased</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3,589,688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(52,544,704)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840"/>
              <w:spacing w:after="0" w:line="149" w:lineRule="exact"/>
              <w:rPr>
                <w:sz w:val="20"/>
                <w:szCs w:val="20"/>
                <w:color w:val="auto"/>
              </w:rPr>
            </w:pPr>
            <w:r>
              <w:rPr>
                <w:rFonts w:ascii="Arial" w:cs="Arial" w:eastAsia="Arial" w:hAnsi="Arial"/>
                <w:sz w:val="14"/>
                <w:szCs w:val="14"/>
                <w:color w:val="auto"/>
              </w:rPr>
              <w:t>Increase (decrease) in interest payable on debt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5,908,706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(123,366)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Increase in management fee payable</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414,633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607,736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84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901,213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732,383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 accrued other expenses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(1,448,476)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(237,222)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40" w:type="dxa"/>
            <w:vAlign w:val="bottom"/>
          </w:tcPr>
          <w:p>
            <w:pPr>
              <w:ind w:left="1260"/>
              <w:spacing w:after="0" w:line="155" w:lineRule="exact"/>
              <w:rPr>
                <w:sz w:val="20"/>
                <w:szCs w:val="20"/>
                <w:color w:val="auto"/>
              </w:rPr>
            </w:pPr>
            <w:r>
              <w:rPr>
                <w:rFonts w:ascii="Arial" w:cs="Arial" w:eastAsia="Arial" w:hAnsi="Arial"/>
                <w:sz w:val="14"/>
                <w:szCs w:val="14"/>
                <w:color w:val="auto"/>
              </w:rPr>
              <w:t>Net cash used by operating activities</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(5,534,474)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(133,238,666</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840"/>
              <w:spacing w:after="0" w:line="149" w:lineRule="exact"/>
              <w:rPr>
                <w:sz w:val="20"/>
                <w:szCs w:val="20"/>
                <w:color w:val="auto"/>
              </w:rPr>
            </w:pPr>
            <w:r>
              <w:rPr>
                <w:rFonts w:ascii="Arial" w:cs="Arial" w:eastAsia="Arial" w:hAnsi="Arial"/>
                <w:sz w:val="14"/>
                <w:szCs w:val="14"/>
                <w:color w:val="auto"/>
              </w:rPr>
              <w:t>Deferred financing costs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Distributions paid to stockholders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(42,052,030)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(36,459,973)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840"/>
              <w:spacing w:after="0" w:line="149" w:lineRule="exact"/>
              <w:rPr>
                <w:sz w:val="20"/>
                <w:szCs w:val="20"/>
                <w:color w:val="auto"/>
              </w:rPr>
            </w:pPr>
            <w:r>
              <w:rPr>
                <w:rFonts w:ascii="Arial" w:cs="Arial" w:eastAsia="Arial" w:hAnsi="Arial"/>
                <w:sz w:val="14"/>
                <w:szCs w:val="14"/>
                <w:color w:val="auto"/>
              </w:rPr>
              <w:t>Borrowings under Credit Facility (See Note 10)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354,000,000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w w:val="97"/>
              </w:rPr>
              <w:t>614,109,200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Repayments under Credit Facility (See Note 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(310,017,203)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w w:val="91"/>
              </w:rPr>
              <w:t>(445,800,000)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40" w:type="dxa"/>
            <w:vAlign w:val="bottom"/>
          </w:tcPr>
          <w:p>
            <w:pPr>
              <w:ind w:left="12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1,930,767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131,099,227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 cash equivalents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(3,603,707)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(2,139,439)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(91,351)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66,518,682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58,440,829</w:t>
            </w:r>
          </w:p>
        </w:tc>
        <w:tc>
          <w:tcPr>
            <w:tcW w:w="0" w:type="dxa"/>
            <w:vAlign w:val="bottom"/>
          </w:tcPr>
          <w:p>
            <w:pPr>
              <w:spacing w:after="0"/>
              <w:rPr>
                <w:sz w:val="1"/>
                <w:szCs w:val="1"/>
                <w:color w:val="auto"/>
              </w:rPr>
            </w:pPr>
          </w:p>
        </w:tc>
      </w:tr>
      <w:tr>
        <w:trPr>
          <w:trHeight w:val="156"/>
        </w:trPr>
        <w:tc>
          <w:tcPr>
            <w:tcW w:w="6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62,823,624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56,302,305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180"/>
              <w:spacing w:after="0" w:line="149" w:lineRule="exact"/>
              <w:rPr>
                <w:sz w:val="20"/>
                <w:szCs w:val="20"/>
                <w:color w:val="auto"/>
              </w:rPr>
            </w:pPr>
            <w:r>
              <w:rPr>
                <w:rFonts w:ascii="Arial" w:cs="Arial" w:eastAsia="Arial" w:hAnsi="Arial"/>
                <w:sz w:val="14"/>
                <w:szCs w:val="14"/>
                <w:color w:val="auto"/>
              </w:rPr>
              <w:t>Interest paid</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6,899,882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9,534,384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Taxes paid</w:t>
            </w:r>
          </w:p>
        </w:tc>
        <w:tc>
          <w:tcPr>
            <w:tcW w:w="4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55,066</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59"/>
              <w:spacing w:after="0" w:line="143" w:lineRule="exact"/>
              <w:rPr>
                <w:sz w:val="20"/>
                <w:szCs w:val="20"/>
                <w:color w:val="auto"/>
              </w:rPr>
            </w:pPr>
            <w:r>
              <w:rPr>
                <w:rFonts w:ascii="Arial" w:cs="Arial" w:eastAsia="Arial" w:hAnsi="Arial"/>
                <w:sz w:val="14"/>
                <w:szCs w:val="14"/>
                <w:color w:val="auto"/>
              </w:rPr>
              <w:t>8,251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180"/>
              <w:spacing w:after="0"/>
              <w:rPr>
                <w:sz w:val="20"/>
                <w:szCs w:val="20"/>
                <w:color w:val="auto"/>
              </w:rPr>
            </w:pPr>
            <w:r>
              <w:rPr>
                <w:rFonts w:ascii="Arial" w:cs="Arial" w:eastAsia="Arial" w:hAnsi="Arial"/>
                <w:sz w:val="14"/>
                <w:szCs w:val="14"/>
                <w:color w:val="auto"/>
              </w:rPr>
              <w:t>Distributions reinvested</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792,925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Conversions and non-cash exchanges</w:t>
            </w:r>
          </w:p>
        </w:tc>
        <w:tc>
          <w:tcPr>
            <w:tcW w:w="4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19,765,183</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59"/>
              <w:spacing w:after="0" w:line="143" w:lineRule="exact"/>
              <w:rPr>
                <w:sz w:val="20"/>
                <w:szCs w:val="20"/>
                <w:color w:val="auto"/>
              </w:rPr>
            </w:pPr>
            <w:r>
              <w:rPr>
                <w:rFonts w:ascii="Arial" w:cs="Arial" w:eastAsia="Arial" w:hAnsi="Arial"/>
                <w:sz w:val="14"/>
                <w:szCs w:val="14"/>
                <w:color w:val="auto"/>
              </w:rPr>
              <w:t>51,577,498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340"/>
          </w:cols>
          <w:pgMar w:left="320" w:top="459" w:right="1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jc w:val="center"/>
              <w:ind w:right="137"/>
              <w:spacing w:after="0"/>
              <w:rPr>
                <w:sz w:val="20"/>
                <w:szCs w:val="20"/>
                <w:color w:val="auto"/>
              </w:rPr>
            </w:pPr>
            <w:r>
              <w:rPr>
                <w:rFonts w:ascii="Arial" w:cs="Arial" w:eastAsia="Arial" w:hAnsi="Arial"/>
                <w:sz w:val="13"/>
                <w:szCs w:val="13"/>
                <w:b w:val="1"/>
                <w:bCs w:val="1"/>
                <w:color w:val="auto"/>
                <w:w w:val="84"/>
              </w:rPr>
              <w:t>Basis Point</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6"/>
              </w:rPr>
              <w:t>Spread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6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Maturity /</w:t>
            </w:r>
          </w:p>
        </w:tc>
        <w:tc>
          <w:tcPr>
            <w:tcW w:w="1800" w:type="dxa"/>
            <w:vAlign w:val="bottom"/>
          </w:tcPr>
          <w:p>
            <w:pPr>
              <w:spacing w:after="0"/>
              <w:rPr>
                <w:sz w:val="11"/>
                <w:szCs w:val="11"/>
                <w:color w:val="auto"/>
              </w:rPr>
            </w:pPr>
          </w:p>
        </w:tc>
        <w:tc>
          <w:tcPr>
            <w:tcW w:w="1040" w:type="dxa"/>
            <w:vAlign w:val="bottom"/>
          </w:tcPr>
          <w:p>
            <w:pPr>
              <w:jc w:val="right"/>
              <w:ind w:right="437"/>
              <w:spacing w:after="0" w:line="135" w:lineRule="exact"/>
              <w:rPr>
                <w:sz w:val="20"/>
                <w:szCs w:val="20"/>
                <w:color w:val="auto"/>
              </w:rPr>
            </w:pPr>
            <w:r>
              <w:rPr>
                <w:rFonts w:ascii="Arial" w:cs="Arial" w:eastAsia="Arial" w:hAnsi="Arial"/>
                <w:sz w:val="13"/>
                <w:szCs w:val="13"/>
                <w:b w:val="1"/>
                <w:bCs w:val="1"/>
                <w:color w:val="auto"/>
              </w:rPr>
              <w:t>Current</w:t>
            </w:r>
          </w:p>
        </w:tc>
        <w:tc>
          <w:tcPr>
            <w:tcW w:w="108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5"/>
              </w:rPr>
              <w:t>Above</w:t>
            </w:r>
          </w:p>
        </w:tc>
        <w:tc>
          <w:tcPr>
            <w:tcW w:w="76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80" w:type="dxa"/>
            <w:vAlign w:val="bottom"/>
            <w:vMerge w:val="continue"/>
          </w:tcPr>
          <w:p>
            <w:pPr>
              <w:spacing w:after="0"/>
              <w:rPr>
                <w:sz w:val="13"/>
                <w:szCs w:val="13"/>
                <w:color w:val="auto"/>
              </w:rPr>
            </w:pPr>
          </w:p>
        </w:tc>
        <w:tc>
          <w:tcPr>
            <w:tcW w:w="860" w:type="dxa"/>
            <w:vAlign w:val="bottom"/>
          </w:tcPr>
          <w:p>
            <w:pPr>
              <w:ind w:left="140"/>
              <w:spacing w:after="0"/>
              <w:rPr>
                <w:sz w:val="20"/>
                <w:szCs w:val="20"/>
                <w:color w:val="auto"/>
              </w:rPr>
            </w:pPr>
            <w:r>
              <w:rPr>
                <w:rFonts w:ascii="Arial" w:cs="Arial" w:eastAsia="Arial" w:hAnsi="Arial"/>
                <w:sz w:val="13"/>
                <w:szCs w:val="13"/>
                <w:b w:val="1"/>
                <w:bCs w:val="1"/>
                <w:color w:val="auto"/>
              </w:rPr>
              <w:t>Expiration</w:t>
            </w:r>
          </w:p>
        </w:tc>
        <w:tc>
          <w:tcPr>
            <w:tcW w:w="180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Industry</w:t>
            </w:r>
          </w:p>
        </w:tc>
        <w:tc>
          <w:tcPr>
            <w:tcW w:w="1040" w:type="dxa"/>
            <w:vAlign w:val="bottom"/>
          </w:tcPr>
          <w:p>
            <w:pPr>
              <w:jc w:val="right"/>
              <w:ind w:right="437"/>
              <w:spacing w:after="0"/>
              <w:rPr>
                <w:sz w:val="20"/>
                <w:szCs w:val="20"/>
                <w:color w:val="auto"/>
              </w:rPr>
            </w:pPr>
            <w:r>
              <w:rPr>
                <w:rFonts w:ascii="Arial" w:cs="Arial" w:eastAsia="Arial" w:hAnsi="Arial"/>
                <w:sz w:val="13"/>
                <w:szCs w:val="13"/>
                <w:b w:val="1"/>
                <w:bCs w:val="1"/>
                <w:color w:val="auto"/>
              </w:rPr>
              <w:t>Coupon</w:t>
            </w:r>
          </w:p>
        </w:tc>
        <w:tc>
          <w:tcPr>
            <w:tcW w:w="1080" w:type="dxa"/>
            <w:vAlign w:val="bottom"/>
          </w:tcPr>
          <w:p>
            <w:pPr>
              <w:jc w:val="center"/>
              <w:ind w:right="15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42"/>
        </w:trPr>
        <w:tc>
          <w:tcPr>
            <w:tcW w:w="45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9"/>
              </w:rPr>
              <w:t xml:space="preserve">Investments in Non-Controlled, Non-Affiliated Portfolio Companies—142.3% </w:t>
            </w:r>
            <w:r>
              <w:rPr>
                <w:rFonts w:ascii="Arial" w:cs="Arial" w:eastAsia="Arial" w:hAnsi="Arial"/>
                <w:sz w:val="10"/>
                <w:szCs w:val="10"/>
                <w:b w:val="1"/>
                <w:bCs w:val="1"/>
                <w:color w:val="auto"/>
                <w:w w:val="89"/>
              </w:rPr>
              <w:t>(1), (2)</w:t>
            </w:r>
          </w:p>
        </w:tc>
        <w:tc>
          <w:tcPr>
            <w:tcW w:w="18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Debt—30.5%</w:t>
            </w:r>
          </w:p>
        </w:tc>
        <w:tc>
          <w:tcPr>
            <w:tcW w:w="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03/21/2018</w:t>
            </w:r>
          </w:p>
        </w:tc>
        <w:tc>
          <w:tcPr>
            <w:tcW w:w="180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8"/>
              </w:rPr>
              <w:t>Communications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11.25%</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L+975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22,995,325</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$ 22,308,665</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23,455,232</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04/02/2018</w:t>
            </w:r>
          </w:p>
        </w:tc>
        <w:tc>
          <w:tcPr>
            <w:tcW w:w="180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0"/>
              </w:rPr>
              <w:t>Retail</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11.94%</w:t>
            </w:r>
          </w:p>
        </w:tc>
        <w:tc>
          <w:tcPr>
            <w:tcW w:w="10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37,934,452</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37,252,245</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38,080,260</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(9)</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04/02/2018</w:t>
            </w:r>
          </w:p>
        </w:tc>
        <w:tc>
          <w:tcPr>
            <w:tcW w:w="180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0"/>
              </w:rPr>
              <w:t>Retail</w:t>
            </w:r>
          </w:p>
        </w:tc>
        <w:tc>
          <w:tcPr>
            <w:tcW w:w="10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7,572,032</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04/02/2018</w:t>
            </w:r>
          </w:p>
        </w:tc>
        <w:tc>
          <w:tcPr>
            <w:tcW w:w="180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0"/>
              </w:rPr>
              <w:t>Retail</w:t>
            </w: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4,371,469</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12/21/2020</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9"/>
              </w:rPr>
              <w:t>Hotels, Motels, Inns and Gaming</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9.25%</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5,184,375</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5,048,572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5,151,973</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10/21/2020</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Consumer Products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9.00%</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4,500,000</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4,436,530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03/30/2017</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8"/>
              </w:rPr>
              <w:t>Auto Sector</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11.50%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11,500,000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11,393,870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12,075,000</w:t>
            </w:r>
          </w:p>
        </w:tc>
        <w:tc>
          <w:tcPr>
            <w:tcW w:w="0" w:type="dxa"/>
            <w:vAlign w:val="bottom"/>
          </w:tcPr>
          <w:p>
            <w:pPr>
              <w:spacing w:after="0"/>
              <w:rPr>
                <w:sz w:val="1"/>
                <w:szCs w:val="1"/>
                <w:color w:val="auto"/>
              </w:rPr>
            </w:pPr>
          </w:p>
        </w:tc>
      </w:tr>
      <w:tr>
        <w:trPr>
          <w:trHeight w:val="121"/>
        </w:trPr>
        <w:tc>
          <w:tcPr>
            <w:tcW w:w="3680" w:type="dxa"/>
            <w:vAlign w:val="bottom"/>
          </w:tcPr>
          <w:p>
            <w:pPr>
              <w:spacing w:after="0" w:line="121" w:lineRule="exact"/>
              <w:rPr>
                <w:sz w:val="20"/>
                <w:szCs w:val="20"/>
                <w:color w:val="auto"/>
              </w:rPr>
            </w:pPr>
            <w:r>
              <w:rPr>
                <w:rFonts w:ascii="Arial" w:cs="Arial" w:eastAsia="Arial" w:hAnsi="Arial"/>
                <w:sz w:val="13"/>
                <w:szCs w:val="13"/>
                <w:color w:val="auto"/>
              </w:rPr>
              <w:t>Jackson Hewitt Tax Service Inc.</w:t>
            </w:r>
          </w:p>
        </w:tc>
        <w:tc>
          <w:tcPr>
            <w:tcW w:w="860" w:type="dxa"/>
            <w:vAlign w:val="bottom"/>
          </w:tcPr>
          <w:p>
            <w:pPr>
              <w:ind w:left="140"/>
              <w:spacing w:after="0" w:line="121" w:lineRule="exact"/>
              <w:rPr>
                <w:sz w:val="20"/>
                <w:szCs w:val="20"/>
                <w:color w:val="auto"/>
              </w:rPr>
            </w:pPr>
            <w:r>
              <w:rPr>
                <w:rFonts w:ascii="Arial" w:cs="Arial" w:eastAsia="Arial" w:hAnsi="Arial"/>
                <w:sz w:val="13"/>
                <w:szCs w:val="13"/>
                <w:color w:val="auto"/>
              </w:rPr>
              <w:t>10/16/2017</w:t>
            </w:r>
          </w:p>
        </w:tc>
        <w:tc>
          <w:tcPr>
            <w:tcW w:w="18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4"/>
              </w:rPr>
              <w:t>Personal, Food and</w:t>
            </w:r>
          </w:p>
        </w:tc>
        <w:tc>
          <w:tcPr>
            <w:tcW w:w="10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10.00%</w:t>
            </w:r>
          </w:p>
        </w:tc>
        <w:tc>
          <w:tcPr>
            <w:tcW w:w="10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L+850</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7,084,822</w:t>
            </w:r>
          </w:p>
        </w:tc>
        <w:tc>
          <w:tcPr>
            <w:tcW w:w="9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7,082,949</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7,049,397</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0" w:type="dxa"/>
            <w:vAlign w:val="bottom"/>
          </w:tcPr>
          <w:p>
            <w:pPr>
              <w:jc w:val="center"/>
              <w:ind w:right="57"/>
              <w:spacing w:after="0"/>
              <w:rPr>
                <w:sz w:val="20"/>
                <w:szCs w:val="20"/>
                <w:color w:val="auto"/>
              </w:rPr>
            </w:pPr>
            <w:r>
              <w:rPr>
                <w:rFonts w:ascii="Arial" w:cs="Arial" w:eastAsia="Arial" w:hAnsi="Arial"/>
                <w:sz w:val="13"/>
                <w:szCs w:val="13"/>
                <w:color w:val="auto"/>
                <w:w w:val="88"/>
              </w:rPr>
              <w:t>Miscellaneous Services</w:t>
            </w: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08/19/2019</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Chemicals, Plastics and Rubber</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11.00%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21,923,433</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21,579,071</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21,068,838</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10/31/2017</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9.63%</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5,626,850</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5,626,850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5,120,434</w:t>
            </w:r>
          </w:p>
        </w:tc>
        <w:tc>
          <w:tcPr>
            <w:tcW w:w="0" w:type="dxa"/>
            <w:vAlign w:val="bottom"/>
          </w:tcPr>
          <w:p>
            <w:pPr>
              <w:spacing w:after="0"/>
              <w:rPr>
                <w:sz w:val="1"/>
                <w:szCs w:val="1"/>
                <w:color w:val="auto"/>
              </w:rPr>
            </w:pPr>
          </w:p>
        </w:tc>
      </w:tr>
      <w:tr>
        <w:trPr>
          <w:trHeight w:val="121"/>
        </w:trPr>
        <w:tc>
          <w:tcPr>
            <w:tcW w:w="3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86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12/16/2019</w:t>
            </w:r>
          </w:p>
        </w:tc>
        <w:tc>
          <w:tcPr>
            <w:tcW w:w="180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90"/>
              </w:rPr>
              <w:t>Mining, Steel, Iron and Non-</w:t>
            </w:r>
          </w:p>
        </w:tc>
        <w:tc>
          <w:tcPr>
            <w:tcW w:w="10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11.50%</w:t>
            </w:r>
          </w:p>
        </w:tc>
        <w:tc>
          <w:tcPr>
            <w:tcW w:w="108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14,250,000</w:t>
            </w:r>
          </w:p>
        </w:tc>
        <w:tc>
          <w:tcPr>
            <w:tcW w:w="960" w:type="dxa"/>
            <w:vAlign w:val="bottom"/>
            <w:gridSpan w:val="3"/>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14,127,059</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13,786,875</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6"/>
              </w:rPr>
              <w:t>Precious Metals</w:t>
            </w: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06/18/2019</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Electronics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9.00%</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13,599,535</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13,492,373</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13,449,987</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 (Revolver)</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06/18/2019</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8"/>
              </w:rPr>
              <w:t>Electronics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9.00%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176,471</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176,471</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174,532</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 xml:space="preserve">Robertshaw US Holding Corp. (Revolver) </w:t>
            </w:r>
            <w:r>
              <w:rPr>
                <w:rFonts w:ascii="Arial" w:cs="Arial" w:eastAsia="Arial" w:hAnsi="Arial"/>
                <w:sz w:val="10"/>
                <w:szCs w:val="10"/>
                <w:color w:val="auto"/>
              </w:rPr>
              <w:t>(9)</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06/18/2019</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Electronics</w:t>
            </w: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2,470,588</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04/21/2017</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Aerospace and Defense</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9.00%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19,637,751</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18,811,913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17,084,843</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04/30/2018</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6"/>
              </w:rPr>
              <w:t>Business Services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12.00%</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23,514,911</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23,271,323</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21,163,420</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TRAK Acquisition Corp. </w:t>
            </w:r>
            <w:r>
              <w:rPr>
                <w:rFonts w:ascii="Arial" w:cs="Arial" w:eastAsia="Arial" w:hAnsi="Arial"/>
                <w:sz w:val="10"/>
                <w:szCs w:val="10"/>
                <w:color w:val="auto"/>
              </w:rPr>
              <w:t>(9)</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10/31/2017</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Business Services</w:t>
            </w:r>
          </w:p>
        </w:tc>
        <w:tc>
          <w:tcPr>
            <w:tcW w:w="10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02/12/2020</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Buildings and Real Estate</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11.06%</w:t>
            </w:r>
          </w:p>
        </w:tc>
        <w:tc>
          <w:tcPr>
            <w:tcW w:w="10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25,261,114</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39,992,906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36,993,022</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05/02/2019</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12.00%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15,817,326</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15,520,156</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15,846,936</w:t>
            </w:r>
          </w:p>
        </w:tc>
        <w:tc>
          <w:tcPr>
            <w:tcW w:w="0" w:type="dxa"/>
            <w:vAlign w:val="bottom"/>
          </w:tcPr>
          <w:p>
            <w:pPr>
              <w:spacing w:after="0"/>
              <w:rPr>
                <w:sz w:val="1"/>
                <w:szCs w:val="1"/>
                <w:color w:val="auto"/>
              </w:rPr>
            </w:pPr>
          </w:p>
        </w:tc>
      </w:tr>
      <w:tr>
        <w:trPr>
          <w:trHeight w:val="149"/>
        </w:trPr>
        <w:tc>
          <w:tcPr>
            <w:tcW w:w="368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240,120,953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235,000,749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Debt—78.2%</w:t>
            </w:r>
          </w:p>
        </w:tc>
        <w:tc>
          <w:tcPr>
            <w:tcW w:w="86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860" w:type="dxa"/>
            <w:vAlign w:val="bottom"/>
          </w:tcPr>
          <w:p>
            <w:pPr>
              <w:ind w:left="140"/>
              <w:spacing w:after="0" w:line="121" w:lineRule="exact"/>
              <w:rPr>
                <w:sz w:val="20"/>
                <w:szCs w:val="20"/>
                <w:color w:val="auto"/>
              </w:rPr>
            </w:pPr>
            <w:r>
              <w:rPr>
                <w:rFonts w:ascii="Arial" w:cs="Arial" w:eastAsia="Arial" w:hAnsi="Arial"/>
                <w:sz w:val="13"/>
                <w:szCs w:val="13"/>
                <w:color w:val="auto"/>
              </w:rPr>
              <w:t>09/01/2017</w:t>
            </w:r>
          </w:p>
        </w:tc>
        <w:tc>
          <w:tcPr>
            <w:tcW w:w="18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8"/>
              </w:rPr>
              <w:t>Diversified Natural Resources,</w:t>
            </w:r>
          </w:p>
        </w:tc>
        <w:tc>
          <w:tcPr>
            <w:tcW w:w="10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11.50%</w:t>
            </w:r>
          </w:p>
        </w:tc>
        <w:tc>
          <w:tcPr>
            <w:tcW w:w="10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25,400,000</w:t>
            </w:r>
          </w:p>
        </w:tc>
        <w:tc>
          <w:tcPr>
            <w:tcW w:w="9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25,400,000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23,431,500</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0" w:type="dxa"/>
            <w:vAlign w:val="bottom"/>
          </w:tcPr>
          <w:p>
            <w:pPr>
              <w:jc w:val="center"/>
              <w:ind w:right="37"/>
              <w:spacing w:after="0"/>
              <w:rPr>
                <w:sz w:val="20"/>
                <w:szCs w:val="20"/>
                <w:color w:val="auto"/>
              </w:rPr>
            </w:pPr>
            <w:r>
              <w:rPr>
                <w:rFonts w:ascii="Arial" w:cs="Arial" w:eastAsia="Arial" w:hAnsi="Arial"/>
                <w:sz w:val="13"/>
                <w:szCs w:val="13"/>
                <w:color w:val="auto"/>
                <w:w w:val="87"/>
              </w:rPr>
              <w:t>Precious Metals and Minerals</w:t>
            </w: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Ascensus, Inc.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12/02/2020</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Financial Services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9.00%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15,500,000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15,303,993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15,454,740</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Balboa Capital Corporation</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03/04/2022</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Financial Services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13.00%</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9,500,000</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9,310,597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9,310,000</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(9)</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09/04/2016</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Financial Services</w:t>
            </w:r>
          </w:p>
        </w:tc>
        <w:tc>
          <w:tcPr>
            <w:tcW w:w="10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9,500,000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Bennu Oil &amp; Gas, LLC</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11/01/2018</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8.75%</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23,441,541</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22,439,466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18,772,689</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Carolina Beverage Group, LLC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08/01/2018</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Beverage, Food and Tobacco</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10.63%</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13,125,000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13,125,000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12,862,500</w:t>
            </w:r>
          </w:p>
        </w:tc>
        <w:tc>
          <w:tcPr>
            <w:tcW w:w="0" w:type="dxa"/>
            <w:vAlign w:val="bottom"/>
          </w:tcPr>
          <w:p>
            <w:pPr>
              <w:spacing w:after="0"/>
              <w:rPr>
                <w:sz w:val="1"/>
                <w:szCs w:val="1"/>
                <w:color w:val="auto"/>
              </w:rPr>
            </w:pPr>
          </w:p>
        </w:tc>
      </w:tr>
      <w:tr>
        <w:trPr>
          <w:trHeight w:val="121"/>
        </w:trPr>
        <w:tc>
          <w:tcPr>
            <w:tcW w:w="3680" w:type="dxa"/>
            <w:vAlign w:val="bottom"/>
          </w:tcPr>
          <w:p>
            <w:pPr>
              <w:spacing w:after="0" w:line="121" w:lineRule="exact"/>
              <w:rPr>
                <w:sz w:val="20"/>
                <w:szCs w:val="20"/>
                <w:color w:val="auto"/>
              </w:rPr>
            </w:pPr>
            <w:r>
              <w:rPr>
                <w:rFonts w:ascii="Arial" w:cs="Arial" w:eastAsia="Arial" w:hAnsi="Arial"/>
                <w:sz w:val="13"/>
                <w:szCs w:val="13"/>
                <w:color w:val="auto"/>
              </w:rPr>
              <w:t>Envision Acquisition Company, LLC</w:t>
            </w:r>
          </w:p>
        </w:tc>
        <w:tc>
          <w:tcPr>
            <w:tcW w:w="860" w:type="dxa"/>
            <w:vAlign w:val="bottom"/>
          </w:tcPr>
          <w:p>
            <w:pPr>
              <w:ind w:left="140"/>
              <w:spacing w:after="0" w:line="121" w:lineRule="exact"/>
              <w:rPr>
                <w:sz w:val="20"/>
                <w:szCs w:val="20"/>
                <w:color w:val="auto"/>
              </w:rPr>
            </w:pPr>
            <w:r>
              <w:rPr>
                <w:rFonts w:ascii="Arial" w:cs="Arial" w:eastAsia="Arial" w:hAnsi="Arial"/>
                <w:sz w:val="13"/>
                <w:szCs w:val="13"/>
                <w:color w:val="auto"/>
              </w:rPr>
              <w:t>11/04/2021</w:t>
            </w:r>
          </w:p>
        </w:tc>
        <w:tc>
          <w:tcPr>
            <w:tcW w:w="18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6"/>
              </w:rPr>
              <w:t>Healthcare, Education and</w:t>
            </w:r>
          </w:p>
        </w:tc>
        <w:tc>
          <w:tcPr>
            <w:tcW w:w="10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9.75%</w:t>
            </w:r>
          </w:p>
        </w:tc>
        <w:tc>
          <w:tcPr>
            <w:tcW w:w="10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L+875</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24,700,000</w:t>
            </w:r>
          </w:p>
        </w:tc>
        <w:tc>
          <w:tcPr>
            <w:tcW w:w="9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24,337,530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25,502,750</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0" w:type="dxa"/>
            <w:vAlign w:val="bottom"/>
          </w:tcPr>
          <w:p>
            <w:pPr>
              <w:jc w:val="center"/>
              <w:ind w:right="57"/>
              <w:spacing w:after="0"/>
              <w:rPr>
                <w:sz w:val="20"/>
                <w:szCs w:val="20"/>
                <w:color w:val="auto"/>
              </w:rPr>
            </w:pPr>
            <w:r>
              <w:rPr>
                <w:rFonts w:ascii="Arial" w:cs="Arial" w:eastAsia="Arial" w:hAnsi="Arial"/>
                <w:sz w:val="13"/>
                <w:szCs w:val="13"/>
                <w:color w:val="auto"/>
                <w:w w:val="87"/>
              </w:rPr>
              <w:t>Childcare</w:t>
            </w: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Foundation Building Materials, LLC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04/30/2019</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3"/>
              </w:rPr>
              <w:t>Building Materials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12.00%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50,000,000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49,552,283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49,338,656</w:t>
            </w:r>
          </w:p>
        </w:tc>
        <w:tc>
          <w:tcPr>
            <w:tcW w:w="0" w:type="dxa"/>
            <w:vAlign w:val="bottom"/>
          </w:tcPr>
          <w:p>
            <w:pPr>
              <w:spacing w:after="0"/>
              <w:rPr>
                <w:sz w:val="1"/>
                <w:szCs w:val="1"/>
                <w:color w:val="auto"/>
              </w:rPr>
            </w:pPr>
          </w:p>
        </w:tc>
      </w:tr>
      <w:tr>
        <w:trPr>
          <w:trHeight w:val="121"/>
        </w:trPr>
        <w:tc>
          <w:tcPr>
            <w:tcW w:w="368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860" w:type="dxa"/>
            <w:vAlign w:val="bottom"/>
          </w:tcPr>
          <w:p>
            <w:pPr>
              <w:ind w:left="140"/>
              <w:spacing w:after="0" w:line="121" w:lineRule="exact"/>
              <w:rPr>
                <w:sz w:val="20"/>
                <w:szCs w:val="20"/>
                <w:color w:val="auto"/>
              </w:rPr>
            </w:pPr>
            <w:r>
              <w:rPr>
                <w:rFonts w:ascii="Arial" w:cs="Arial" w:eastAsia="Arial" w:hAnsi="Arial"/>
                <w:sz w:val="13"/>
                <w:szCs w:val="13"/>
                <w:color w:val="auto"/>
              </w:rPr>
              <w:t>04/30/2019</w:t>
            </w:r>
          </w:p>
        </w:tc>
        <w:tc>
          <w:tcPr>
            <w:tcW w:w="18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3"/>
              </w:rPr>
              <w:t>Building Materials</w:t>
            </w:r>
          </w:p>
        </w:tc>
        <w:tc>
          <w:tcPr>
            <w:tcW w:w="10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13.00%</w:t>
            </w:r>
          </w:p>
        </w:tc>
        <w:tc>
          <w:tcPr>
            <w:tcW w:w="10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L+1,200</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32,942,123</w:t>
            </w:r>
          </w:p>
        </w:tc>
        <w:tc>
          <w:tcPr>
            <w:tcW w:w="9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32,405,838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32,982,025</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(PIK 1.00%)</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Howard Berger Co. LLC</w:t>
            </w:r>
          </w:p>
        </w:tc>
        <w:tc>
          <w:tcPr>
            <w:tcW w:w="8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09/30/2020</w:t>
            </w:r>
          </w:p>
        </w:tc>
        <w:tc>
          <w:tcPr>
            <w:tcW w:w="1800" w:type="dxa"/>
            <w:vAlign w:val="bottom"/>
            <w:shd w:val="clear" w:color="auto" w:fill="CCEEFF"/>
          </w:tcPr>
          <w:p>
            <w:pPr>
              <w:jc w:val="center"/>
              <w:ind w:right="57"/>
              <w:spacing w:after="0" w:line="136" w:lineRule="exact"/>
              <w:rPr>
                <w:sz w:val="20"/>
                <w:szCs w:val="20"/>
                <w:color w:val="auto"/>
              </w:rPr>
            </w:pPr>
            <w:r>
              <w:rPr>
                <w:rFonts w:ascii="Arial" w:cs="Arial" w:eastAsia="Arial" w:hAnsi="Arial"/>
                <w:sz w:val="13"/>
                <w:szCs w:val="13"/>
                <w:color w:val="auto"/>
                <w:w w:val="92"/>
              </w:rPr>
              <w:t>Distribution</w:t>
            </w:r>
          </w:p>
        </w:tc>
        <w:tc>
          <w:tcPr>
            <w:tcW w:w="1040" w:type="dxa"/>
            <w:vAlign w:val="bottom"/>
            <w:shd w:val="clear" w:color="auto" w:fill="CCEEFF"/>
          </w:tcPr>
          <w:p>
            <w:pPr>
              <w:jc w:val="right"/>
              <w:ind w:right="197"/>
              <w:spacing w:after="0" w:line="136" w:lineRule="exact"/>
              <w:rPr>
                <w:sz w:val="20"/>
                <w:szCs w:val="20"/>
                <w:color w:val="auto"/>
              </w:rPr>
            </w:pPr>
            <w:r>
              <w:rPr>
                <w:rFonts w:ascii="Arial" w:cs="Arial" w:eastAsia="Arial" w:hAnsi="Arial"/>
                <w:sz w:val="13"/>
                <w:szCs w:val="13"/>
                <w:color w:val="auto"/>
              </w:rPr>
              <w:t>11.00%</w:t>
            </w:r>
          </w:p>
        </w:tc>
        <w:tc>
          <w:tcPr>
            <w:tcW w:w="108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L+1,000</w:t>
            </w:r>
          </w:p>
        </w:tc>
        <w:tc>
          <w:tcPr>
            <w:tcW w:w="76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41,250,000</w:t>
            </w:r>
          </w:p>
        </w:tc>
        <w:tc>
          <w:tcPr>
            <w:tcW w:w="96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38,945,741</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41,250,000</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03/01/2017</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Cargo Transport</w:t>
            </w:r>
          </w:p>
        </w:tc>
        <w:tc>
          <w:tcPr>
            <w:tcW w:w="10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4,162,484</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4,162,486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1,082,246</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07/31/2019</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Consumer Products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11.00%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34,000,000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33,424,509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33,896,558</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10/29/2019</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9"/>
              </w:rPr>
              <w:t>Hotels, Motels, Inns and Gaming</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13.00%</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L+1,175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38,950,000</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38,436,288</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38,950,000</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KIK Custom Products Inc.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10/29/2019</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Consumer Products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9.50%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9,500,000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9,370,024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9,495,250</w:t>
            </w:r>
          </w:p>
        </w:tc>
        <w:tc>
          <w:tcPr>
            <w:tcW w:w="0" w:type="dxa"/>
            <w:vAlign w:val="bottom"/>
          </w:tcPr>
          <w:p>
            <w:pPr>
              <w:spacing w:after="0"/>
              <w:rPr>
                <w:sz w:val="1"/>
                <w:szCs w:val="1"/>
                <w:color w:val="auto"/>
              </w:rPr>
            </w:pPr>
          </w:p>
        </w:tc>
      </w:tr>
      <w:tr>
        <w:trPr>
          <w:trHeight w:val="121"/>
        </w:trPr>
        <w:tc>
          <w:tcPr>
            <w:tcW w:w="3680" w:type="dxa"/>
            <w:vAlign w:val="bottom"/>
          </w:tcPr>
          <w:p>
            <w:pPr>
              <w:spacing w:after="0" w:line="121" w:lineRule="exact"/>
              <w:rPr>
                <w:sz w:val="20"/>
                <w:szCs w:val="20"/>
                <w:color w:val="auto"/>
              </w:rPr>
            </w:pPr>
            <w:r>
              <w:rPr>
                <w:rFonts w:ascii="Arial" w:cs="Arial" w:eastAsia="Arial" w:hAnsi="Arial"/>
                <w:sz w:val="13"/>
                <w:szCs w:val="13"/>
                <w:color w:val="auto"/>
              </w:rPr>
              <w:t>Language Line, LLC</w:t>
            </w:r>
          </w:p>
        </w:tc>
        <w:tc>
          <w:tcPr>
            <w:tcW w:w="860" w:type="dxa"/>
            <w:vAlign w:val="bottom"/>
          </w:tcPr>
          <w:p>
            <w:pPr>
              <w:ind w:left="140"/>
              <w:spacing w:after="0" w:line="121" w:lineRule="exact"/>
              <w:rPr>
                <w:sz w:val="20"/>
                <w:szCs w:val="20"/>
                <w:color w:val="auto"/>
              </w:rPr>
            </w:pPr>
            <w:r>
              <w:rPr>
                <w:rFonts w:ascii="Arial" w:cs="Arial" w:eastAsia="Arial" w:hAnsi="Arial"/>
                <w:sz w:val="13"/>
                <w:szCs w:val="13"/>
                <w:color w:val="auto"/>
              </w:rPr>
              <w:t>12/20/2016</w:t>
            </w:r>
          </w:p>
        </w:tc>
        <w:tc>
          <w:tcPr>
            <w:tcW w:w="18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4"/>
              </w:rPr>
              <w:t>Personal, Food and</w:t>
            </w:r>
          </w:p>
        </w:tc>
        <w:tc>
          <w:tcPr>
            <w:tcW w:w="10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10.50%</w:t>
            </w:r>
          </w:p>
        </w:tc>
        <w:tc>
          <w:tcPr>
            <w:tcW w:w="10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L+875</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41,812,500</w:t>
            </w:r>
          </w:p>
        </w:tc>
        <w:tc>
          <w:tcPr>
            <w:tcW w:w="9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41,472,628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41,498,906</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0" w:type="dxa"/>
            <w:vAlign w:val="bottom"/>
          </w:tcPr>
          <w:p>
            <w:pPr>
              <w:jc w:val="center"/>
              <w:ind w:right="57"/>
              <w:spacing w:after="0"/>
              <w:rPr>
                <w:sz w:val="20"/>
                <w:szCs w:val="20"/>
                <w:color w:val="auto"/>
              </w:rPr>
            </w:pPr>
            <w:r>
              <w:rPr>
                <w:rFonts w:ascii="Arial" w:cs="Arial" w:eastAsia="Arial" w:hAnsi="Arial"/>
                <w:sz w:val="13"/>
                <w:szCs w:val="13"/>
                <w:color w:val="auto"/>
                <w:w w:val="88"/>
              </w:rPr>
              <w:t>Miscellaneous Services</w:t>
            </w: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10/31/2017</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12.50%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11,875,000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11,629,694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10,687,500</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05/15/2019</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11.75%</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45,000,000</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44,657,183</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43,200,000</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07/07/2021</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Business Services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11.75%</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41,250,000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40,864,704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41,250,000</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12/17/2021</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9"/>
              </w:rPr>
              <w:t>Hotels, Motels, Inns and Gaming</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13.00%</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L+1,200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75,000,000</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75,000,000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75,000,000</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10/02/2020</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0"/>
              </w:rPr>
              <w:t>Media</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9.00%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21,000,000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20,749,650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21,052,500</w:t>
            </w:r>
          </w:p>
        </w:tc>
        <w:tc>
          <w:tcPr>
            <w:tcW w:w="0" w:type="dxa"/>
            <w:vAlign w:val="bottom"/>
          </w:tcPr>
          <w:p>
            <w:pPr>
              <w:spacing w:after="0"/>
              <w:rPr>
                <w:sz w:val="1"/>
                <w:szCs w:val="1"/>
                <w:color w:val="auto"/>
              </w:rPr>
            </w:pPr>
          </w:p>
        </w:tc>
      </w:tr>
      <w:tr>
        <w:trPr>
          <w:trHeight w:val="121"/>
        </w:trPr>
        <w:tc>
          <w:tcPr>
            <w:tcW w:w="3680" w:type="dxa"/>
            <w:vAlign w:val="bottom"/>
          </w:tcPr>
          <w:p>
            <w:pPr>
              <w:spacing w:after="0" w:line="121" w:lineRule="exact"/>
              <w:rPr>
                <w:sz w:val="20"/>
                <w:szCs w:val="20"/>
                <w:color w:val="auto"/>
              </w:rPr>
            </w:pPr>
            <w:r>
              <w:rPr>
                <w:rFonts w:ascii="Arial" w:cs="Arial" w:eastAsia="Arial" w:hAnsi="Arial"/>
                <w:sz w:val="13"/>
                <w:szCs w:val="13"/>
                <w:color w:val="auto"/>
              </w:rPr>
              <w:t>Pre-Paid Legal Services, Inc.</w:t>
            </w:r>
          </w:p>
        </w:tc>
        <w:tc>
          <w:tcPr>
            <w:tcW w:w="860" w:type="dxa"/>
            <w:vAlign w:val="bottom"/>
          </w:tcPr>
          <w:p>
            <w:pPr>
              <w:ind w:left="140"/>
              <w:spacing w:after="0" w:line="121" w:lineRule="exact"/>
              <w:rPr>
                <w:sz w:val="20"/>
                <w:szCs w:val="20"/>
                <w:color w:val="auto"/>
              </w:rPr>
            </w:pPr>
            <w:r>
              <w:rPr>
                <w:rFonts w:ascii="Arial" w:cs="Arial" w:eastAsia="Arial" w:hAnsi="Arial"/>
                <w:sz w:val="13"/>
                <w:szCs w:val="13"/>
                <w:color w:val="auto"/>
              </w:rPr>
              <w:t>07/01/2020</w:t>
            </w:r>
          </w:p>
        </w:tc>
        <w:tc>
          <w:tcPr>
            <w:tcW w:w="18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4"/>
              </w:rPr>
              <w:t>Personal, Food and</w:t>
            </w:r>
          </w:p>
        </w:tc>
        <w:tc>
          <w:tcPr>
            <w:tcW w:w="10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9.75%</w:t>
            </w:r>
          </w:p>
        </w:tc>
        <w:tc>
          <w:tcPr>
            <w:tcW w:w="10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L+850</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56,750,000</w:t>
            </w:r>
          </w:p>
        </w:tc>
        <w:tc>
          <w:tcPr>
            <w:tcW w:w="9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56,083,541</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56,561,022</w:t>
            </w: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0" w:type="dxa"/>
            <w:vAlign w:val="bottom"/>
          </w:tcPr>
          <w:p>
            <w:pPr>
              <w:jc w:val="center"/>
              <w:ind w:right="57"/>
              <w:spacing w:after="0"/>
              <w:rPr>
                <w:sz w:val="20"/>
                <w:szCs w:val="20"/>
                <w:color w:val="auto"/>
              </w:rPr>
            </w:pPr>
            <w:r>
              <w:rPr>
                <w:rFonts w:ascii="Arial" w:cs="Arial" w:eastAsia="Arial" w:hAnsi="Arial"/>
                <w:sz w:val="13"/>
                <w:szCs w:val="13"/>
                <w:color w:val="auto"/>
                <w:w w:val="88"/>
              </w:rPr>
              <w:t>Miscellaneous Services</w:t>
            </w: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86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606,671,155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601,578,842</w:t>
            </w:r>
          </w:p>
        </w:tc>
        <w:tc>
          <w:tcPr>
            <w:tcW w:w="0" w:type="dxa"/>
            <w:vAlign w:val="bottom"/>
          </w:tcPr>
          <w:p>
            <w:pPr>
              <w:spacing w:after="0"/>
              <w:rPr>
                <w:sz w:val="1"/>
                <w:szCs w:val="1"/>
                <w:color w:val="auto"/>
              </w:rPr>
            </w:pPr>
          </w:p>
        </w:tc>
      </w:tr>
      <w:tr>
        <w:trPr>
          <w:trHeight w:val="142"/>
        </w:trPr>
        <w:tc>
          <w:tcPr>
            <w:tcW w:w="368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Notes—23.2%</w:t>
            </w:r>
          </w:p>
        </w:tc>
        <w:tc>
          <w:tcPr>
            <w:tcW w:w="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Acentia, LLC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10/02/2017</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8"/>
              </w:rPr>
              <w:t>Electronics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13.75%</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19,000,000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18,739,350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19,190,000</w:t>
            </w:r>
          </w:p>
        </w:tc>
        <w:tc>
          <w:tcPr>
            <w:tcW w:w="0" w:type="dxa"/>
            <w:vAlign w:val="bottom"/>
          </w:tcPr>
          <w:p>
            <w:pPr>
              <w:spacing w:after="0"/>
              <w:rPr>
                <w:sz w:val="1"/>
                <w:szCs w:val="1"/>
                <w:color w:val="auto"/>
              </w:rPr>
            </w:pPr>
          </w:p>
        </w:tc>
      </w:tr>
      <w:tr>
        <w:trPr>
          <w:trHeight w:val="121"/>
        </w:trPr>
        <w:tc>
          <w:tcPr>
            <w:tcW w:w="3680" w:type="dxa"/>
            <w:vAlign w:val="bottom"/>
          </w:tcPr>
          <w:p>
            <w:pPr>
              <w:spacing w:after="0" w:line="121" w:lineRule="exact"/>
              <w:rPr>
                <w:sz w:val="20"/>
                <w:szCs w:val="20"/>
                <w:color w:val="auto"/>
              </w:rPr>
            </w:pPr>
            <w:r>
              <w:rPr>
                <w:rFonts w:ascii="Arial" w:cs="Arial" w:eastAsia="Arial" w:hAnsi="Arial"/>
                <w:sz w:val="13"/>
                <w:szCs w:val="13"/>
                <w:color w:val="auto"/>
              </w:rPr>
              <w:t>Affinion Group Holdings, Inc.</w:t>
            </w:r>
          </w:p>
        </w:tc>
        <w:tc>
          <w:tcPr>
            <w:tcW w:w="860" w:type="dxa"/>
            <w:vAlign w:val="bottom"/>
          </w:tcPr>
          <w:p>
            <w:pPr>
              <w:ind w:left="140"/>
              <w:spacing w:after="0" w:line="121" w:lineRule="exact"/>
              <w:rPr>
                <w:sz w:val="20"/>
                <w:szCs w:val="20"/>
                <w:color w:val="auto"/>
              </w:rPr>
            </w:pPr>
            <w:r>
              <w:rPr>
                <w:rFonts w:ascii="Arial" w:cs="Arial" w:eastAsia="Arial" w:hAnsi="Arial"/>
                <w:sz w:val="13"/>
                <w:szCs w:val="13"/>
                <w:color w:val="auto"/>
              </w:rPr>
              <w:t>09/14/2018</w:t>
            </w:r>
          </w:p>
        </w:tc>
        <w:tc>
          <w:tcPr>
            <w:tcW w:w="18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7"/>
              </w:rPr>
              <w:t>Consumer Products</w:t>
            </w:r>
          </w:p>
        </w:tc>
        <w:tc>
          <w:tcPr>
            <w:tcW w:w="10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14.50%</w:t>
            </w:r>
          </w:p>
        </w:tc>
        <w:tc>
          <w:tcPr>
            <w:tcW w:w="10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38,591,964</w:t>
            </w:r>
          </w:p>
        </w:tc>
        <w:tc>
          <w:tcPr>
            <w:tcW w:w="9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34,500,495</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25,084,777</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(PIK 14.50%)</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Affinion Investments LLC</w:t>
            </w:r>
          </w:p>
        </w:tc>
        <w:tc>
          <w:tcPr>
            <w:tcW w:w="8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08/15/2018</w:t>
            </w:r>
          </w:p>
        </w:tc>
        <w:tc>
          <w:tcPr>
            <w:tcW w:w="1800" w:type="dxa"/>
            <w:vAlign w:val="bottom"/>
            <w:shd w:val="clear" w:color="auto" w:fill="CCEEFF"/>
          </w:tcPr>
          <w:p>
            <w:pPr>
              <w:jc w:val="center"/>
              <w:ind w:right="57"/>
              <w:spacing w:after="0" w:line="136" w:lineRule="exact"/>
              <w:rPr>
                <w:sz w:val="20"/>
                <w:szCs w:val="20"/>
                <w:color w:val="auto"/>
              </w:rPr>
            </w:pPr>
            <w:r>
              <w:rPr>
                <w:rFonts w:ascii="Arial" w:cs="Arial" w:eastAsia="Arial" w:hAnsi="Arial"/>
                <w:sz w:val="13"/>
                <w:szCs w:val="13"/>
                <w:color w:val="auto"/>
                <w:w w:val="87"/>
              </w:rPr>
              <w:t>Consumer Products</w:t>
            </w:r>
          </w:p>
        </w:tc>
        <w:tc>
          <w:tcPr>
            <w:tcW w:w="1040" w:type="dxa"/>
            <w:vAlign w:val="bottom"/>
            <w:shd w:val="clear" w:color="auto" w:fill="CCEEFF"/>
          </w:tcPr>
          <w:p>
            <w:pPr>
              <w:jc w:val="right"/>
              <w:ind w:right="197"/>
              <w:spacing w:after="0" w:line="136" w:lineRule="exact"/>
              <w:rPr>
                <w:sz w:val="20"/>
                <w:szCs w:val="20"/>
                <w:color w:val="auto"/>
              </w:rPr>
            </w:pPr>
            <w:r>
              <w:rPr>
                <w:rFonts w:ascii="Arial" w:cs="Arial" w:eastAsia="Arial" w:hAnsi="Arial"/>
                <w:sz w:val="13"/>
                <w:szCs w:val="13"/>
                <w:color w:val="auto"/>
              </w:rPr>
              <w:t>13.50%</w:t>
            </w:r>
          </w:p>
        </w:tc>
        <w:tc>
          <w:tcPr>
            <w:tcW w:w="108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15,096,000</w:t>
            </w:r>
          </w:p>
        </w:tc>
        <w:tc>
          <w:tcPr>
            <w:tcW w:w="96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15,096,000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9,208,560</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02/15/2019</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Financial Services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12.00%</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8,930,000</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8,802,288</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8,747,354</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LP Holdings, LLC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08/20/2021</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Environmental Services</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12.00%</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23,600,000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23,078,145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23,069,000</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02/20/2017</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Environmental Services</w:t>
            </w: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15,000,000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86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10/26/2018</w:t>
            </w:r>
          </w:p>
        </w:tc>
        <w:tc>
          <w:tcPr>
            <w:tcW w:w="180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4"/>
              </w:rPr>
              <w:t>Personal, Food and</w:t>
            </w:r>
          </w:p>
        </w:tc>
        <w:tc>
          <w:tcPr>
            <w:tcW w:w="10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13.00%</w:t>
            </w:r>
          </w:p>
        </w:tc>
        <w:tc>
          <w:tcPr>
            <w:tcW w:w="108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10,706,207</w:t>
            </w:r>
          </w:p>
        </w:tc>
        <w:tc>
          <w:tcPr>
            <w:tcW w:w="960" w:type="dxa"/>
            <w:vAlign w:val="bottom"/>
            <w:gridSpan w:val="3"/>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10,552,317</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10,742,606</w:t>
            </w: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8"/>
              </w:rPr>
              <w:t>Miscellaneous Services</w:t>
            </w:r>
          </w:p>
        </w:tc>
        <w:tc>
          <w:tcPr>
            <w:tcW w:w="10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(PIK 1.75%)</w:t>
            </w:r>
          </w:p>
        </w:tc>
        <w:tc>
          <w:tcPr>
            <w:tcW w:w="10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 xml:space="preserve">Energy &amp; Exploration Partners, Inc. </w:t>
            </w:r>
            <w:r>
              <w:rPr>
                <w:rFonts w:ascii="Arial" w:cs="Arial" w:eastAsia="Arial" w:hAnsi="Arial"/>
                <w:sz w:val="10"/>
                <w:szCs w:val="10"/>
                <w:color w:val="auto"/>
              </w:rPr>
              <w:t>(5)</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07/01/2019</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8.00%</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9,500,000</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9,500,000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3,515,000</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MSPark, Inc.</w:t>
            </w:r>
          </w:p>
        </w:tc>
        <w:tc>
          <w:tcPr>
            <w:tcW w:w="8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06/15/2017</w:t>
            </w:r>
          </w:p>
        </w:tc>
        <w:tc>
          <w:tcPr>
            <w:tcW w:w="18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0"/>
              </w:rPr>
              <w:t>Printing and Publishing</w:t>
            </w:r>
          </w:p>
        </w:tc>
        <w:tc>
          <w:tcPr>
            <w:tcW w:w="10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10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15,000,000</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14,801,889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21"/>
        </w:trPr>
        <w:tc>
          <w:tcPr>
            <w:tcW w:w="3680" w:type="dxa"/>
            <w:vAlign w:val="bottom"/>
          </w:tcPr>
          <w:p>
            <w:pPr>
              <w:spacing w:after="0" w:line="121"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860" w:type="dxa"/>
            <w:vAlign w:val="bottom"/>
          </w:tcPr>
          <w:p>
            <w:pPr>
              <w:ind w:left="140"/>
              <w:spacing w:after="0" w:line="121" w:lineRule="exact"/>
              <w:rPr>
                <w:sz w:val="20"/>
                <w:szCs w:val="20"/>
                <w:color w:val="auto"/>
              </w:rPr>
            </w:pPr>
            <w:r>
              <w:rPr>
                <w:rFonts w:ascii="Arial" w:cs="Arial" w:eastAsia="Arial" w:hAnsi="Arial"/>
                <w:sz w:val="13"/>
                <w:szCs w:val="13"/>
                <w:color w:val="auto"/>
              </w:rPr>
              <w:t>11/15/2019</w:t>
            </w:r>
          </w:p>
        </w:tc>
        <w:tc>
          <w:tcPr>
            <w:tcW w:w="18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7"/>
              </w:rPr>
              <w:t>Oil and Gas</w:t>
            </w:r>
          </w:p>
        </w:tc>
        <w:tc>
          <w:tcPr>
            <w:tcW w:w="10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12.00%</w:t>
            </w:r>
          </w:p>
        </w:tc>
        <w:tc>
          <w:tcPr>
            <w:tcW w:w="10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14,337,000</w:t>
            </w:r>
          </w:p>
        </w:tc>
        <w:tc>
          <w:tcPr>
            <w:tcW w:w="9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13,921,278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8,602,200</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(PIK 12.00%)</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4"/>
              </w:rPr>
              <w:t>Randall-Reilly, LLC (f/k/a Randall-Reilly Publishing Company, LLC)</w:t>
            </w:r>
          </w:p>
        </w:tc>
        <w:tc>
          <w:tcPr>
            <w:tcW w:w="8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04/15/2019</w:t>
            </w:r>
          </w:p>
        </w:tc>
        <w:tc>
          <w:tcPr>
            <w:tcW w:w="1800" w:type="dxa"/>
            <w:vAlign w:val="bottom"/>
            <w:shd w:val="clear" w:color="auto" w:fill="CCEEFF"/>
          </w:tcPr>
          <w:p>
            <w:pPr>
              <w:jc w:val="center"/>
              <w:ind w:right="57"/>
              <w:spacing w:after="0" w:line="136" w:lineRule="exact"/>
              <w:rPr>
                <w:sz w:val="20"/>
                <w:szCs w:val="20"/>
                <w:color w:val="auto"/>
              </w:rPr>
            </w:pPr>
            <w:r>
              <w:rPr>
                <w:rFonts w:ascii="Arial" w:cs="Arial" w:eastAsia="Arial" w:hAnsi="Arial"/>
                <w:sz w:val="13"/>
                <w:szCs w:val="13"/>
                <w:color w:val="auto"/>
                <w:w w:val="89"/>
              </w:rPr>
              <w:t>Other Media</w:t>
            </w:r>
          </w:p>
        </w:tc>
        <w:tc>
          <w:tcPr>
            <w:tcW w:w="104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108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42,275,000</w:t>
            </w:r>
          </w:p>
        </w:tc>
        <w:tc>
          <w:tcPr>
            <w:tcW w:w="96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41,552,390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42,296,915</w:t>
            </w: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05/13/2021</w:t>
            </w:r>
          </w:p>
        </w:tc>
        <w:tc>
          <w:tcPr>
            <w:tcW w:w="18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Manufacturing / Basic Industries</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11.00%</w:t>
            </w:r>
          </w:p>
        </w:tc>
        <w:tc>
          <w:tcPr>
            <w:tcW w:w="10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13,300,000</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13,043,403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13,034,000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6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86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203,587,555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178,490,412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Spread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Maturity /</w:t>
            </w:r>
          </w:p>
        </w:tc>
        <w:tc>
          <w:tcPr>
            <w:tcW w:w="1840" w:type="dxa"/>
            <w:vAlign w:val="bottom"/>
          </w:tcPr>
          <w:p>
            <w:pPr>
              <w:spacing w:after="0"/>
              <w:rPr>
                <w:sz w:val="11"/>
                <w:szCs w:val="11"/>
                <w:color w:val="auto"/>
              </w:rPr>
            </w:pPr>
          </w:p>
        </w:tc>
        <w:tc>
          <w:tcPr>
            <w:tcW w:w="92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Current</w:t>
            </w:r>
          </w:p>
        </w:tc>
        <w:tc>
          <w:tcPr>
            <w:tcW w:w="10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vMerge w:val="continue"/>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rPr>
              <w:t>Expiration</w:t>
            </w:r>
          </w:p>
        </w:tc>
        <w:tc>
          <w:tcPr>
            <w:tcW w:w="1840" w:type="dxa"/>
            <w:vAlign w:val="bottom"/>
          </w:tcPr>
          <w:p>
            <w:pPr>
              <w:ind w:left="640"/>
              <w:spacing w:after="0"/>
              <w:rPr>
                <w:sz w:val="20"/>
                <w:szCs w:val="20"/>
                <w:color w:val="auto"/>
              </w:rPr>
            </w:pPr>
            <w:r>
              <w:rPr>
                <w:rFonts w:ascii="Arial" w:cs="Arial" w:eastAsia="Arial" w:hAnsi="Arial"/>
                <w:sz w:val="13"/>
                <w:szCs w:val="13"/>
                <w:b w:val="1"/>
                <w:bCs w:val="1"/>
                <w:color w:val="auto"/>
              </w:rPr>
              <w:t>Industry</w:t>
            </w:r>
          </w:p>
        </w:tc>
        <w:tc>
          <w:tcPr>
            <w:tcW w:w="920" w:type="dxa"/>
            <w:vAlign w:val="bottom"/>
          </w:tcPr>
          <w:p>
            <w:pPr>
              <w:jc w:val="right"/>
              <w:ind w:right="297"/>
              <w:spacing w:after="0"/>
              <w:rPr>
                <w:sz w:val="20"/>
                <w:szCs w:val="20"/>
                <w:color w:val="auto"/>
              </w:rPr>
            </w:pPr>
            <w:r>
              <w:rPr>
                <w:rFonts w:ascii="Arial" w:cs="Arial" w:eastAsia="Arial" w:hAnsi="Arial"/>
                <w:sz w:val="13"/>
                <w:szCs w:val="13"/>
                <w:b w:val="1"/>
                <w:bCs w:val="1"/>
                <w:color w:val="auto"/>
              </w:rPr>
              <w:t>Coupon</w:t>
            </w:r>
          </w:p>
        </w:tc>
        <w:tc>
          <w:tcPr>
            <w:tcW w:w="102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8"/>
        </w:trPr>
        <w:tc>
          <w:tcPr>
            <w:tcW w:w="40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Equity/Partnership Interests—1.6% </w:t>
            </w:r>
            <w:r>
              <w:rPr>
                <w:rFonts w:ascii="Arial" w:cs="Arial" w:eastAsia="Arial" w:hAnsi="Arial"/>
                <w:sz w:val="10"/>
                <w:szCs w:val="10"/>
                <w:b w:val="1"/>
                <w:bCs w:val="1"/>
                <w:color w:val="auto"/>
              </w:rPr>
              <w:t>(6)</w:t>
            </w:r>
          </w:p>
        </w:tc>
        <w:tc>
          <w:tcPr>
            <w:tcW w:w="680" w:type="dxa"/>
            <w:vAlign w:val="bottom"/>
            <w:tcBorders>
              <w:top w:val="single" w:sz="8" w:color="auto"/>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6.00%</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211</w:t>
            </w:r>
          </w:p>
        </w:tc>
        <w:tc>
          <w:tcPr>
            <w:tcW w:w="1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500,000</w:t>
            </w:r>
          </w:p>
        </w:tc>
        <w:tc>
          <w:tcPr>
            <w:tcW w:w="1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113,223</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 (Alegeus Technologies, LLC)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949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949,050</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920,104</w:t>
            </w: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CI (IHS) Investment Holdings, LLC</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8.00%</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76,357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765,307</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2,911,424</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38,179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8.00%</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2,088,121</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2,135,850</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8.00%</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3,591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J.A. Cosmetics US, Inc.</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8.00%</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3,397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3,397,484</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3,727,583</w:t>
            </w:r>
          </w:p>
        </w:tc>
        <w:tc>
          <w:tcPr>
            <w:tcW w:w="0" w:type="dxa"/>
            <w:vAlign w:val="bottom"/>
          </w:tcPr>
          <w:p>
            <w:pPr>
              <w:spacing w:after="0"/>
              <w:rPr>
                <w:sz w:val="1"/>
                <w:szCs w:val="1"/>
                <w:color w:val="auto"/>
              </w:rPr>
            </w:pPr>
          </w:p>
        </w:tc>
      </w:tr>
      <w:tr>
        <w:trPr>
          <w:trHeight w:val="149"/>
        </w:trPr>
        <w:tc>
          <w:tcPr>
            <w:tcW w:w="4000" w:type="dxa"/>
            <w:vAlign w:val="bottom"/>
          </w:tcPr>
          <w:p>
            <w:pPr>
              <w:ind w:left="140"/>
              <w:spacing w:after="0"/>
              <w:rPr>
                <w:sz w:val="20"/>
                <w:szCs w:val="20"/>
                <w:color w:val="auto"/>
              </w:rPr>
            </w:pPr>
            <w:r>
              <w:rPr>
                <w:rFonts w:ascii="Arial" w:cs="Arial" w:eastAsia="Arial" w:hAnsi="Arial"/>
                <w:sz w:val="13"/>
                <w:szCs w:val="13"/>
                <w:color w:val="auto"/>
              </w:rPr>
              <w:t>(J.A. Cosmetics Holdings, Inc.)</w:t>
            </w: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Holdings, Inc.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8.00%</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1,966,667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2,102,669</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1,353,677</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1,197,000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1,239,012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6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10,999,631</w:t>
            </w: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12,425,050</w:t>
            </w:r>
          </w:p>
        </w:tc>
        <w:tc>
          <w:tcPr>
            <w:tcW w:w="0" w:type="dxa"/>
            <w:vAlign w:val="bottom"/>
          </w:tcPr>
          <w:p>
            <w:pPr>
              <w:spacing w:after="0"/>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Interests/Warrants—8.8% </w:t>
            </w:r>
            <w:r>
              <w:rPr>
                <w:rFonts w:ascii="Arial" w:cs="Arial" w:eastAsia="Arial" w:hAnsi="Arial"/>
                <w:sz w:val="10"/>
                <w:szCs w:val="10"/>
                <w:b w:val="1"/>
                <w:bCs w:val="1"/>
                <w:color w:val="auto"/>
              </w:rPr>
              <w:t>(6)</w:t>
            </w: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 (f/k/a Z Wireless Holdings, Inc.)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1,736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445,500</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2,157,104</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 xml:space="preserve">Acentia, LLC, Class A Units </w:t>
            </w:r>
            <w:r>
              <w:rPr>
                <w:rFonts w:ascii="Arial" w:cs="Arial" w:eastAsia="Arial" w:hAnsi="Arial"/>
                <w:sz w:val="10"/>
                <w:szCs w:val="10"/>
                <w:color w:val="auto"/>
              </w:rPr>
              <w:t>(11)</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1,846,448</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 Series A</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12/12/2023</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4,798,624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10,265,972</w:t>
            </w:r>
          </w:p>
        </w:tc>
        <w:tc>
          <w:tcPr>
            <w:tcW w:w="16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4,678,659</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6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Affinion Group Holdings, Inc., Series B</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9"/>
              </w:rPr>
              <w:t>12/12/2023</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9,822,196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49"/>
        </w:trPr>
        <w:tc>
          <w:tcPr>
            <w:tcW w:w="4000" w:type="dxa"/>
            <w:vAlign w:val="bottom"/>
          </w:tcPr>
          <w:p>
            <w:pPr>
              <w:ind w:left="140"/>
              <w:spacing w:after="0"/>
              <w:rPr>
                <w:sz w:val="20"/>
                <w:szCs w:val="20"/>
                <w:color w:val="auto"/>
              </w:rPr>
            </w:pPr>
            <w:r>
              <w:rPr>
                <w:rFonts w:ascii="Arial" w:cs="Arial" w:eastAsia="Arial" w:hAnsi="Arial"/>
                <w:sz w:val="13"/>
                <w:szCs w:val="13"/>
                <w:color w:val="auto"/>
              </w:rPr>
              <w:t>(Warrants)</w:t>
            </w: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 (Warrants)</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03/23/2021</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753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Alegeus Technologies Holding Corp.</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7"/>
              </w:rPr>
              <w:t>Financial Services</w:t>
            </w:r>
          </w:p>
        </w:tc>
        <w:tc>
          <w:tcPr>
            <w:tcW w:w="92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950</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921</w:t>
            </w:r>
          </w:p>
        </w:tc>
        <w:tc>
          <w:tcPr>
            <w:tcW w:w="0" w:type="dxa"/>
            <w:vAlign w:val="bottom"/>
          </w:tcPr>
          <w:p>
            <w:pPr>
              <w:spacing w:after="0"/>
              <w:rPr>
                <w:sz w:val="1"/>
                <w:szCs w:val="1"/>
                <w:color w:val="auto"/>
              </w:rPr>
            </w:pPr>
          </w:p>
        </w:tc>
      </w:tr>
      <w:tr>
        <w:trPr>
          <w:trHeight w:val="149"/>
        </w:trPr>
        <w:tc>
          <w:tcPr>
            <w:tcW w:w="4000" w:type="dxa"/>
            <w:vAlign w:val="bottom"/>
          </w:tcPr>
          <w:p>
            <w:pPr>
              <w:ind w:left="140"/>
              <w:spacing w:after="0"/>
              <w:rPr>
                <w:sz w:val="20"/>
                <w:szCs w:val="20"/>
                <w:color w:val="auto"/>
              </w:rPr>
            </w:pPr>
            <w:r>
              <w:rPr>
                <w:rFonts w:ascii="Arial" w:cs="Arial" w:eastAsia="Arial" w:hAnsi="Arial"/>
                <w:sz w:val="13"/>
                <w:szCs w:val="13"/>
                <w:color w:val="auto"/>
              </w:rPr>
              <w:t>(Alegeus Technologies, LLC)</w:t>
            </w: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05/05/2026</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586,975</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628,364</w:t>
            </w: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Autumn Games, LLC</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Broadcasting and</w:t>
            </w:r>
          </w:p>
        </w:tc>
        <w:tc>
          <w:tcPr>
            <w:tcW w:w="92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1,333,330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3,000,000</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8"/>
              </w:rPr>
              <w:t>Entertainment</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137,923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2,111,588</w:t>
            </w:r>
          </w:p>
        </w:tc>
        <w:tc>
          <w:tcPr>
            <w:tcW w:w="16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(Intermediate Transportation 100, L.L.C.)</w:t>
            </w:r>
          </w:p>
        </w:tc>
        <w:tc>
          <w:tcPr>
            <w:tcW w:w="6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23,600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2,360,000</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2,360,000</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9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207,242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2,250,000</w:t>
            </w:r>
          </w:p>
        </w:tc>
        <w:tc>
          <w:tcPr>
            <w:tcW w:w="16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3,449,159</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6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92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103,621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1,505,000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1,505,000</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2,156,128</w:t>
            </w: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CI (IHS) Investment Holdings, LLC</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23,416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234,693</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892,877</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11,708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1,045,981</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388,378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2,169,275</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J.A. Cosmetics US, Inc. (J.A. Cosmetics Holdings, Inc.)</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2,516</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142,003</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A</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1,079,920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1,236,832</w:t>
            </w:r>
          </w:p>
        </w:tc>
        <w:tc>
          <w:tcPr>
            <w:tcW w:w="16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7,792,357</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Kadmon Holdings, LLC, Class D</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1,079,920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1,028,807</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969,340</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730,475</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04/16/2016</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122,192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182,498</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8,553</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MidOcean PPL Holdings, Corp. (Pre-Paid Legal Services, Inc.)</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3,000,000</w:t>
            </w:r>
          </w:p>
        </w:tc>
        <w:tc>
          <w:tcPr>
            <w:tcW w:w="16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6,277,844</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Miscellaneous</w:t>
            </w:r>
          </w:p>
        </w:tc>
        <w:tc>
          <w:tcPr>
            <w:tcW w:w="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Services</w:t>
            </w: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05/09/2024</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495,000</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11/27/2023</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123,129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238,049</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1,234,984</w:t>
            </w: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Paradigm Acquisition Corp.</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20,000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770,804</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3,243,924</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1,350,000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970,563</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1,534,832</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150,000</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1,908,364</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1,870,331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148,998</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142,295</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Ride Holdings, Inc.</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9,882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11,314</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133,000</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262,091</w:t>
            </w: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SPG Boyd Holdings Corp.</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Chemicals, Plastics and</w:t>
            </w:r>
          </w:p>
        </w:tc>
        <w:tc>
          <w:tcPr>
            <w:tcW w:w="92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2,648,422</w:t>
            </w:r>
          </w:p>
        </w:tc>
        <w:tc>
          <w:tcPr>
            <w:tcW w:w="16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11,995,599</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4"/>
              </w:rPr>
              <w:t>Rubber</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 (Warrants)</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12/29/2019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29,400</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9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211,797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793,873</w:t>
            </w: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3,738,461</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35,526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4,050,000</w:t>
            </w: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5,898,955</w:t>
            </w:r>
          </w:p>
        </w:tc>
        <w:tc>
          <w:tcPr>
            <w:tcW w:w="0" w:type="dxa"/>
            <w:vAlign w:val="bottom"/>
          </w:tcPr>
          <w:p>
            <w:pPr>
              <w:spacing w:after="0"/>
              <w:rPr>
                <w:sz w:val="1"/>
                <w:szCs w:val="1"/>
                <w:color w:val="auto"/>
              </w:rPr>
            </w:pPr>
          </w:p>
        </w:tc>
      </w:tr>
      <w:tr>
        <w:trPr>
          <w:trHeight w:val="149"/>
        </w:trPr>
        <w:tc>
          <w:tcPr>
            <w:tcW w:w="400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41,650,754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67,461,437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9"/>
              </w:rPr>
              <w:t>Total Investments in Non-Controlled, Non-Affiliated Portfolio Companies</w:t>
            </w:r>
          </w:p>
        </w:tc>
        <w:tc>
          <w:tcPr>
            <w:tcW w:w="6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4"/>
              </w:rPr>
              <w:t>1,103,030,048</w:t>
            </w: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1"/>
              </w:rPr>
              <w:t>1,094,956,490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Current</w:t>
            </w: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Above</w:t>
            </w:r>
          </w:p>
        </w:tc>
        <w:tc>
          <w:tcPr>
            <w:tcW w:w="6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80" w:type="dxa"/>
            <w:vAlign w:val="bottom"/>
            <w:gridSpan w:val="2"/>
            <w:vMerge w:val="continue"/>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Expiration</w:t>
            </w:r>
          </w:p>
        </w:tc>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Coupon</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6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6"/>
              </w:rPr>
              <w:t>Investments</w:t>
            </w:r>
          </w:p>
        </w:tc>
        <w:tc>
          <w:tcPr>
            <w:tcW w:w="4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 xml:space="preserve">in Non-Controlled, Affiliated Portfolio Companies—20.0% </w:t>
            </w:r>
            <w:r>
              <w:rPr>
                <w:rFonts w:ascii="Arial" w:cs="Arial" w:eastAsia="Arial" w:hAnsi="Arial"/>
                <w:sz w:val="10"/>
                <w:szCs w:val="10"/>
                <w:b w:val="1"/>
                <w:bCs w:val="1"/>
                <w:color w:val="auto"/>
              </w:rPr>
              <w:t>(1), (2)</w:t>
            </w: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First Lien Secured Debt—10.9%</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RAM Energy LLC, Tranche A</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07/18/2019</w:t>
            </w:r>
          </w:p>
        </w:tc>
        <w:tc>
          <w:tcPr>
            <w:tcW w:w="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89"/>
              </w:rPr>
              <w:t>Energy and Utilities</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12.00%</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L+1,000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75,000,000</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73,596,259</w:t>
            </w: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66,000,000</w:t>
            </w:r>
          </w:p>
        </w:tc>
        <w:tc>
          <w:tcPr>
            <w:tcW w:w="0" w:type="dxa"/>
            <w:vAlign w:val="bottom"/>
          </w:tcPr>
          <w:p>
            <w:pPr>
              <w:spacing w:after="0"/>
              <w:rPr>
                <w:sz w:val="1"/>
                <w:szCs w:val="1"/>
                <w:color w:val="auto"/>
              </w:rPr>
            </w:pP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3"/>
                <w:szCs w:val="13"/>
                <w:color w:val="auto"/>
              </w:rPr>
              <w:t>RAM Energy LLC, Tranche B</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07/20/2015</w:t>
            </w:r>
          </w:p>
        </w:tc>
        <w:tc>
          <w:tcPr>
            <w:tcW w:w="6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9"/>
              </w:rPr>
              <w:t>Energy and Utilities</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15.00%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L+1,300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20,000,000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19,781,585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17,600,000</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93,377,844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83,600,000</w:t>
            </w:r>
          </w:p>
        </w:tc>
        <w:tc>
          <w:tcPr>
            <w:tcW w:w="0" w:type="dxa"/>
            <w:vAlign w:val="bottom"/>
          </w:tcPr>
          <w:p>
            <w:pPr>
              <w:spacing w:after="0"/>
              <w:rPr>
                <w:sz w:val="1"/>
                <w:szCs w:val="1"/>
                <w:color w:val="auto"/>
              </w:rPr>
            </w:pPr>
          </w:p>
        </w:tc>
      </w:tr>
      <w:tr>
        <w:trPr>
          <w:trHeight w:val="142"/>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Second Lien Secured Debt—1.2%</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12/26/2017</w:t>
            </w:r>
          </w:p>
        </w:tc>
        <w:tc>
          <w:tcPr>
            <w:tcW w:w="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9.00%</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L+800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9,409,740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9,198,336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Subordinated Debt/Corporate Notes—4.6%</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11/05/2019</w:t>
            </w:r>
          </w:p>
        </w:tc>
        <w:tc>
          <w:tcPr>
            <w:tcW w:w="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12,340,533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12,340,534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7,280,915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3"/>
                <w:szCs w:val="13"/>
                <w:color w:val="auto"/>
              </w:rPr>
              <w:t>Service Champ, Inc.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10/02/2017</w:t>
            </w:r>
          </w:p>
        </w:tc>
        <w:tc>
          <w:tcPr>
            <w:tcW w:w="6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12.50%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28,000,000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27,647,862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28,131,264</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39,988,396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35,412,179</w:t>
            </w:r>
          </w:p>
        </w:tc>
        <w:tc>
          <w:tcPr>
            <w:tcW w:w="0" w:type="dxa"/>
            <w:vAlign w:val="bottom"/>
          </w:tcPr>
          <w:p>
            <w:pPr>
              <w:spacing w:after="0"/>
              <w:rPr>
                <w:sz w:val="1"/>
                <w:szCs w:val="1"/>
                <w:color w:val="auto"/>
              </w:rPr>
            </w:pPr>
          </w:p>
        </w:tc>
      </w:tr>
      <w:tr>
        <w:trPr>
          <w:trHeight w:val="142"/>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0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PAS International Holdings, Inc.</w:t>
            </w:r>
          </w:p>
        </w:tc>
        <w:tc>
          <w:tcPr>
            <w:tcW w:w="660" w:type="dxa"/>
            <w:vAlign w:val="bottom"/>
            <w:gridSpan w:val="2"/>
            <w:shd w:val="clear" w:color="auto" w:fill="CCEEFF"/>
          </w:tcPr>
          <w:p>
            <w:pPr>
              <w:jc w:val="center"/>
              <w:ind w:right="60"/>
              <w:spacing w:after="0" w:line="121" w:lineRule="exact"/>
              <w:rPr>
                <w:sz w:val="20"/>
                <w:szCs w:val="20"/>
                <w:color w:val="auto"/>
              </w:rPr>
            </w:pPr>
            <w:r>
              <w:rPr>
                <w:rFonts w:ascii="Arial" w:cs="Arial" w:eastAsia="Arial" w:hAnsi="Arial"/>
                <w:sz w:val="13"/>
                <w:szCs w:val="13"/>
                <w:color w:val="auto"/>
                <w:w w:val="91"/>
              </w:rPr>
              <w:t>—</w:t>
            </w:r>
          </w:p>
        </w:tc>
        <w:tc>
          <w:tcPr>
            <w:tcW w:w="1260" w:type="dxa"/>
            <w:vAlign w:val="bottom"/>
            <w:gridSpan w:val="2"/>
            <w:shd w:val="clear" w:color="auto" w:fill="CCEEFF"/>
          </w:tcPr>
          <w:p>
            <w:pPr>
              <w:jc w:val="center"/>
              <w:ind w:right="60"/>
              <w:spacing w:after="0" w:line="121" w:lineRule="exact"/>
              <w:rPr>
                <w:sz w:val="20"/>
                <w:szCs w:val="20"/>
                <w:color w:val="auto"/>
              </w:rPr>
            </w:pPr>
            <w:r>
              <w:rPr>
                <w:rFonts w:ascii="Arial" w:cs="Arial" w:eastAsia="Arial" w:hAnsi="Arial"/>
                <w:sz w:val="13"/>
                <w:szCs w:val="13"/>
                <w:color w:val="auto"/>
                <w:w w:val="86"/>
              </w:rPr>
              <w:t>Aerospace and</w:t>
            </w:r>
          </w:p>
        </w:tc>
        <w:tc>
          <w:tcPr>
            <w:tcW w:w="94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20,059,340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5,254,029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80" w:type="dxa"/>
            <w:vAlign w:val="bottom"/>
            <w:shd w:val="clear" w:color="auto" w:fill="CCEEFF"/>
          </w:tcPr>
          <w:p>
            <w:pPr>
              <w:spacing w:after="0"/>
              <w:rPr>
                <w:sz w:val="14"/>
                <w:szCs w:val="14"/>
                <w:color w:val="auto"/>
              </w:rPr>
            </w:pPr>
          </w:p>
        </w:tc>
        <w:tc>
          <w:tcPr>
            <w:tcW w:w="4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2"/>
              </w:rPr>
              <w:t>Defense</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Interests/Warrants—2.6% </w:t>
            </w:r>
            <w:r>
              <w:rPr>
                <w:rFonts w:ascii="Arial" w:cs="Arial" w:eastAsia="Arial" w:hAnsi="Arial"/>
                <w:sz w:val="10"/>
                <w:szCs w:val="10"/>
                <w:b w:val="1"/>
                <w:bCs w:val="1"/>
                <w:color w:val="auto"/>
              </w:rPr>
              <w:t>(6)</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6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91"/>
              </w:rPr>
              <w:t>—</w:t>
            </w:r>
          </w:p>
        </w:tc>
        <w:tc>
          <w:tcPr>
            <w:tcW w:w="12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104,719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21,492,822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11/05/2022</w:t>
            </w:r>
          </w:p>
        </w:tc>
        <w:tc>
          <w:tcPr>
            <w:tcW w:w="6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15,486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50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660" w:type="dxa"/>
            <w:vAlign w:val="bottom"/>
            <w:gridSpan w:val="2"/>
            <w:shd w:val="clear" w:color="auto" w:fill="CCEEFF"/>
          </w:tcPr>
          <w:p>
            <w:pPr>
              <w:jc w:val="center"/>
              <w:ind w:right="60"/>
              <w:spacing w:after="0" w:line="121" w:lineRule="exact"/>
              <w:rPr>
                <w:sz w:val="20"/>
                <w:szCs w:val="20"/>
                <w:color w:val="auto"/>
              </w:rPr>
            </w:pPr>
            <w:r>
              <w:rPr>
                <w:rFonts w:ascii="Arial" w:cs="Arial" w:eastAsia="Arial" w:hAnsi="Arial"/>
                <w:sz w:val="13"/>
                <w:szCs w:val="13"/>
                <w:color w:val="auto"/>
                <w:w w:val="91"/>
              </w:rPr>
              <w:t>—</w:t>
            </w:r>
          </w:p>
        </w:tc>
        <w:tc>
          <w:tcPr>
            <w:tcW w:w="1260" w:type="dxa"/>
            <w:vAlign w:val="bottom"/>
            <w:gridSpan w:val="2"/>
            <w:shd w:val="clear" w:color="auto" w:fill="CCEEFF"/>
          </w:tcPr>
          <w:p>
            <w:pPr>
              <w:jc w:val="center"/>
              <w:ind w:right="60"/>
              <w:spacing w:after="0" w:line="121" w:lineRule="exact"/>
              <w:rPr>
                <w:sz w:val="20"/>
                <w:szCs w:val="20"/>
                <w:color w:val="auto"/>
              </w:rPr>
            </w:pPr>
            <w:r>
              <w:rPr>
                <w:rFonts w:ascii="Arial" w:cs="Arial" w:eastAsia="Arial" w:hAnsi="Arial"/>
                <w:sz w:val="13"/>
                <w:szCs w:val="13"/>
                <w:color w:val="auto"/>
                <w:w w:val="87"/>
              </w:rPr>
              <w:t>Environmental Services</w:t>
            </w:r>
          </w:p>
        </w:tc>
        <w:tc>
          <w:tcPr>
            <w:tcW w:w="94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143,668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11,960,702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12,174,887</w:t>
            </w:r>
          </w:p>
        </w:tc>
        <w:tc>
          <w:tcPr>
            <w:tcW w:w="0" w:type="dxa"/>
            <w:vAlign w:val="bottom"/>
          </w:tcPr>
          <w:p>
            <w:pPr>
              <w:spacing w:after="0"/>
              <w:rPr>
                <w:sz w:val="1"/>
                <w:szCs w:val="1"/>
                <w:color w:val="auto"/>
              </w:rPr>
            </w:pPr>
          </w:p>
        </w:tc>
      </w:tr>
      <w:tr>
        <w:trPr>
          <w:trHeight w:val="14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(EnviroSolutions Real Property Holdings, Inc.)</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080" w:type="dxa"/>
            <w:vAlign w:val="bottom"/>
            <w:gridSpan w:val="2"/>
          </w:tcPr>
          <w:p>
            <w:pPr>
              <w:spacing w:after="0" w:line="121" w:lineRule="exact"/>
              <w:rPr>
                <w:sz w:val="20"/>
                <w:szCs w:val="20"/>
                <w:color w:val="auto"/>
              </w:rPr>
            </w:pPr>
            <w:r>
              <w:rPr>
                <w:rFonts w:ascii="Arial" w:cs="Arial" w:eastAsia="Arial" w:hAnsi="Arial"/>
                <w:sz w:val="13"/>
                <w:szCs w:val="13"/>
                <w:color w:val="auto"/>
              </w:rPr>
              <w:t>NCP-Performance, L.P.</w:t>
            </w:r>
          </w:p>
        </w:tc>
        <w:tc>
          <w:tcPr>
            <w:tcW w:w="660" w:type="dxa"/>
            <w:vAlign w:val="bottom"/>
            <w:gridSpan w:val="2"/>
          </w:tcPr>
          <w:p>
            <w:pPr>
              <w:jc w:val="center"/>
              <w:ind w:right="60"/>
              <w:spacing w:after="0" w:line="121" w:lineRule="exact"/>
              <w:rPr>
                <w:sz w:val="20"/>
                <w:szCs w:val="20"/>
                <w:color w:val="auto"/>
              </w:rPr>
            </w:pPr>
            <w:r>
              <w:rPr>
                <w:rFonts w:ascii="Arial" w:cs="Arial" w:eastAsia="Arial" w:hAnsi="Arial"/>
                <w:sz w:val="13"/>
                <w:szCs w:val="13"/>
                <w:color w:val="auto"/>
                <w:w w:val="91"/>
              </w:rPr>
              <w:t>—</w:t>
            </w:r>
          </w:p>
        </w:tc>
        <w:tc>
          <w:tcPr>
            <w:tcW w:w="1260" w:type="dxa"/>
            <w:vAlign w:val="bottom"/>
            <w:gridSpan w:val="2"/>
          </w:tcPr>
          <w:p>
            <w:pPr>
              <w:jc w:val="center"/>
              <w:ind w:right="60"/>
              <w:spacing w:after="0" w:line="121" w:lineRule="exact"/>
              <w:rPr>
                <w:sz w:val="20"/>
                <w:szCs w:val="20"/>
                <w:color w:val="auto"/>
              </w:rPr>
            </w:pPr>
            <w:r>
              <w:rPr>
                <w:rFonts w:ascii="Arial" w:cs="Arial" w:eastAsia="Arial" w:hAnsi="Arial"/>
                <w:sz w:val="13"/>
                <w:szCs w:val="13"/>
                <w:color w:val="auto"/>
                <w:w w:val="87"/>
              </w:rPr>
              <w:t>Leisure, Amusement,</w:t>
            </w:r>
          </w:p>
        </w:tc>
        <w:tc>
          <w:tcPr>
            <w:tcW w:w="94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375,000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3,750,000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9"/>
              </w:rPr>
              <w:t>Motion Pictures</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color w:val="auto"/>
                <w:w w:val="86"/>
              </w:rPr>
              <w:t>and Entertainment</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08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New Service Champ Holdings, Inc.</w:t>
            </w:r>
          </w:p>
        </w:tc>
        <w:tc>
          <w:tcPr>
            <w:tcW w:w="660" w:type="dxa"/>
            <w:vAlign w:val="bottom"/>
            <w:gridSpan w:val="2"/>
            <w:shd w:val="clear" w:color="auto" w:fill="CCEEFF"/>
          </w:tcPr>
          <w:p>
            <w:pPr>
              <w:jc w:val="center"/>
              <w:ind w:right="60"/>
              <w:spacing w:after="0" w:line="122" w:lineRule="exact"/>
              <w:rPr>
                <w:sz w:val="20"/>
                <w:szCs w:val="20"/>
                <w:color w:val="auto"/>
              </w:rPr>
            </w:pPr>
            <w:r>
              <w:rPr>
                <w:rFonts w:ascii="Arial" w:cs="Arial" w:eastAsia="Arial" w:hAnsi="Arial"/>
                <w:sz w:val="13"/>
                <w:szCs w:val="13"/>
                <w:color w:val="auto"/>
                <w:w w:val="91"/>
              </w:rPr>
              <w:t>—</w:t>
            </w:r>
          </w:p>
        </w:tc>
        <w:tc>
          <w:tcPr>
            <w:tcW w:w="1260" w:type="dxa"/>
            <w:vAlign w:val="bottom"/>
            <w:gridSpan w:val="2"/>
            <w:shd w:val="clear" w:color="auto" w:fill="CCEEFF"/>
          </w:tcPr>
          <w:p>
            <w:pPr>
              <w:jc w:val="center"/>
              <w:ind w:right="60"/>
              <w:spacing w:after="0" w:line="122" w:lineRule="exact"/>
              <w:rPr>
                <w:sz w:val="20"/>
                <w:szCs w:val="20"/>
                <w:color w:val="auto"/>
              </w:rPr>
            </w:pPr>
            <w:r>
              <w:rPr>
                <w:rFonts w:ascii="Arial" w:cs="Arial" w:eastAsia="Arial" w:hAnsi="Arial"/>
                <w:sz w:val="13"/>
                <w:szCs w:val="13"/>
                <w:color w:val="auto"/>
                <w:w w:val="88"/>
              </w:rPr>
              <w:t>Auto Sector</w:t>
            </w:r>
          </w:p>
        </w:tc>
        <w:tc>
          <w:tcPr>
            <w:tcW w:w="940" w:type="dxa"/>
            <w:vAlign w:val="bottom"/>
            <w:gridSpan w:val="2"/>
            <w:shd w:val="clear" w:color="auto" w:fill="CCEEFF"/>
          </w:tcPr>
          <w:p>
            <w:pPr>
              <w:jc w:val="right"/>
              <w:ind w:right="340"/>
              <w:spacing w:after="0" w:line="122"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16,800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3"/>
                <w:szCs w:val="13"/>
                <w:color w:val="auto"/>
              </w:rPr>
              <w:t>2,721,600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3"/>
                <w:szCs w:val="13"/>
                <w:color w:val="auto"/>
              </w:rPr>
              <w:t>5,432,335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(Service Champ, Inc.)</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1"/>
              </w:rPr>
              <w:t>—</w:t>
            </w: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53,071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202,620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3,003,393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RAM Energy LLC </w:t>
            </w:r>
            <w:r>
              <w:rPr>
                <w:rFonts w:ascii="Arial" w:cs="Arial" w:eastAsia="Arial" w:hAnsi="Arial"/>
                <w:sz w:val="10"/>
                <w:szCs w:val="10"/>
                <w:color w:val="auto"/>
              </w:rPr>
              <w:t>(11)</w:t>
            </w:r>
          </w:p>
        </w:tc>
        <w:tc>
          <w:tcPr>
            <w:tcW w:w="6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91"/>
              </w:rPr>
              <w:t>—</w:t>
            </w:r>
          </w:p>
        </w:tc>
        <w:tc>
          <w:tcPr>
            <w:tcW w:w="12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89"/>
              </w:rPr>
              <w:t>Energy and Utilities</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1,359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827,922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40,955,666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20,610,615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203,579,582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6"/>
              </w:rPr>
              <w:t>154,004,271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Investments in Controlled, Affiliated Portfolio Companies—6.7% </w:t>
            </w:r>
            <w:r>
              <w:rPr>
                <w:rFonts w:ascii="Arial" w:cs="Arial" w:eastAsia="Arial" w:hAnsi="Arial"/>
                <w:sz w:val="10"/>
                <w:szCs w:val="10"/>
                <w:b w:val="1"/>
                <w:bCs w:val="1"/>
                <w:color w:val="auto"/>
              </w:rPr>
              <w:t>(1), (2)</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Debt—4.1%</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080" w:type="dxa"/>
            <w:vAlign w:val="bottom"/>
            <w:gridSpan w:val="2"/>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12/31/2018</w:t>
            </w:r>
          </w:p>
        </w:tc>
        <w:tc>
          <w:tcPr>
            <w:tcW w:w="60" w:type="dxa"/>
            <w:vAlign w:val="bottom"/>
          </w:tcPr>
          <w:p>
            <w:pPr>
              <w:spacing w:after="0"/>
              <w:rPr>
                <w:sz w:val="10"/>
                <w:szCs w:val="10"/>
                <w:color w:val="auto"/>
              </w:rPr>
            </w:pPr>
          </w:p>
        </w:tc>
        <w:tc>
          <w:tcPr>
            <w:tcW w:w="1260" w:type="dxa"/>
            <w:vAlign w:val="bottom"/>
            <w:gridSpan w:val="2"/>
          </w:tcPr>
          <w:p>
            <w:pPr>
              <w:jc w:val="center"/>
              <w:ind w:right="60"/>
              <w:spacing w:after="0" w:line="121" w:lineRule="exact"/>
              <w:rPr>
                <w:sz w:val="20"/>
                <w:szCs w:val="20"/>
                <w:color w:val="auto"/>
              </w:rPr>
            </w:pPr>
            <w:r>
              <w:rPr>
                <w:rFonts w:ascii="Arial" w:cs="Arial" w:eastAsia="Arial" w:hAnsi="Arial"/>
                <w:sz w:val="13"/>
                <w:szCs w:val="13"/>
                <w:color w:val="auto"/>
                <w:w w:val="90"/>
              </w:rPr>
              <w:t>Media</w:t>
            </w: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14.00%</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L+1,300</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89"/>
              </w:rPr>
              <w:t>21,498,244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19,188,417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21,498,244</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w w:val="95"/>
              </w:rPr>
              <w:t>(PIK 14.00%)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08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SuttonPark Holdings, Inc.</w:t>
            </w:r>
          </w:p>
        </w:tc>
        <w:tc>
          <w:tcPr>
            <w:tcW w:w="6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6"/>
              </w:rPr>
              <w:t>06/30/2020</w:t>
            </w:r>
          </w:p>
        </w:tc>
        <w:tc>
          <w:tcPr>
            <w:tcW w:w="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60"/>
              <w:spacing w:after="0" w:line="136" w:lineRule="exact"/>
              <w:rPr>
                <w:sz w:val="20"/>
                <w:szCs w:val="20"/>
                <w:color w:val="auto"/>
              </w:rPr>
            </w:pPr>
            <w:r>
              <w:rPr>
                <w:rFonts w:ascii="Arial" w:cs="Arial" w:eastAsia="Arial" w:hAnsi="Arial"/>
                <w:sz w:val="13"/>
                <w:szCs w:val="13"/>
                <w:color w:val="auto"/>
                <w:w w:val="86"/>
              </w:rPr>
              <w:t>Business Services</w:t>
            </w:r>
          </w:p>
        </w:tc>
        <w:tc>
          <w:tcPr>
            <w:tcW w:w="9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w w:val="89"/>
              </w:rPr>
              <w:t>10,050,000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10,050,000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10,331,921</w:t>
            </w:r>
          </w:p>
        </w:tc>
        <w:tc>
          <w:tcPr>
            <w:tcW w:w="0" w:type="dxa"/>
            <w:vAlign w:val="bottom"/>
          </w:tcPr>
          <w:p>
            <w:pPr>
              <w:spacing w:after="0"/>
              <w:rPr>
                <w:sz w:val="1"/>
                <w:szCs w:val="1"/>
                <w:color w:val="auto"/>
              </w:rPr>
            </w:pPr>
          </w:p>
        </w:tc>
      </w:tr>
      <w:tr>
        <w:trPr>
          <w:trHeight w:val="149"/>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29,238,417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31,830,165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Debt—0.0%</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07/01/2019</w:t>
            </w:r>
          </w:p>
        </w:tc>
        <w:tc>
          <w:tcPr>
            <w:tcW w:w="60" w:type="dxa"/>
            <w:vAlign w:val="bottom"/>
          </w:tcPr>
          <w:p>
            <w:pPr>
              <w:spacing w:after="0"/>
              <w:rPr>
                <w:sz w:val="12"/>
                <w:szCs w:val="12"/>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0"/>
              </w:rPr>
              <w:t>Media</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4,350,000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Notes—0.3%</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80" w:type="dxa"/>
            <w:vAlign w:val="bottom"/>
            <w:gridSpan w:val="2"/>
          </w:tcPr>
          <w:p>
            <w:pPr>
              <w:spacing w:after="0" w:line="135" w:lineRule="exact"/>
              <w:rPr>
                <w:sz w:val="20"/>
                <w:szCs w:val="20"/>
                <w:color w:val="auto"/>
              </w:rPr>
            </w:pPr>
            <w:r>
              <w:rPr>
                <w:rFonts w:ascii="Arial" w:cs="Arial" w:eastAsia="Arial" w:hAnsi="Arial"/>
                <w:sz w:val="13"/>
                <w:szCs w:val="13"/>
                <w:color w:val="auto"/>
              </w:rPr>
              <w:t>SuttonPark Holdings, Inc.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6/30/2020</w:t>
            </w:r>
          </w:p>
        </w:tc>
        <w:tc>
          <w:tcPr>
            <w:tcW w:w="60" w:type="dxa"/>
            <w:vAlign w:val="bottom"/>
          </w:tcPr>
          <w:p>
            <w:pPr>
              <w:spacing w:after="0"/>
              <w:rPr>
                <w:sz w:val="12"/>
                <w:szCs w:val="12"/>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2,450,000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2,450,000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2,178,600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Equity—1.4%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080" w:type="dxa"/>
            <w:vAlign w:val="bottom"/>
            <w:gridSpan w:val="2"/>
          </w:tcPr>
          <w:p>
            <w:pPr>
              <w:spacing w:after="0" w:line="121" w:lineRule="exact"/>
              <w:rPr>
                <w:sz w:val="20"/>
                <w:szCs w:val="20"/>
                <w:color w:val="auto"/>
              </w:rPr>
            </w:pPr>
            <w:r>
              <w:rPr>
                <w:rFonts w:ascii="Arial" w:cs="Arial" w:eastAsia="Arial" w:hAnsi="Arial"/>
                <w:sz w:val="13"/>
                <w:szCs w:val="13"/>
                <w:color w:val="auto"/>
              </w:rPr>
              <w:t>Superior Digital Display Holdings, Inc.</w:t>
            </w:r>
          </w:p>
        </w:tc>
        <w:tc>
          <w:tcPr>
            <w:tcW w:w="660" w:type="dxa"/>
            <w:vAlign w:val="bottom"/>
            <w:gridSpan w:val="2"/>
          </w:tcPr>
          <w:p>
            <w:pPr>
              <w:jc w:val="center"/>
              <w:ind w:right="60"/>
              <w:spacing w:after="0" w:line="121" w:lineRule="exact"/>
              <w:rPr>
                <w:sz w:val="20"/>
                <w:szCs w:val="20"/>
                <w:color w:val="auto"/>
              </w:rPr>
            </w:pPr>
            <w:r>
              <w:rPr>
                <w:rFonts w:ascii="Arial" w:cs="Arial" w:eastAsia="Arial" w:hAnsi="Arial"/>
                <w:sz w:val="13"/>
                <w:szCs w:val="13"/>
                <w:color w:val="auto"/>
                <w:w w:val="91"/>
              </w:rPr>
              <w:t>—</w:t>
            </w:r>
          </w:p>
        </w:tc>
        <w:tc>
          <w:tcPr>
            <w:tcW w:w="1260" w:type="dxa"/>
            <w:vAlign w:val="bottom"/>
            <w:gridSpan w:val="2"/>
          </w:tcPr>
          <w:p>
            <w:pPr>
              <w:jc w:val="center"/>
              <w:ind w:right="60"/>
              <w:spacing w:after="0" w:line="121" w:lineRule="exact"/>
              <w:rPr>
                <w:sz w:val="20"/>
                <w:szCs w:val="20"/>
                <w:color w:val="auto"/>
              </w:rPr>
            </w:pPr>
            <w:r>
              <w:rPr>
                <w:rFonts w:ascii="Arial" w:cs="Arial" w:eastAsia="Arial" w:hAnsi="Arial"/>
                <w:sz w:val="13"/>
                <w:szCs w:val="13"/>
                <w:color w:val="auto"/>
                <w:w w:val="90"/>
              </w:rPr>
              <w:t>Media</w:t>
            </w: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15.00%</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37,046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5,000,000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2,131,840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gridSpan w:val="2"/>
          </w:tcPr>
          <w:p>
            <w:pPr>
              <w:ind w:left="140"/>
              <w:spacing w:after="0"/>
              <w:rPr>
                <w:sz w:val="20"/>
                <w:szCs w:val="20"/>
                <w:color w:val="auto"/>
              </w:rPr>
            </w:pPr>
            <w:r>
              <w:rPr>
                <w:rFonts w:ascii="Arial" w:cs="Arial" w:eastAsia="Arial" w:hAnsi="Arial"/>
                <w:sz w:val="13"/>
                <w:szCs w:val="13"/>
                <w:color w:val="auto"/>
              </w:rPr>
              <w:t>(Superior Digital Displays, LLC)</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6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91"/>
              </w:rPr>
              <w:t>—</w:t>
            </w:r>
          </w:p>
        </w:tc>
        <w:tc>
          <w:tcPr>
            <w:tcW w:w="12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14.00%</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8,500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8,500,000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8,489,479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Preferred Equity</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13,500,000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10,621,319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Equity—0.9%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3"/>
                <w:szCs w:val="13"/>
                <w:color w:val="auto"/>
              </w:rPr>
              <w:t>MidOcean JF Holdings Corp.</w:t>
            </w: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1"/>
              </w:rPr>
              <w:t>—</w:t>
            </w: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68,164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24,984,979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6,816,448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0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Holdings, Inc.</w:t>
            </w:r>
          </w:p>
        </w:tc>
        <w:tc>
          <w:tcPr>
            <w:tcW w:w="660" w:type="dxa"/>
            <w:vAlign w:val="bottom"/>
            <w:gridSpan w:val="2"/>
            <w:shd w:val="clear" w:color="auto" w:fill="CCEEFF"/>
          </w:tcPr>
          <w:p>
            <w:pPr>
              <w:jc w:val="center"/>
              <w:ind w:right="60"/>
              <w:spacing w:after="0" w:line="121" w:lineRule="exact"/>
              <w:rPr>
                <w:sz w:val="20"/>
                <w:szCs w:val="20"/>
                <w:color w:val="auto"/>
              </w:rPr>
            </w:pPr>
            <w:r>
              <w:rPr>
                <w:rFonts w:ascii="Arial" w:cs="Arial" w:eastAsia="Arial" w:hAnsi="Arial"/>
                <w:sz w:val="13"/>
                <w:szCs w:val="13"/>
                <w:color w:val="auto"/>
                <w:w w:val="91"/>
              </w:rPr>
              <w:t>—</w:t>
            </w:r>
          </w:p>
        </w:tc>
        <w:tc>
          <w:tcPr>
            <w:tcW w:w="1260" w:type="dxa"/>
            <w:vAlign w:val="bottom"/>
            <w:gridSpan w:val="2"/>
            <w:shd w:val="clear" w:color="auto" w:fill="CCEEFF"/>
          </w:tcPr>
          <w:p>
            <w:pPr>
              <w:jc w:val="center"/>
              <w:ind w:right="60"/>
              <w:spacing w:after="0" w:line="121" w:lineRule="exact"/>
              <w:rPr>
                <w:sz w:val="20"/>
                <w:szCs w:val="20"/>
                <w:color w:val="auto"/>
              </w:rPr>
            </w:pPr>
            <w:r>
              <w:rPr>
                <w:rFonts w:ascii="Arial" w:cs="Arial" w:eastAsia="Arial" w:hAnsi="Arial"/>
                <w:sz w:val="13"/>
                <w:szCs w:val="13"/>
                <w:color w:val="auto"/>
                <w:w w:val="90"/>
              </w:rPr>
              <w:t>Media</w:t>
            </w:r>
          </w:p>
        </w:tc>
        <w:tc>
          <w:tcPr>
            <w:tcW w:w="94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11,100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2,211,000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(Superior Digital Displays, LLC)</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3"/>
                <w:szCs w:val="13"/>
                <w:color w:val="auto"/>
              </w:rPr>
              <w:t>SuttonPark Holdings, Inc.</w:t>
            </w: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1"/>
              </w:rPr>
              <w:t>—</w:t>
            </w: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27,196,079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6,816,448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72,384,496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51,446,532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Investments—169.0%</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4"/>
              </w:rPr>
              <w:t>1,378,994,126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4"/>
              </w:rPr>
              <w:t>1,300,407,293</w:t>
            </w:r>
          </w:p>
        </w:tc>
        <w:tc>
          <w:tcPr>
            <w:tcW w:w="0" w:type="dxa"/>
            <w:vAlign w:val="bottom"/>
          </w:tcPr>
          <w:p>
            <w:pPr>
              <w:spacing w:after="0"/>
              <w:rPr>
                <w:sz w:val="1"/>
                <w:szCs w:val="1"/>
                <w:color w:val="auto"/>
              </w:rPr>
            </w:pPr>
          </w:p>
        </w:tc>
      </w:tr>
      <w:tr>
        <w:trPr>
          <w:trHeight w:val="142"/>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Cash and Cash Equivalents—8.2%</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2,807,844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2,807,844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60,243,206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60,015,780</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5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63,051,050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62,823,624</w:t>
            </w:r>
          </w:p>
        </w:tc>
        <w:tc>
          <w:tcPr>
            <w:tcW w:w="0" w:type="dxa"/>
            <w:vAlign w:val="bottom"/>
          </w:tcPr>
          <w:p>
            <w:pPr>
              <w:spacing w:after="0"/>
              <w:rPr>
                <w:sz w:val="1"/>
                <w:szCs w:val="1"/>
                <w:color w:val="auto"/>
              </w:rPr>
            </w:pPr>
          </w:p>
        </w:tc>
      </w:tr>
      <w:tr>
        <w:trPr>
          <w:trHeight w:val="142"/>
        </w:trPr>
        <w:tc>
          <w:tcPr>
            <w:tcW w:w="5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Equivalents—177.2%</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1,442,045,176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1,363,230,917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Assets—(77.2%)</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w w:val="91"/>
              </w:rPr>
              <w:t>(593,839,991)</w:t>
            </w:r>
          </w:p>
        </w:tc>
        <w:tc>
          <w:tcPr>
            <w:tcW w:w="0" w:type="dxa"/>
            <w:vAlign w:val="bottom"/>
          </w:tcPr>
          <w:p>
            <w:pPr>
              <w:spacing w:after="0"/>
              <w:rPr>
                <w:sz w:val="1"/>
                <w:szCs w:val="1"/>
                <w:color w:val="auto"/>
              </w:rPr>
            </w:pP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6"/>
              </w:rPr>
              <w:t>769,390,926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18516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340" w:hanging="332"/>
        <w:spacing w:after="0" w:line="24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or “P” rate. All securities are subject to a LIBOR or Prime rate floor where a spread is provided, unless noted. The spread provided includes payment-in-kind, or PIK, interest and other fee rates, if any.</w:t>
      </w:r>
    </w:p>
    <w:p>
      <w:pPr>
        <w:ind w:left="340" w:righ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hanging="332"/>
        <w:spacing w:after="0" w:line="23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180"/>
          </w:cols>
          <w:pgMar w:left="32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jc w:val="center"/>
              <w:ind w:right="157"/>
              <w:spacing w:after="0"/>
              <w:rPr>
                <w:sz w:val="20"/>
                <w:szCs w:val="20"/>
                <w:color w:val="auto"/>
              </w:rPr>
            </w:pPr>
            <w:r>
              <w:rPr>
                <w:rFonts w:ascii="Arial" w:cs="Arial" w:eastAsia="Arial" w:hAnsi="Arial"/>
                <w:sz w:val="13"/>
                <w:szCs w:val="13"/>
                <w:b w:val="1"/>
                <w:bCs w:val="1"/>
                <w:color w:val="auto"/>
                <w:w w:val="84"/>
              </w:rPr>
              <w:t>Basis Point</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6"/>
              </w:rPr>
              <w:t>Spread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40" w:type="dxa"/>
            <w:vAlign w:val="bottom"/>
          </w:tcPr>
          <w:p>
            <w:pPr>
              <w:ind w:left="380"/>
              <w:spacing w:after="0" w:line="135" w:lineRule="exact"/>
              <w:rPr>
                <w:sz w:val="20"/>
                <w:szCs w:val="20"/>
                <w:color w:val="auto"/>
              </w:rPr>
            </w:pPr>
            <w:r>
              <w:rPr>
                <w:rFonts w:ascii="Arial" w:cs="Arial" w:eastAsia="Arial" w:hAnsi="Arial"/>
                <w:sz w:val="13"/>
                <w:szCs w:val="13"/>
                <w:b w:val="1"/>
                <w:bCs w:val="1"/>
                <w:color w:val="auto"/>
              </w:rPr>
              <w:t>Maturity /</w:t>
            </w:r>
          </w:p>
        </w:tc>
        <w:tc>
          <w:tcPr>
            <w:tcW w:w="1800" w:type="dxa"/>
            <w:vAlign w:val="bottom"/>
          </w:tcPr>
          <w:p>
            <w:pPr>
              <w:spacing w:after="0"/>
              <w:rPr>
                <w:sz w:val="11"/>
                <w:szCs w:val="11"/>
                <w:color w:val="auto"/>
              </w:rPr>
            </w:pPr>
          </w:p>
        </w:tc>
        <w:tc>
          <w:tcPr>
            <w:tcW w:w="102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Current</w:t>
            </w:r>
          </w:p>
        </w:tc>
        <w:tc>
          <w:tcPr>
            <w:tcW w:w="11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5"/>
              </w:rPr>
              <w:t>Above</w:t>
            </w:r>
          </w:p>
        </w:tc>
        <w:tc>
          <w:tcPr>
            <w:tcW w:w="940" w:type="dxa"/>
            <w:vAlign w:val="bottom"/>
          </w:tcPr>
          <w:p>
            <w:pPr>
              <w:jc w:val="right"/>
              <w:ind w:right="357"/>
              <w:spacing w:after="0" w:line="135" w:lineRule="exact"/>
              <w:rPr>
                <w:sz w:val="20"/>
                <w:szCs w:val="20"/>
                <w:color w:val="auto"/>
              </w:rPr>
            </w:pPr>
            <w:r>
              <w:rPr>
                <w:rFonts w:ascii="Arial" w:cs="Arial" w:eastAsia="Arial" w:hAnsi="Arial"/>
                <w:sz w:val="13"/>
                <w:szCs w:val="13"/>
                <w:b w:val="1"/>
                <w:bCs w:val="1"/>
                <w:color w:val="auto"/>
              </w:rPr>
              <w:t>Par /</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00" w:type="dxa"/>
            <w:vAlign w:val="bottom"/>
            <w:vMerge w:val="continue"/>
          </w:tcPr>
          <w:p>
            <w:pPr>
              <w:spacing w:after="0"/>
              <w:rPr>
                <w:sz w:val="13"/>
                <w:szCs w:val="13"/>
                <w:color w:val="auto"/>
              </w:rPr>
            </w:pPr>
          </w:p>
        </w:tc>
        <w:tc>
          <w:tcPr>
            <w:tcW w:w="1040" w:type="dxa"/>
            <w:vAlign w:val="bottom"/>
          </w:tcPr>
          <w:p>
            <w:pPr>
              <w:ind w:left="360"/>
              <w:spacing w:after="0"/>
              <w:rPr>
                <w:sz w:val="20"/>
                <w:szCs w:val="20"/>
                <w:color w:val="auto"/>
              </w:rPr>
            </w:pPr>
            <w:r>
              <w:rPr>
                <w:rFonts w:ascii="Arial" w:cs="Arial" w:eastAsia="Arial" w:hAnsi="Arial"/>
                <w:sz w:val="13"/>
                <w:szCs w:val="13"/>
                <w:b w:val="1"/>
                <w:bCs w:val="1"/>
                <w:color w:val="auto"/>
              </w:rPr>
              <w:t>Expiration</w:t>
            </w:r>
          </w:p>
        </w:tc>
        <w:tc>
          <w:tcPr>
            <w:tcW w:w="1800" w:type="dxa"/>
            <w:vAlign w:val="bottom"/>
          </w:tcPr>
          <w:p>
            <w:pPr>
              <w:ind w:left="620"/>
              <w:spacing w:after="0"/>
              <w:rPr>
                <w:sz w:val="20"/>
                <w:szCs w:val="20"/>
                <w:color w:val="auto"/>
              </w:rPr>
            </w:pPr>
            <w:r>
              <w:rPr>
                <w:rFonts w:ascii="Arial" w:cs="Arial" w:eastAsia="Arial" w:hAnsi="Arial"/>
                <w:sz w:val="13"/>
                <w:szCs w:val="13"/>
                <w:b w:val="1"/>
                <w:bCs w:val="1"/>
                <w:color w:val="auto"/>
              </w:rPr>
              <w:t>Industry</w:t>
            </w:r>
          </w:p>
        </w:tc>
        <w:tc>
          <w:tcPr>
            <w:tcW w:w="1020" w:type="dxa"/>
            <w:vAlign w:val="bottom"/>
          </w:tcPr>
          <w:p>
            <w:pPr>
              <w:jc w:val="right"/>
              <w:ind w:right="377"/>
              <w:spacing w:after="0"/>
              <w:rPr>
                <w:sz w:val="20"/>
                <w:szCs w:val="20"/>
                <w:color w:val="auto"/>
              </w:rPr>
            </w:pPr>
            <w:r>
              <w:rPr>
                <w:rFonts w:ascii="Arial" w:cs="Arial" w:eastAsia="Arial" w:hAnsi="Arial"/>
                <w:sz w:val="13"/>
                <w:szCs w:val="13"/>
                <w:b w:val="1"/>
                <w:bCs w:val="1"/>
                <w:color w:val="auto"/>
              </w:rPr>
              <w:t>Coupon</w:t>
            </w:r>
          </w:p>
        </w:tc>
        <w:tc>
          <w:tcPr>
            <w:tcW w:w="1140" w:type="dxa"/>
            <w:vAlign w:val="bottom"/>
          </w:tcPr>
          <w:p>
            <w:pPr>
              <w:jc w:val="center"/>
              <w:ind w:right="13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40" w:type="dxa"/>
            <w:vAlign w:val="bottom"/>
          </w:tcPr>
          <w:p>
            <w:pPr>
              <w:jc w:val="right"/>
              <w:ind w:right="317"/>
              <w:spacing w:after="0"/>
              <w:rPr>
                <w:sz w:val="20"/>
                <w:szCs w:val="20"/>
                <w:color w:val="auto"/>
              </w:rPr>
            </w:pPr>
            <w:r>
              <w:rPr>
                <w:rFonts w:ascii="Arial" w:cs="Arial" w:eastAsia="Arial" w:hAnsi="Arial"/>
                <w:sz w:val="13"/>
                <w:szCs w:val="13"/>
                <w:b w:val="1"/>
                <w:bCs w:val="1"/>
                <w:color w:val="auto"/>
              </w:rPr>
              <w:t>Shares</w:t>
            </w:r>
          </w:p>
        </w:tc>
        <w:tc>
          <w:tcPr>
            <w:tcW w:w="9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42"/>
        </w:trPr>
        <w:tc>
          <w:tcPr>
            <w:tcW w:w="614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Companies—146.4% </w:t>
            </w:r>
            <w:r>
              <w:rPr>
                <w:rFonts w:ascii="Arial" w:cs="Arial" w:eastAsia="Arial" w:hAnsi="Arial"/>
                <w:sz w:val="10"/>
                <w:szCs w:val="10"/>
                <w:b w:val="1"/>
                <w:bCs w:val="1"/>
                <w:color w:val="auto"/>
              </w:rPr>
              <w:t>(1), (2)</w:t>
            </w:r>
          </w:p>
        </w:tc>
        <w:tc>
          <w:tcPr>
            <w:tcW w:w="10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Debt—52.4%</w:t>
            </w:r>
          </w:p>
        </w:tc>
        <w:tc>
          <w:tcPr>
            <w:tcW w:w="1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03/21/2018</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11.25%</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L+975</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23,301,182</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9"/>
              </w:rPr>
              <w:t>$ 22,545,408</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24,466,241</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04/02/2018</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11.92%</w:t>
            </w: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38,382,219</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37,594,531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38,835,189</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(9)</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04/02/2018</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7,500,000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7,500,000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7,588,512</w:t>
            </w: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AP Gaming I, LLC</w:t>
            </w:r>
          </w:p>
        </w:tc>
        <w:tc>
          <w:tcPr>
            <w:tcW w:w="1040" w:type="dxa"/>
            <w:vAlign w:val="bottom"/>
          </w:tcPr>
          <w:p>
            <w:pPr>
              <w:ind w:left="360"/>
              <w:spacing w:after="0" w:line="121" w:lineRule="exact"/>
              <w:rPr>
                <w:sz w:val="20"/>
                <w:szCs w:val="20"/>
                <w:color w:val="auto"/>
              </w:rPr>
            </w:pPr>
            <w:r>
              <w:rPr>
                <w:rFonts w:ascii="Arial" w:cs="Arial" w:eastAsia="Arial" w:hAnsi="Arial"/>
                <w:sz w:val="13"/>
                <w:szCs w:val="13"/>
                <w:color w:val="auto"/>
              </w:rPr>
              <w:t>12/21/2020</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88"/>
              </w:rPr>
              <w:t>Hotels, Motels, Inns and</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9.25%</w:t>
            </w:r>
          </w:p>
        </w:tc>
        <w:tc>
          <w:tcPr>
            <w:tcW w:w="11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L+825</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5,210,625</w:t>
            </w:r>
          </w:p>
        </w:tc>
        <w:tc>
          <w:tcPr>
            <w:tcW w:w="9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5,067,986</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5,236,678</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Gaming</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10/20/2020</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4,500,000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4,432,500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4,432,500</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03/30/2017</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11.50%</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11,500,000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11,369,159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12,463,125</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InfuSystem Holdings, Inc.</w:t>
            </w:r>
          </w:p>
        </w:tc>
        <w:tc>
          <w:tcPr>
            <w:tcW w:w="104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11/30/2016</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13.16%</w:t>
            </w:r>
          </w:p>
        </w:tc>
        <w:tc>
          <w:tcPr>
            <w:tcW w:w="11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P+992</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8,000,000</w:t>
            </w:r>
          </w:p>
        </w:tc>
        <w:tc>
          <w:tcPr>
            <w:tcW w:w="9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8,000,000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8,190,480</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Jackson Hewitt Tax Service Inc.</w:t>
            </w:r>
          </w:p>
        </w:tc>
        <w:tc>
          <w:tcPr>
            <w:tcW w:w="1040" w:type="dxa"/>
            <w:vAlign w:val="bottom"/>
          </w:tcPr>
          <w:p>
            <w:pPr>
              <w:ind w:left="360"/>
              <w:spacing w:after="0" w:line="121" w:lineRule="exact"/>
              <w:rPr>
                <w:sz w:val="20"/>
                <w:szCs w:val="20"/>
                <w:color w:val="auto"/>
              </w:rPr>
            </w:pPr>
            <w:r>
              <w:rPr>
                <w:rFonts w:ascii="Arial" w:cs="Arial" w:eastAsia="Arial" w:hAnsi="Arial"/>
                <w:sz w:val="13"/>
                <w:szCs w:val="13"/>
                <w:color w:val="auto"/>
              </w:rPr>
              <w:t>10/16/2017</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10.00%</w:t>
            </w:r>
          </w:p>
        </w:tc>
        <w:tc>
          <w:tcPr>
            <w:tcW w:w="11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L+850</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7,777,902</w:t>
            </w:r>
          </w:p>
        </w:tc>
        <w:tc>
          <w:tcPr>
            <w:tcW w:w="9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7,774,409</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7,739,013</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Miscellaneous Services</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K2 Pure Solutions NoCal, L.P.</w:t>
            </w:r>
          </w:p>
        </w:tc>
        <w:tc>
          <w:tcPr>
            <w:tcW w:w="104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08/19/2019</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Chemicals, Plastics and</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10.00%</w:t>
            </w:r>
          </w:p>
        </w:tc>
        <w:tc>
          <w:tcPr>
            <w:tcW w:w="11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L+900</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22,342,352</w:t>
            </w:r>
          </w:p>
        </w:tc>
        <w:tc>
          <w:tcPr>
            <w:tcW w:w="9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21,957,793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22,003,560</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Rubber</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10/31/2017</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9.63%</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5,626,850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5,626,850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5,851,924</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Patriot National, Inc. (f/k/a Old Guard Risk Services, Inc.)</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11/27/2018</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12.50%</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L+1,150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49,851,923</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47,685,257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50,350,442</w:t>
            </w: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040" w:type="dxa"/>
            <w:vAlign w:val="bottom"/>
          </w:tcPr>
          <w:p>
            <w:pPr>
              <w:ind w:left="360"/>
              <w:spacing w:after="0" w:line="121" w:lineRule="exact"/>
              <w:rPr>
                <w:sz w:val="20"/>
                <w:szCs w:val="20"/>
                <w:color w:val="auto"/>
              </w:rPr>
            </w:pPr>
            <w:r>
              <w:rPr>
                <w:rFonts w:ascii="Arial" w:cs="Arial" w:eastAsia="Arial" w:hAnsi="Arial"/>
                <w:sz w:val="13"/>
                <w:szCs w:val="13"/>
                <w:color w:val="auto"/>
              </w:rPr>
              <w:t>12/16/2019</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91"/>
              </w:rPr>
              <w:t>Mining, Steel, Iron and Non-</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11.50%</w:t>
            </w:r>
          </w:p>
        </w:tc>
        <w:tc>
          <w:tcPr>
            <w:tcW w:w="11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14,250,000</w:t>
            </w:r>
          </w:p>
        </w:tc>
        <w:tc>
          <w:tcPr>
            <w:tcW w:w="9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14,116,948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15,960,000</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6"/>
              </w:rPr>
              <w:t>Precious Metals</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LLC, Tranche A</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07/18/2019</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L+1,000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75,000,000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73,440,857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74,250,000</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RAM Energy LLC, Tranche B</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07/20/2015</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15.00%</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L+1,300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27,500,000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26,727,390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27,500,000</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Robertshaw US Holding Corp.</w:t>
            </w:r>
          </w:p>
        </w:tc>
        <w:tc>
          <w:tcPr>
            <w:tcW w:w="104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06/18/2019</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9.00%</w:t>
            </w:r>
          </w:p>
        </w:tc>
        <w:tc>
          <w:tcPr>
            <w:tcW w:w="11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L+750</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12,352,942</w:t>
            </w:r>
          </w:p>
        </w:tc>
        <w:tc>
          <w:tcPr>
            <w:tcW w:w="9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12,235,053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12,331,043</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Fox US Bidco Corp.)</w:t>
            </w:r>
          </w:p>
        </w:tc>
        <w:tc>
          <w:tcPr>
            <w:tcW w:w="10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Robertshaw US Holding Corp.</w:t>
            </w:r>
          </w:p>
        </w:tc>
        <w:tc>
          <w:tcPr>
            <w:tcW w:w="1040" w:type="dxa"/>
            <w:vAlign w:val="bottom"/>
          </w:tcPr>
          <w:p>
            <w:pPr>
              <w:ind w:left="360"/>
              <w:spacing w:after="0" w:line="121" w:lineRule="exact"/>
              <w:rPr>
                <w:sz w:val="20"/>
                <w:szCs w:val="20"/>
                <w:color w:val="auto"/>
              </w:rPr>
            </w:pPr>
            <w:r>
              <w:rPr>
                <w:rFonts w:ascii="Arial" w:cs="Arial" w:eastAsia="Arial" w:hAnsi="Arial"/>
                <w:sz w:val="13"/>
                <w:szCs w:val="13"/>
                <w:color w:val="auto"/>
              </w:rPr>
              <w:t>06/18/2019</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1020" w:type="dxa"/>
            <w:vAlign w:val="bottom"/>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2,647,058</w:t>
            </w:r>
          </w:p>
        </w:tc>
        <w:tc>
          <w:tcPr>
            <w:tcW w:w="9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2,647,058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2,642,366</w:t>
            </w: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rPr>
                <w:sz w:val="20"/>
                <w:szCs w:val="20"/>
                <w:color w:val="auto"/>
              </w:rPr>
            </w:pPr>
            <w:r>
              <w:rPr>
                <w:rFonts w:ascii="Arial" w:cs="Arial" w:eastAsia="Arial" w:hAnsi="Arial"/>
                <w:sz w:val="13"/>
                <w:szCs w:val="13"/>
                <w:color w:val="auto"/>
              </w:rPr>
              <w:t xml:space="preserve">(f/k/a Fox US Bidco Corp.) </w:t>
            </w:r>
            <w:r>
              <w:rPr>
                <w:rFonts w:ascii="Arial" w:cs="Arial" w:eastAsia="Arial" w:hAnsi="Arial"/>
                <w:sz w:val="10"/>
                <w:szCs w:val="10"/>
                <w:color w:val="auto"/>
              </w:rPr>
              <w:t>(9)</w:t>
            </w: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04/21/2017</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L+750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19,838,145</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18,826,225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17,854,331</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04/30/2018</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L+1,050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23,952,411</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23,659,108</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23,952,411</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TRAK Acquisition Corp. </w:t>
            </w:r>
            <w:r>
              <w:rPr>
                <w:rFonts w:ascii="Arial" w:cs="Arial" w:eastAsia="Arial" w:hAnsi="Arial"/>
                <w:sz w:val="10"/>
                <w:szCs w:val="10"/>
                <w:color w:val="auto"/>
              </w:rPr>
              <w:t>(9)</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10/31/2017</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1,000,000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985,000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02/12/2020</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8"/>
              </w:rPr>
              <w:t>Buildings and Real Estate</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11.06%</w:t>
            </w: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27,118,544</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42,793,869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44,024,504</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05/02/2019</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L+1,150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16,235,293</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15,901,463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16,206,786</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Worley Claims Services, LLC</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07/06/2017</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12.50%</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L+1,100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11,201,270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11,201,270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11,425,295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0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4"/>
              </w:rPr>
              <w:t>422,088,134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434,304,400</w:t>
            </w: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Debt—58.5%</w:t>
            </w: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04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09/01/2017</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11.50%</w:t>
            </w:r>
          </w:p>
        </w:tc>
        <w:tc>
          <w:tcPr>
            <w:tcW w:w="11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25,400,000</w:t>
            </w:r>
          </w:p>
        </w:tc>
        <w:tc>
          <w:tcPr>
            <w:tcW w:w="9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25,400,000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27,432,000</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Ascensus, Inc.</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12/02/2020</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15,500,000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15,297,220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15,655,000</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Bennu Oil &amp; Gas, LLC</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11/01/2018</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8.75%</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L+750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19,750,360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19,659,292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19,635,216</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Carolina Beverage Group, LLC</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08/01/2018</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6"/>
              </w:rPr>
              <w:t>Beverage, Food and Tobacco</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10.63%</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13,125,000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13,125,000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13,551,562</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CT Technologies Intermediate Holdings, Inc.</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10/05/2020</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9.25%</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14,000,000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13,817,560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13,930,000</w:t>
            </w: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Envision Acquisition Company, LLC</w:t>
            </w:r>
          </w:p>
        </w:tc>
        <w:tc>
          <w:tcPr>
            <w:tcW w:w="1040" w:type="dxa"/>
            <w:vAlign w:val="bottom"/>
          </w:tcPr>
          <w:p>
            <w:pPr>
              <w:ind w:left="360"/>
              <w:spacing w:after="0" w:line="121" w:lineRule="exact"/>
              <w:rPr>
                <w:sz w:val="20"/>
                <w:szCs w:val="20"/>
                <w:color w:val="auto"/>
              </w:rPr>
            </w:pPr>
            <w:r>
              <w:rPr>
                <w:rFonts w:ascii="Arial" w:cs="Arial" w:eastAsia="Arial" w:hAnsi="Arial"/>
                <w:sz w:val="13"/>
                <w:szCs w:val="13"/>
                <w:color w:val="auto"/>
              </w:rPr>
              <w:t>11/04/2021</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9.75%</w:t>
            </w:r>
          </w:p>
        </w:tc>
        <w:tc>
          <w:tcPr>
            <w:tcW w:w="11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L+875</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24,700,000</w:t>
            </w:r>
          </w:p>
        </w:tc>
        <w:tc>
          <w:tcPr>
            <w:tcW w:w="9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24,324,871</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24,700,000</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Foundation Building Materials, LLC</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04/30/2019</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L+1,100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45,000,000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44,557,044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44,981,600</w:t>
            </w: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040" w:type="dxa"/>
            <w:vAlign w:val="bottom"/>
          </w:tcPr>
          <w:p>
            <w:pPr>
              <w:ind w:left="360"/>
              <w:spacing w:after="0" w:line="121" w:lineRule="exact"/>
              <w:rPr>
                <w:sz w:val="20"/>
                <w:szCs w:val="20"/>
                <w:color w:val="auto"/>
              </w:rPr>
            </w:pPr>
            <w:r>
              <w:rPr>
                <w:rFonts w:ascii="Arial" w:cs="Arial" w:eastAsia="Arial" w:hAnsi="Arial"/>
                <w:sz w:val="13"/>
                <w:szCs w:val="13"/>
                <w:color w:val="auto"/>
              </w:rPr>
              <w:t>04/30/2019</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11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L+1,200</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32,776,212</w:t>
            </w:r>
          </w:p>
        </w:tc>
        <w:tc>
          <w:tcPr>
            <w:tcW w:w="9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32,181,185</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32,762,810</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(PIK 1.00%)</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040" w:type="dxa"/>
            <w:vAlign w:val="bottom"/>
            <w:shd w:val="clear" w:color="auto" w:fill="CCEEFF"/>
          </w:tcPr>
          <w:p>
            <w:pPr>
              <w:ind w:left="360"/>
              <w:spacing w:after="0" w:line="136" w:lineRule="exact"/>
              <w:rPr>
                <w:sz w:val="20"/>
                <w:szCs w:val="20"/>
                <w:color w:val="auto"/>
              </w:rPr>
            </w:pPr>
            <w:r>
              <w:rPr>
                <w:rFonts w:ascii="Arial" w:cs="Arial" w:eastAsia="Arial" w:hAnsi="Arial"/>
                <w:sz w:val="13"/>
                <w:szCs w:val="13"/>
                <w:color w:val="auto"/>
              </w:rPr>
              <w:t>03/01/2017</w:t>
            </w:r>
          </w:p>
        </w:tc>
        <w:tc>
          <w:tcPr>
            <w:tcW w:w="18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Cargo Transport</w:t>
            </w:r>
          </w:p>
        </w:tc>
        <w:tc>
          <w:tcPr>
            <w:tcW w:w="1020" w:type="dxa"/>
            <w:vAlign w:val="bottom"/>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4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rPr>
              <w:t>3,945,483</w:t>
            </w:r>
          </w:p>
        </w:tc>
        <w:tc>
          <w:tcPr>
            <w:tcW w:w="9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3,945,485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1,183,645</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J.A. Cosmetics Holdings, Inc.</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07/31/2019</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L+1,000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34,000,000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33,374,349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34,505,954</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Jacobs Entertainment, Inc.</w:t>
            </w:r>
          </w:p>
        </w:tc>
        <w:tc>
          <w:tcPr>
            <w:tcW w:w="104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10/29/2019</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Hotels, Motels, Inns and</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11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L+1,175</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38,950,000</w:t>
            </w:r>
          </w:p>
        </w:tc>
        <w:tc>
          <w:tcPr>
            <w:tcW w:w="9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38,400,639</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36,223,500</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Gaming</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KIK Custom Products Inc.</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10/29/2019</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9.50%</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L+825</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9,500,000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9,368,296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9,515,865</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Language Line, LLC</w:t>
            </w:r>
          </w:p>
        </w:tc>
        <w:tc>
          <w:tcPr>
            <w:tcW w:w="104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12/20/2016</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10.50%</w:t>
            </w:r>
          </w:p>
        </w:tc>
        <w:tc>
          <w:tcPr>
            <w:tcW w:w="11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L+875</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33,750,000</w:t>
            </w:r>
          </w:p>
        </w:tc>
        <w:tc>
          <w:tcPr>
            <w:tcW w:w="9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33,397,785</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33,384,487</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Miscellaneous Services</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10/31/2017</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12.50%</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11,875,000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11,585,997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12,379,687</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05/15/2019</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11.75%</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45,000,000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44,615,705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45,675,000</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040" w:type="dxa"/>
            <w:vAlign w:val="bottom"/>
          </w:tcPr>
          <w:p>
            <w:pPr>
              <w:ind w:left="360"/>
              <w:spacing w:after="0" w:line="135" w:lineRule="exact"/>
              <w:rPr>
                <w:sz w:val="20"/>
                <w:szCs w:val="20"/>
                <w:color w:val="auto"/>
              </w:rPr>
            </w:pPr>
            <w:r>
              <w:rPr>
                <w:rFonts w:ascii="Arial" w:cs="Arial" w:eastAsia="Arial" w:hAnsi="Arial"/>
                <w:sz w:val="13"/>
                <w:szCs w:val="13"/>
                <w:color w:val="auto"/>
              </w:rPr>
              <w:t>07/07/2021</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11.75%</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L+1,050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41,250,000</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40,850,421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1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10/02/2020</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1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L+775</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21,000,000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20,728,983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20,973,750</w:t>
            </w: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Pre-Paid Legal Services, Inc.</w:t>
            </w:r>
          </w:p>
        </w:tc>
        <w:tc>
          <w:tcPr>
            <w:tcW w:w="1040" w:type="dxa"/>
            <w:vAlign w:val="bottom"/>
          </w:tcPr>
          <w:p>
            <w:pPr>
              <w:ind w:left="360"/>
              <w:spacing w:after="0" w:line="121" w:lineRule="exact"/>
              <w:rPr>
                <w:sz w:val="20"/>
                <w:szCs w:val="20"/>
                <w:color w:val="auto"/>
              </w:rPr>
            </w:pPr>
            <w:r>
              <w:rPr>
                <w:rFonts w:ascii="Arial" w:cs="Arial" w:eastAsia="Arial" w:hAnsi="Arial"/>
                <w:sz w:val="13"/>
                <w:szCs w:val="13"/>
                <w:color w:val="auto"/>
              </w:rPr>
              <w:t>07/01/2020</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9.75%</w:t>
            </w:r>
          </w:p>
        </w:tc>
        <w:tc>
          <w:tcPr>
            <w:tcW w:w="11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L+850</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56,750,000</w:t>
            </w:r>
          </w:p>
        </w:tc>
        <w:tc>
          <w:tcPr>
            <w:tcW w:w="9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56,012,103</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57,317,500</w:t>
            </w: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Miscellaneous Services</w:t>
            </w: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0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4"/>
              </w:rPr>
              <w:t>480,641,935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484,232,576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jc w:val="center"/>
              <w:ind w:right="37"/>
              <w:spacing w:after="0"/>
              <w:rPr>
                <w:sz w:val="20"/>
                <w:szCs w:val="20"/>
                <w:color w:val="auto"/>
              </w:rPr>
            </w:pPr>
            <w:r>
              <w:rPr>
                <w:rFonts w:ascii="Arial" w:cs="Arial" w:eastAsia="Arial" w:hAnsi="Arial"/>
                <w:sz w:val="13"/>
                <w:szCs w:val="13"/>
                <w:b w:val="1"/>
                <w:bCs w:val="1"/>
                <w:color w:val="auto"/>
                <w:w w:val="84"/>
              </w:rPr>
              <w:t>Basis Point</w:t>
            </w: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Spread</w:t>
            </w: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60" w:type="dxa"/>
            <w:vAlign w:val="bottom"/>
          </w:tcPr>
          <w:p>
            <w:pPr>
              <w:ind w:left="300"/>
              <w:spacing w:after="0" w:line="135" w:lineRule="exact"/>
              <w:rPr>
                <w:sz w:val="20"/>
                <w:szCs w:val="20"/>
                <w:color w:val="auto"/>
              </w:rPr>
            </w:pPr>
            <w:r>
              <w:rPr>
                <w:rFonts w:ascii="Arial" w:cs="Arial" w:eastAsia="Arial" w:hAnsi="Arial"/>
                <w:sz w:val="13"/>
                <w:szCs w:val="13"/>
                <w:b w:val="1"/>
                <w:bCs w:val="1"/>
                <w:color w:val="auto"/>
              </w:rPr>
              <w:t>Maturity /</w:t>
            </w:r>
          </w:p>
        </w:tc>
        <w:tc>
          <w:tcPr>
            <w:tcW w:w="1620" w:type="dxa"/>
            <w:vAlign w:val="bottom"/>
          </w:tcPr>
          <w:p>
            <w:pPr>
              <w:spacing w:after="0"/>
              <w:rPr>
                <w:sz w:val="11"/>
                <w:szCs w:val="11"/>
                <w:color w:val="auto"/>
              </w:rPr>
            </w:pPr>
          </w:p>
        </w:tc>
        <w:tc>
          <w:tcPr>
            <w:tcW w:w="1240" w:type="dxa"/>
            <w:vAlign w:val="bottom"/>
          </w:tcPr>
          <w:p>
            <w:pPr>
              <w:jc w:val="right"/>
              <w:ind w:right="497"/>
              <w:spacing w:after="0" w:line="135" w:lineRule="exact"/>
              <w:rPr>
                <w:sz w:val="20"/>
                <w:szCs w:val="20"/>
                <w:color w:val="auto"/>
              </w:rPr>
            </w:pPr>
            <w:r>
              <w:rPr>
                <w:rFonts w:ascii="Arial" w:cs="Arial" w:eastAsia="Arial" w:hAnsi="Arial"/>
                <w:sz w:val="13"/>
                <w:szCs w:val="13"/>
                <w:b w:val="1"/>
                <w:bCs w:val="1"/>
                <w:color w:val="auto"/>
              </w:rPr>
              <w:t>Current</w:t>
            </w:r>
          </w:p>
        </w:tc>
        <w:tc>
          <w:tcPr>
            <w:tcW w:w="11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Above</w:t>
            </w:r>
          </w:p>
        </w:tc>
        <w:tc>
          <w:tcPr>
            <w:tcW w:w="1140" w:type="dxa"/>
            <w:vAlign w:val="bottom"/>
          </w:tcPr>
          <w:p>
            <w:pPr>
              <w:jc w:val="right"/>
              <w:ind w:right="497"/>
              <w:spacing w:after="0" w:line="135" w:lineRule="exact"/>
              <w:rPr>
                <w:sz w:val="20"/>
                <w:szCs w:val="20"/>
                <w:color w:val="auto"/>
              </w:rPr>
            </w:pPr>
            <w:r>
              <w:rPr>
                <w:rFonts w:ascii="Arial" w:cs="Arial" w:eastAsia="Arial" w:hAnsi="Arial"/>
                <w:sz w:val="13"/>
                <w:szCs w:val="13"/>
                <w:b w:val="1"/>
                <w:bCs w:val="1"/>
                <w:color w:val="auto"/>
              </w:rPr>
              <w:t>Par /</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60" w:type="dxa"/>
            <w:vAlign w:val="bottom"/>
            <w:vMerge w:val="continue"/>
          </w:tcPr>
          <w:p>
            <w:pPr>
              <w:spacing w:after="0"/>
              <w:rPr>
                <w:sz w:val="13"/>
                <w:szCs w:val="13"/>
                <w:color w:val="auto"/>
              </w:rPr>
            </w:pPr>
          </w:p>
        </w:tc>
        <w:tc>
          <w:tcPr>
            <w:tcW w:w="1060" w:type="dxa"/>
            <w:vAlign w:val="bottom"/>
          </w:tcPr>
          <w:p>
            <w:pPr>
              <w:ind w:left="280"/>
              <w:spacing w:after="0"/>
              <w:rPr>
                <w:sz w:val="20"/>
                <w:szCs w:val="20"/>
                <w:color w:val="auto"/>
              </w:rPr>
            </w:pPr>
            <w:r>
              <w:rPr>
                <w:rFonts w:ascii="Arial" w:cs="Arial" w:eastAsia="Arial" w:hAnsi="Arial"/>
                <w:sz w:val="13"/>
                <w:szCs w:val="13"/>
                <w:b w:val="1"/>
                <w:bCs w:val="1"/>
                <w:color w:val="auto"/>
              </w:rPr>
              <w:t>Expiration</w:t>
            </w:r>
          </w:p>
        </w:tc>
        <w:tc>
          <w:tcPr>
            <w:tcW w:w="162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Industry</w:t>
            </w:r>
          </w:p>
        </w:tc>
        <w:tc>
          <w:tcPr>
            <w:tcW w:w="1240" w:type="dxa"/>
            <w:vAlign w:val="bottom"/>
          </w:tcPr>
          <w:p>
            <w:pPr>
              <w:jc w:val="right"/>
              <w:ind w:right="497"/>
              <w:spacing w:after="0"/>
              <w:rPr>
                <w:sz w:val="20"/>
                <w:szCs w:val="20"/>
                <w:color w:val="auto"/>
              </w:rPr>
            </w:pPr>
            <w:r>
              <w:rPr>
                <w:rFonts w:ascii="Arial" w:cs="Arial" w:eastAsia="Arial" w:hAnsi="Arial"/>
                <w:sz w:val="13"/>
                <w:szCs w:val="13"/>
                <w:b w:val="1"/>
                <w:bCs w:val="1"/>
                <w:color w:val="auto"/>
              </w:rPr>
              <w:t>Coupon</w:t>
            </w:r>
          </w:p>
        </w:tc>
        <w:tc>
          <w:tcPr>
            <w:tcW w:w="11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1140" w:type="dxa"/>
            <w:vAlign w:val="bottom"/>
          </w:tcPr>
          <w:p>
            <w:pPr>
              <w:jc w:val="right"/>
              <w:ind w:right="457"/>
              <w:spacing w:after="0"/>
              <w:rPr>
                <w:sz w:val="20"/>
                <w:szCs w:val="20"/>
                <w:color w:val="auto"/>
              </w:rPr>
            </w:pPr>
            <w:r>
              <w:rPr>
                <w:rFonts w:ascii="Arial" w:cs="Arial" w:eastAsia="Arial" w:hAnsi="Arial"/>
                <w:sz w:val="13"/>
                <w:szCs w:val="13"/>
                <w:b w:val="1"/>
                <w:bCs w:val="1"/>
                <w:color w:val="auto"/>
              </w:rPr>
              <w:t>Shares</w:t>
            </w:r>
          </w:p>
        </w:tc>
        <w:tc>
          <w:tcPr>
            <w:tcW w:w="10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Subordinated Debt/Corporate Notes—24.8%</w:t>
            </w:r>
          </w:p>
        </w:tc>
        <w:tc>
          <w:tcPr>
            <w:tcW w:w="106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Acentia, LLC</w:t>
            </w:r>
          </w:p>
        </w:tc>
        <w:tc>
          <w:tcPr>
            <w:tcW w:w="10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10/02/2017</w:t>
            </w:r>
          </w:p>
        </w:tc>
        <w:tc>
          <w:tcPr>
            <w:tcW w:w="162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12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14.00%</w:t>
            </w:r>
          </w:p>
        </w:tc>
        <w:tc>
          <w:tcPr>
            <w:tcW w:w="114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19,000,000</w:t>
            </w:r>
          </w:p>
        </w:tc>
        <w:tc>
          <w:tcPr>
            <w:tcW w:w="10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w w:val="89"/>
              </w:rPr>
              <w:t>$ 18,697,637</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19,145,804</w:t>
            </w:r>
          </w:p>
        </w:tc>
        <w:tc>
          <w:tcPr>
            <w:tcW w:w="0" w:type="dxa"/>
            <w:vAlign w:val="bottom"/>
          </w:tcPr>
          <w:p>
            <w:pPr>
              <w:spacing w:after="0"/>
              <w:rPr>
                <w:sz w:val="1"/>
                <w:szCs w:val="1"/>
                <w:color w:val="auto"/>
              </w:rPr>
            </w:pPr>
          </w:p>
        </w:tc>
      </w:tr>
      <w:tr>
        <w:trPr>
          <w:trHeight w:val="121"/>
        </w:trPr>
        <w:tc>
          <w:tcPr>
            <w:tcW w:w="2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Group Holdings, Inc. </w:t>
            </w:r>
            <w:r>
              <w:rPr>
                <w:rFonts w:ascii="Arial" w:cs="Arial" w:eastAsia="Arial" w:hAnsi="Arial"/>
                <w:sz w:val="10"/>
                <w:szCs w:val="10"/>
                <w:color w:val="auto"/>
              </w:rPr>
              <w:t>(5)</w:t>
            </w:r>
          </w:p>
        </w:tc>
        <w:tc>
          <w:tcPr>
            <w:tcW w:w="1060" w:type="dxa"/>
            <w:vAlign w:val="bottom"/>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89"/>
              </w:rPr>
              <w:t>09/14/2018</w:t>
            </w:r>
          </w:p>
        </w:tc>
        <w:tc>
          <w:tcPr>
            <w:tcW w:w="1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1240" w:type="dxa"/>
            <w:vAlign w:val="bottom"/>
            <w:shd w:val="clear" w:color="auto" w:fill="CCEEFF"/>
          </w:tcPr>
          <w:p>
            <w:pPr>
              <w:jc w:val="right"/>
              <w:ind w:right="257"/>
              <w:spacing w:after="0" w:line="121" w:lineRule="exact"/>
              <w:rPr>
                <w:sz w:val="20"/>
                <w:szCs w:val="20"/>
                <w:color w:val="auto"/>
              </w:rPr>
            </w:pPr>
            <w:r>
              <w:rPr>
                <w:rFonts w:ascii="Arial" w:cs="Arial" w:eastAsia="Arial" w:hAnsi="Arial"/>
                <w:sz w:val="13"/>
                <w:szCs w:val="13"/>
                <w:color w:val="auto"/>
              </w:rPr>
              <w:t>14.50%</w:t>
            </w:r>
          </w:p>
        </w:tc>
        <w:tc>
          <w:tcPr>
            <w:tcW w:w="114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21" w:lineRule="exact"/>
              <w:rPr>
                <w:sz w:val="20"/>
                <w:szCs w:val="20"/>
                <w:color w:val="auto"/>
              </w:rPr>
            </w:pPr>
            <w:r>
              <w:rPr>
                <w:rFonts w:ascii="Arial" w:cs="Arial" w:eastAsia="Arial" w:hAnsi="Arial"/>
                <w:sz w:val="13"/>
                <w:szCs w:val="13"/>
                <w:color w:val="auto"/>
              </w:rPr>
              <w:t>35,983,184</w:t>
            </w:r>
          </w:p>
        </w:tc>
        <w:tc>
          <w:tcPr>
            <w:tcW w:w="10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31,471,438</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30,585,706</w:t>
            </w:r>
          </w:p>
        </w:tc>
        <w:tc>
          <w:tcPr>
            <w:tcW w:w="0" w:type="dxa"/>
            <w:vAlign w:val="bottom"/>
          </w:tcPr>
          <w:p>
            <w:pPr>
              <w:spacing w:after="0"/>
              <w:rPr>
                <w:sz w:val="1"/>
                <w:szCs w:val="1"/>
                <w:color w:val="auto"/>
              </w:rPr>
            </w:pPr>
          </w:p>
        </w:tc>
      </w:tr>
      <w:tr>
        <w:trPr>
          <w:trHeight w:val="163"/>
        </w:trPr>
        <w:tc>
          <w:tcPr>
            <w:tcW w:w="29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(PIK 14.50%)</w:t>
            </w:r>
          </w:p>
        </w:tc>
        <w:tc>
          <w:tcPr>
            <w:tcW w:w="1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 xml:space="preserve">Affinion Investments LLC </w:t>
            </w:r>
            <w:r>
              <w:rPr>
                <w:rFonts w:ascii="Arial" w:cs="Arial" w:eastAsia="Arial" w:hAnsi="Arial"/>
                <w:sz w:val="10"/>
                <w:szCs w:val="10"/>
                <w:color w:val="auto"/>
              </w:rPr>
              <w:t>(5)</w:t>
            </w:r>
          </w:p>
        </w:tc>
        <w:tc>
          <w:tcPr>
            <w:tcW w:w="10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08/15/2018</w:t>
            </w:r>
          </w:p>
        </w:tc>
        <w:tc>
          <w:tcPr>
            <w:tcW w:w="162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2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13.50%</w:t>
            </w:r>
          </w:p>
        </w:tc>
        <w:tc>
          <w:tcPr>
            <w:tcW w:w="114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15,096,000</w:t>
            </w:r>
          </w:p>
        </w:tc>
        <w:tc>
          <w:tcPr>
            <w:tcW w:w="10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15,096,000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14,039,280</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0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02/15/2019</w:t>
            </w:r>
          </w:p>
        </w:tc>
        <w:tc>
          <w:tcPr>
            <w:tcW w:w="1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124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12.00%</w:t>
            </w:r>
          </w:p>
        </w:tc>
        <w:tc>
          <w:tcPr>
            <w:tcW w:w="114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8,930,000</w:t>
            </w:r>
          </w:p>
        </w:tc>
        <w:tc>
          <w:tcPr>
            <w:tcW w:w="10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8,795,450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8,805,334</w:t>
            </w:r>
          </w:p>
        </w:tc>
        <w:tc>
          <w:tcPr>
            <w:tcW w:w="0" w:type="dxa"/>
            <w:vAlign w:val="bottom"/>
          </w:tcPr>
          <w:p>
            <w:pPr>
              <w:spacing w:after="0"/>
              <w:rPr>
                <w:sz w:val="1"/>
                <w:szCs w:val="1"/>
                <w:color w:val="auto"/>
              </w:rPr>
            </w:pPr>
          </w:p>
        </w:tc>
      </w:tr>
      <w:tr>
        <w:trPr>
          <w:trHeight w:val="121"/>
        </w:trPr>
        <w:tc>
          <w:tcPr>
            <w:tcW w:w="2960" w:type="dxa"/>
            <w:vAlign w:val="bottom"/>
          </w:tcPr>
          <w:p>
            <w:pPr>
              <w:spacing w:after="0" w:line="121" w:lineRule="exact"/>
              <w:rPr>
                <w:sz w:val="20"/>
                <w:szCs w:val="20"/>
                <w:color w:val="auto"/>
              </w:rPr>
            </w:pPr>
            <w:r>
              <w:rPr>
                <w:rFonts w:ascii="Arial" w:cs="Arial" w:eastAsia="Arial" w:hAnsi="Arial"/>
                <w:sz w:val="13"/>
                <w:szCs w:val="13"/>
                <w:color w:val="auto"/>
              </w:rPr>
              <w:t>Convergint Technologies LLC</w:t>
            </w:r>
          </w:p>
        </w:tc>
        <w:tc>
          <w:tcPr>
            <w:tcW w:w="1060" w:type="dxa"/>
            <w:vAlign w:val="bottom"/>
          </w:tcPr>
          <w:p>
            <w:pPr>
              <w:jc w:val="center"/>
              <w:ind w:left="17"/>
              <w:spacing w:after="0" w:line="121" w:lineRule="exact"/>
              <w:rPr>
                <w:sz w:val="20"/>
                <w:szCs w:val="20"/>
                <w:color w:val="auto"/>
              </w:rPr>
            </w:pPr>
            <w:r>
              <w:rPr>
                <w:rFonts w:ascii="Arial" w:cs="Arial" w:eastAsia="Arial" w:hAnsi="Arial"/>
                <w:sz w:val="13"/>
                <w:szCs w:val="13"/>
                <w:color w:val="auto"/>
                <w:w w:val="89"/>
              </w:rPr>
              <w:t>03/26/2018</w:t>
            </w:r>
          </w:p>
        </w:tc>
        <w:tc>
          <w:tcPr>
            <w:tcW w:w="1620" w:type="dxa"/>
            <w:vAlign w:val="bottom"/>
          </w:tcPr>
          <w:p>
            <w:pPr>
              <w:jc w:val="center"/>
              <w:spacing w:after="0" w:line="121" w:lineRule="exact"/>
              <w:rPr>
                <w:sz w:val="20"/>
                <w:szCs w:val="20"/>
                <w:color w:val="auto"/>
              </w:rPr>
            </w:pPr>
            <w:r>
              <w:rPr>
                <w:rFonts w:ascii="Arial" w:cs="Arial" w:eastAsia="Arial" w:hAnsi="Arial"/>
                <w:sz w:val="13"/>
                <w:szCs w:val="13"/>
                <w:color w:val="auto"/>
                <w:w w:val="91"/>
              </w:rPr>
              <w:t>Electronics</w:t>
            </w:r>
          </w:p>
        </w:tc>
        <w:tc>
          <w:tcPr>
            <w:tcW w:w="1240" w:type="dxa"/>
            <w:vAlign w:val="bottom"/>
          </w:tcPr>
          <w:p>
            <w:pPr>
              <w:jc w:val="right"/>
              <w:ind w:right="257"/>
              <w:spacing w:after="0" w:line="121" w:lineRule="exact"/>
              <w:rPr>
                <w:sz w:val="20"/>
                <w:szCs w:val="20"/>
                <w:color w:val="auto"/>
              </w:rPr>
            </w:pPr>
            <w:r>
              <w:rPr>
                <w:rFonts w:ascii="Arial" w:cs="Arial" w:eastAsia="Arial" w:hAnsi="Arial"/>
                <w:sz w:val="13"/>
                <w:szCs w:val="13"/>
                <w:color w:val="auto"/>
              </w:rPr>
              <w:t>12.00%</w:t>
            </w:r>
          </w:p>
        </w:tc>
        <w:tc>
          <w:tcPr>
            <w:tcW w:w="114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21" w:lineRule="exact"/>
              <w:rPr>
                <w:sz w:val="20"/>
                <w:szCs w:val="20"/>
                <w:color w:val="auto"/>
              </w:rPr>
            </w:pPr>
            <w:r>
              <w:rPr>
                <w:rFonts w:ascii="Arial" w:cs="Arial" w:eastAsia="Arial" w:hAnsi="Arial"/>
                <w:sz w:val="13"/>
                <w:szCs w:val="13"/>
                <w:color w:val="auto"/>
              </w:rPr>
              <w:t>23,753,813</w:t>
            </w:r>
          </w:p>
        </w:tc>
        <w:tc>
          <w:tcPr>
            <w:tcW w:w="10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23,422,959</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23,991,351</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Arial" w:cs="Arial" w:eastAsia="Arial" w:hAnsi="Arial"/>
                <w:sz w:val="13"/>
                <w:szCs w:val="13"/>
                <w:color w:val="auto"/>
              </w:rPr>
              <w:t>(PIK 1.00%)</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9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Credit Infonet, Inc.</w:t>
            </w:r>
          </w:p>
        </w:tc>
        <w:tc>
          <w:tcPr>
            <w:tcW w:w="1060" w:type="dxa"/>
            <w:vAlign w:val="bottom"/>
            <w:shd w:val="clear" w:color="auto" w:fill="CCEEFF"/>
          </w:tcPr>
          <w:p>
            <w:pPr>
              <w:jc w:val="center"/>
              <w:ind w:left="17"/>
              <w:spacing w:after="0" w:line="122" w:lineRule="exact"/>
              <w:rPr>
                <w:sz w:val="20"/>
                <w:szCs w:val="20"/>
                <w:color w:val="auto"/>
              </w:rPr>
            </w:pPr>
            <w:r>
              <w:rPr>
                <w:rFonts w:ascii="Arial" w:cs="Arial" w:eastAsia="Arial" w:hAnsi="Arial"/>
                <w:sz w:val="13"/>
                <w:szCs w:val="13"/>
                <w:color w:val="auto"/>
                <w:w w:val="89"/>
              </w:rPr>
              <w:t>10/26/2018</w:t>
            </w:r>
          </w:p>
        </w:tc>
        <w:tc>
          <w:tcPr>
            <w:tcW w:w="16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Personal, Food and</w:t>
            </w:r>
          </w:p>
        </w:tc>
        <w:tc>
          <w:tcPr>
            <w:tcW w:w="1240" w:type="dxa"/>
            <w:vAlign w:val="bottom"/>
            <w:shd w:val="clear" w:color="auto" w:fill="CCEEFF"/>
          </w:tcPr>
          <w:p>
            <w:pPr>
              <w:jc w:val="right"/>
              <w:ind w:right="257"/>
              <w:spacing w:after="0" w:line="122" w:lineRule="exact"/>
              <w:rPr>
                <w:sz w:val="20"/>
                <w:szCs w:val="20"/>
                <w:color w:val="auto"/>
              </w:rPr>
            </w:pPr>
            <w:r>
              <w:rPr>
                <w:rFonts w:ascii="Arial" w:cs="Arial" w:eastAsia="Arial" w:hAnsi="Arial"/>
                <w:sz w:val="13"/>
                <w:szCs w:val="13"/>
                <w:color w:val="auto"/>
              </w:rPr>
              <w:t>12.50%</w:t>
            </w:r>
          </w:p>
        </w:tc>
        <w:tc>
          <w:tcPr>
            <w:tcW w:w="1140" w:type="dxa"/>
            <w:vAlign w:val="bottom"/>
            <w:shd w:val="clear" w:color="auto" w:fill="CCEEFF"/>
          </w:tcPr>
          <w:p>
            <w:pPr>
              <w:ind w:left="820"/>
              <w:spacing w:after="0" w:line="122"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22" w:lineRule="exact"/>
              <w:rPr>
                <w:sz w:val="20"/>
                <w:szCs w:val="20"/>
                <w:color w:val="auto"/>
              </w:rPr>
            </w:pPr>
            <w:r>
              <w:rPr>
                <w:rFonts w:ascii="Arial" w:cs="Arial" w:eastAsia="Arial" w:hAnsi="Arial"/>
                <w:sz w:val="13"/>
                <w:szCs w:val="13"/>
                <w:color w:val="auto"/>
              </w:rPr>
              <w:t>10,633,397</w:t>
            </w:r>
          </w:p>
        </w:tc>
        <w:tc>
          <w:tcPr>
            <w:tcW w:w="1020" w:type="dxa"/>
            <w:vAlign w:val="bottom"/>
            <w:gridSpan w:val="2"/>
            <w:shd w:val="clear" w:color="auto" w:fill="CCEEFF"/>
          </w:tcPr>
          <w:p>
            <w:pPr>
              <w:jc w:val="right"/>
              <w:ind w:right="320"/>
              <w:spacing w:after="0" w:line="122" w:lineRule="exact"/>
              <w:rPr>
                <w:sz w:val="20"/>
                <w:szCs w:val="20"/>
                <w:color w:val="auto"/>
              </w:rPr>
            </w:pPr>
            <w:r>
              <w:rPr>
                <w:rFonts w:ascii="Arial" w:cs="Arial" w:eastAsia="Arial" w:hAnsi="Arial"/>
                <w:sz w:val="13"/>
                <w:szCs w:val="13"/>
                <w:color w:val="auto"/>
              </w:rPr>
              <w:t>10,462,892</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10,261,422</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Miscellaneous</w:t>
            </w:r>
          </w:p>
        </w:tc>
        <w:tc>
          <w:tcPr>
            <w:tcW w:w="12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(PIK 1.25%)</w:t>
            </w:r>
          </w:p>
        </w:tc>
        <w:tc>
          <w:tcPr>
            <w:tcW w:w="1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Services</w:t>
            </w:r>
          </w:p>
        </w:tc>
        <w:tc>
          <w:tcPr>
            <w:tcW w:w="1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Energy &amp; Exploration Partners, Inc.</w:t>
            </w:r>
          </w:p>
        </w:tc>
        <w:tc>
          <w:tcPr>
            <w:tcW w:w="10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07/01/2019</w:t>
            </w:r>
          </w:p>
        </w:tc>
        <w:tc>
          <w:tcPr>
            <w:tcW w:w="162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2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8.00%</w:t>
            </w:r>
          </w:p>
        </w:tc>
        <w:tc>
          <w:tcPr>
            <w:tcW w:w="114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9,500,000</w:t>
            </w:r>
          </w:p>
        </w:tc>
        <w:tc>
          <w:tcPr>
            <w:tcW w:w="10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9,500,000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9,310,000</w:t>
            </w:r>
          </w:p>
        </w:tc>
        <w:tc>
          <w:tcPr>
            <w:tcW w:w="0" w:type="dxa"/>
            <w:vAlign w:val="bottom"/>
          </w:tcPr>
          <w:p>
            <w:pPr>
              <w:spacing w:after="0"/>
              <w:rPr>
                <w:sz w:val="1"/>
                <w:szCs w:val="1"/>
                <w:color w:val="auto"/>
              </w:rPr>
            </w:pPr>
          </w:p>
        </w:tc>
      </w:tr>
      <w:tr>
        <w:trPr>
          <w:trHeight w:val="121"/>
        </w:trPr>
        <w:tc>
          <w:tcPr>
            <w:tcW w:w="2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JF Acquisition, LLC</w:t>
            </w:r>
          </w:p>
        </w:tc>
        <w:tc>
          <w:tcPr>
            <w:tcW w:w="1060" w:type="dxa"/>
            <w:vAlign w:val="bottom"/>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89"/>
              </w:rPr>
              <w:t>06/30/2017</w:t>
            </w:r>
          </w:p>
        </w:tc>
        <w:tc>
          <w:tcPr>
            <w:tcW w:w="1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5"/>
              </w:rPr>
              <w:t>Distribution</w:t>
            </w:r>
          </w:p>
        </w:tc>
        <w:tc>
          <w:tcPr>
            <w:tcW w:w="1240" w:type="dxa"/>
            <w:vAlign w:val="bottom"/>
            <w:shd w:val="clear" w:color="auto" w:fill="CCEEFF"/>
          </w:tcPr>
          <w:p>
            <w:pPr>
              <w:jc w:val="right"/>
              <w:ind w:right="257"/>
              <w:spacing w:after="0" w:line="121" w:lineRule="exact"/>
              <w:rPr>
                <w:sz w:val="20"/>
                <w:szCs w:val="20"/>
                <w:color w:val="auto"/>
              </w:rPr>
            </w:pPr>
            <w:r>
              <w:rPr>
                <w:rFonts w:ascii="Arial" w:cs="Arial" w:eastAsia="Arial" w:hAnsi="Arial"/>
                <w:sz w:val="13"/>
                <w:szCs w:val="13"/>
                <w:color w:val="auto"/>
              </w:rPr>
              <w:t>14.00%</w:t>
            </w:r>
          </w:p>
        </w:tc>
        <w:tc>
          <w:tcPr>
            <w:tcW w:w="114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21" w:lineRule="exact"/>
              <w:rPr>
                <w:sz w:val="20"/>
                <w:szCs w:val="20"/>
                <w:color w:val="auto"/>
              </w:rPr>
            </w:pPr>
            <w:r>
              <w:rPr>
                <w:rFonts w:ascii="Arial" w:cs="Arial" w:eastAsia="Arial" w:hAnsi="Arial"/>
                <w:sz w:val="13"/>
                <w:szCs w:val="13"/>
                <w:color w:val="auto"/>
              </w:rPr>
              <w:t>19,874,148</w:t>
            </w:r>
          </w:p>
        </w:tc>
        <w:tc>
          <w:tcPr>
            <w:tcW w:w="10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19,543,873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17,886,733</w:t>
            </w:r>
          </w:p>
        </w:tc>
        <w:tc>
          <w:tcPr>
            <w:tcW w:w="0" w:type="dxa"/>
            <w:vAlign w:val="bottom"/>
          </w:tcPr>
          <w:p>
            <w:pPr>
              <w:spacing w:after="0"/>
              <w:rPr>
                <w:sz w:val="1"/>
                <w:szCs w:val="1"/>
                <w:color w:val="auto"/>
              </w:rPr>
            </w:pPr>
          </w:p>
        </w:tc>
      </w:tr>
      <w:tr>
        <w:trPr>
          <w:trHeight w:val="163"/>
        </w:trPr>
        <w:tc>
          <w:tcPr>
            <w:tcW w:w="29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(PIK 2.00%)</w:t>
            </w:r>
          </w:p>
        </w:tc>
        <w:tc>
          <w:tcPr>
            <w:tcW w:w="1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line="121" w:lineRule="exact"/>
              <w:rPr>
                <w:sz w:val="20"/>
                <w:szCs w:val="20"/>
                <w:color w:val="auto"/>
              </w:rPr>
            </w:pPr>
            <w:r>
              <w:rPr>
                <w:rFonts w:ascii="Arial" w:cs="Arial" w:eastAsia="Arial" w:hAnsi="Arial"/>
                <w:sz w:val="13"/>
                <w:szCs w:val="13"/>
                <w:color w:val="auto"/>
              </w:rPr>
              <w:t>MSPark, Inc.</w:t>
            </w:r>
          </w:p>
        </w:tc>
        <w:tc>
          <w:tcPr>
            <w:tcW w:w="1060" w:type="dxa"/>
            <w:vAlign w:val="bottom"/>
          </w:tcPr>
          <w:p>
            <w:pPr>
              <w:jc w:val="center"/>
              <w:ind w:left="17"/>
              <w:spacing w:after="0" w:line="121" w:lineRule="exact"/>
              <w:rPr>
                <w:sz w:val="20"/>
                <w:szCs w:val="20"/>
                <w:color w:val="auto"/>
              </w:rPr>
            </w:pPr>
            <w:r>
              <w:rPr>
                <w:rFonts w:ascii="Arial" w:cs="Arial" w:eastAsia="Arial" w:hAnsi="Arial"/>
                <w:sz w:val="13"/>
                <w:szCs w:val="13"/>
                <w:color w:val="auto"/>
                <w:w w:val="89"/>
              </w:rPr>
              <w:t>06/15/2017</w:t>
            </w:r>
          </w:p>
        </w:tc>
        <w:tc>
          <w:tcPr>
            <w:tcW w:w="1620" w:type="dxa"/>
            <w:vAlign w:val="bottom"/>
          </w:tcPr>
          <w:p>
            <w:pPr>
              <w:jc w:val="center"/>
              <w:spacing w:after="0" w:line="121" w:lineRule="exact"/>
              <w:rPr>
                <w:sz w:val="20"/>
                <w:szCs w:val="20"/>
                <w:color w:val="auto"/>
              </w:rPr>
            </w:pPr>
            <w:r>
              <w:rPr>
                <w:rFonts w:ascii="Arial" w:cs="Arial" w:eastAsia="Arial" w:hAnsi="Arial"/>
                <w:sz w:val="13"/>
                <w:szCs w:val="13"/>
                <w:color w:val="auto"/>
                <w:w w:val="89"/>
              </w:rPr>
              <w:t>Printing and</w:t>
            </w:r>
          </w:p>
        </w:tc>
        <w:tc>
          <w:tcPr>
            <w:tcW w:w="12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114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21" w:lineRule="exact"/>
              <w:rPr>
                <w:sz w:val="20"/>
                <w:szCs w:val="20"/>
                <w:color w:val="auto"/>
              </w:rPr>
            </w:pPr>
            <w:r>
              <w:rPr>
                <w:rFonts w:ascii="Arial" w:cs="Arial" w:eastAsia="Arial" w:hAnsi="Arial"/>
                <w:sz w:val="13"/>
                <w:szCs w:val="13"/>
                <w:color w:val="auto"/>
              </w:rPr>
              <w:t>15,000,000</w:t>
            </w:r>
          </w:p>
        </w:tc>
        <w:tc>
          <w:tcPr>
            <w:tcW w:w="10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14,758,098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60" w:type="dxa"/>
            <w:vAlign w:val="bottom"/>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89"/>
              </w:rPr>
              <w:t>11/15/2019</w:t>
            </w:r>
          </w:p>
        </w:tc>
        <w:tc>
          <w:tcPr>
            <w:tcW w:w="1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240" w:type="dxa"/>
            <w:vAlign w:val="bottom"/>
            <w:shd w:val="clear" w:color="auto" w:fill="CCEEFF"/>
          </w:tcPr>
          <w:p>
            <w:pPr>
              <w:jc w:val="right"/>
              <w:ind w:right="257"/>
              <w:spacing w:after="0" w:line="121" w:lineRule="exact"/>
              <w:rPr>
                <w:sz w:val="20"/>
                <w:szCs w:val="20"/>
                <w:color w:val="auto"/>
              </w:rPr>
            </w:pPr>
            <w:r>
              <w:rPr>
                <w:rFonts w:ascii="Arial" w:cs="Arial" w:eastAsia="Arial" w:hAnsi="Arial"/>
                <w:sz w:val="13"/>
                <w:szCs w:val="13"/>
                <w:color w:val="auto"/>
              </w:rPr>
              <w:t>12.00%</w:t>
            </w:r>
          </w:p>
        </w:tc>
        <w:tc>
          <w:tcPr>
            <w:tcW w:w="114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21" w:lineRule="exact"/>
              <w:rPr>
                <w:sz w:val="20"/>
                <w:szCs w:val="20"/>
                <w:color w:val="auto"/>
              </w:rPr>
            </w:pPr>
            <w:r>
              <w:rPr>
                <w:rFonts w:ascii="Arial" w:cs="Arial" w:eastAsia="Arial" w:hAnsi="Arial"/>
                <w:sz w:val="13"/>
                <w:szCs w:val="13"/>
                <w:color w:val="auto"/>
              </w:rPr>
              <w:t>13,500,000</w:t>
            </w:r>
          </w:p>
        </w:tc>
        <w:tc>
          <w:tcPr>
            <w:tcW w:w="10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13,040,004</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10,665,000</w:t>
            </w:r>
          </w:p>
        </w:tc>
        <w:tc>
          <w:tcPr>
            <w:tcW w:w="0" w:type="dxa"/>
            <w:vAlign w:val="bottom"/>
          </w:tcPr>
          <w:p>
            <w:pPr>
              <w:spacing w:after="0"/>
              <w:rPr>
                <w:sz w:val="1"/>
                <w:szCs w:val="1"/>
                <w:color w:val="auto"/>
              </w:rPr>
            </w:pPr>
          </w:p>
        </w:tc>
      </w:tr>
      <w:tr>
        <w:trPr>
          <w:trHeight w:val="163"/>
        </w:trPr>
        <w:tc>
          <w:tcPr>
            <w:tcW w:w="29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(PIK 12.00%)</w:t>
            </w:r>
          </w:p>
        </w:tc>
        <w:tc>
          <w:tcPr>
            <w:tcW w:w="1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Power Products, LLC</w:t>
            </w:r>
          </w:p>
        </w:tc>
        <w:tc>
          <w:tcPr>
            <w:tcW w:w="10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12/11/2020</w:t>
            </w:r>
          </w:p>
        </w:tc>
        <w:tc>
          <w:tcPr>
            <w:tcW w:w="162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12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12.75%</w:t>
            </w:r>
            <w:r>
              <w:rPr>
                <w:rFonts w:ascii="Arial" w:cs="Arial" w:eastAsia="Arial" w:hAnsi="Arial"/>
                <w:sz w:val="10"/>
                <w:szCs w:val="10"/>
                <w:color w:val="auto"/>
              </w:rPr>
              <w:t>(7)</w:t>
            </w:r>
          </w:p>
        </w:tc>
        <w:tc>
          <w:tcPr>
            <w:tcW w:w="114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15,000,000</w:t>
            </w:r>
          </w:p>
        </w:tc>
        <w:tc>
          <w:tcPr>
            <w:tcW w:w="10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14,793,246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15,225,000</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Randall-Reilly Publishing Company, LLC</w:t>
            </w:r>
          </w:p>
        </w:tc>
        <w:tc>
          <w:tcPr>
            <w:tcW w:w="10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04/15/2019</w:t>
            </w:r>
          </w:p>
        </w:tc>
        <w:tc>
          <w:tcPr>
            <w:tcW w:w="1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2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114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30,400,000</w:t>
            </w:r>
          </w:p>
        </w:tc>
        <w:tc>
          <w:tcPr>
            <w:tcW w:w="10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29,860,100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30,704,000</w:t>
            </w:r>
          </w:p>
        </w:tc>
        <w:tc>
          <w:tcPr>
            <w:tcW w:w="0" w:type="dxa"/>
            <w:vAlign w:val="bottom"/>
          </w:tcPr>
          <w:p>
            <w:pPr>
              <w:spacing w:after="0"/>
              <w:rPr>
                <w:sz w:val="1"/>
                <w:szCs w:val="1"/>
                <w:color w:val="auto"/>
              </w:rPr>
            </w:pPr>
          </w:p>
        </w:tc>
      </w:tr>
      <w:tr>
        <w:trPr>
          <w:trHeight w:val="149"/>
        </w:trPr>
        <w:tc>
          <w:tcPr>
            <w:tcW w:w="2960" w:type="dxa"/>
            <w:vAlign w:val="bottom"/>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209,441,697</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205,619,630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Equity/Partnership Interests—1.6% </w:t>
            </w:r>
            <w:r>
              <w:rPr>
                <w:rFonts w:ascii="Arial" w:cs="Arial" w:eastAsia="Arial" w:hAnsi="Arial"/>
                <w:sz w:val="10"/>
                <w:szCs w:val="10"/>
                <w:b w:val="1"/>
                <w:bCs w:val="1"/>
                <w:color w:val="auto"/>
              </w:rPr>
              <w:t>(6)</w:t>
            </w:r>
          </w:p>
        </w:tc>
        <w:tc>
          <w:tcPr>
            <w:tcW w:w="10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1060" w:type="dxa"/>
            <w:vAlign w:val="bottom"/>
          </w:tcPr>
          <w:p>
            <w:pPr>
              <w:jc w:val="center"/>
              <w:ind w:left="17"/>
              <w:spacing w:after="0" w:line="121" w:lineRule="exact"/>
              <w:rPr>
                <w:sz w:val="20"/>
                <w:szCs w:val="20"/>
                <w:color w:val="auto"/>
              </w:rPr>
            </w:pPr>
            <w:r>
              <w:rPr>
                <w:rFonts w:ascii="Arial" w:cs="Arial" w:eastAsia="Arial" w:hAnsi="Arial"/>
                <w:sz w:val="13"/>
                <w:szCs w:val="13"/>
                <w:color w:val="auto"/>
              </w:rPr>
              <w:t>—</w:t>
            </w:r>
          </w:p>
        </w:tc>
        <w:tc>
          <w:tcPr>
            <w:tcW w:w="162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1240" w:type="dxa"/>
            <w:vAlign w:val="bottom"/>
          </w:tcPr>
          <w:p>
            <w:pPr>
              <w:jc w:val="right"/>
              <w:ind w:right="257"/>
              <w:spacing w:after="0" w:line="121" w:lineRule="exact"/>
              <w:rPr>
                <w:sz w:val="20"/>
                <w:szCs w:val="20"/>
                <w:color w:val="auto"/>
              </w:rPr>
            </w:pPr>
            <w:r>
              <w:rPr>
                <w:rFonts w:ascii="Arial" w:cs="Arial" w:eastAsia="Arial" w:hAnsi="Arial"/>
                <w:sz w:val="13"/>
                <w:szCs w:val="13"/>
                <w:color w:val="auto"/>
              </w:rPr>
              <w:t>6.00%</w:t>
            </w:r>
          </w:p>
        </w:tc>
        <w:tc>
          <w:tcPr>
            <w:tcW w:w="114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21" w:lineRule="exact"/>
              <w:rPr>
                <w:sz w:val="20"/>
                <w:szCs w:val="20"/>
                <w:color w:val="auto"/>
              </w:rPr>
            </w:pPr>
            <w:r>
              <w:rPr>
                <w:rFonts w:ascii="Arial" w:cs="Arial" w:eastAsia="Arial" w:hAnsi="Arial"/>
                <w:sz w:val="13"/>
                <w:szCs w:val="13"/>
                <w:color w:val="auto"/>
              </w:rPr>
              <w:t>211</w:t>
            </w:r>
          </w:p>
        </w:tc>
        <w:tc>
          <w:tcPr>
            <w:tcW w:w="10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500,000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AHC Mezzanine, LLC</w:t>
            </w:r>
          </w:p>
        </w:tc>
        <w:tc>
          <w:tcPr>
            <w:tcW w:w="10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24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7,505</w:t>
            </w:r>
          </w:p>
        </w:tc>
        <w:tc>
          <w:tcPr>
            <w:tcW w:w="10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318,896</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60" w:type="dxa"/>
            <w:vAlign w:val="bottom"/>
          </w:tcPr>
          <w:p>
            <w:pPr>
              <w:spacing w:after="0" w:line="121" w:lineRule="exact"/>
              <w:rPr>
                <w:sz w:val="20"/>
                <w:szCs w:val="20"/>
                <w:color w:val="auto"/>
              </w:rPr>
            </w:pPr>
            <w:r>
              <w:rPr>
                <w:rFonts w:ascii="Arial" w:cs="Arial" w:eastAsia="Arial" w:hAnsi="Arial"/>
                <w:sz w:val="13"/>
                <w:szCs w:val="13"/>
                <w:color w:val="auto"/>
              </w:rPr>
              <w:t>Alegeus Technologies Holdings Corp. (Alegeus</w:t>
            </w:r>
          </w:p>
        </w:tc>
        <w:tc>
          <w:tcPr>
            <w:tcW w:w="1060" w:type="dxa"/>
            <w:vAlign w:val="bottom"/>
          </w:tcPr>
          <w:p>
            <w:pPr>
              <w:jc w:val="center"/>
              <w:ind w:left="17"/>
              <w:spacing w:after="0" w:line="121" w:lineRule="exact"/>
              <w:rPr>
                <w:sz w:val="20"/>
                <w:szCs w:val="20"/>
                <w:color w:val="auto"/>
              </w:rPr>
            </w:pPr>
            <w:r>
              <w:rPr>
                <w:rFonts w:ascii="Arial" w:cs="Arial" w:eastAsia="Arial" w:hAnsi="Arial"/>
                <w:sz w:val="13"/>
                <w:szCs w:val="13"/>
                <w:color w:val="auto"/>
              </w:rPr>
              <w:t>—</w:t>
            </w:r>
          </w:p>
        </w:tc>
        <w:tc>
          <w:tcPr>
            <w:tcW w:w="1620" w:type="dxa"/>
            <w:vAlign w:val="bottom"/>
          </w:tcPr>
          <w:p>
            <w:pPr>
              <w:jc w:val="center"/>
              <w:spacing w:after="0" w:line="121" w:lineRule="exact"/>
              <w:rPr>
                <w:sz w:val="20"/>
                <w:szCs w:val="20"/>
                <w:color w:val="auto"/>
              </w:rPr>
            </w:pPr>
            <w:r>
              <w:rPr>
                <w:rFonts w:ascii="Arial" w:cs="Arial" w:eastAsia="Arial" w:hAnsi="Arial"/>
                <w:sz w:val="13"/>
                <w:szCs w:val="13"/>
                <w:color w:val="auto"/>
                <w:w w:val="89"/>
              </w:rPr>
              <w:t>Financial Services</w:t>
            </w:r>
          </w:p>
        </w:tc>
        <w:tc>
          <w:tcPr>
            <w:tcW w:w="1240" w:type="dxa"/>
            <w:vAlign w:val="bottom"/>
          </w:tcPr>
          <w:p>
            <w:pPr>
              <w:jc w:val="right"/>
              <w:ind w:right="377"/>
              <w:spacing w:after="0" w:line="121" w:lineRule="exact"/>
              <w:rPr>
                <w:sz w:val="20"/>
                <w:szCs w:val="20"/>
                <w:color w:val="auto"/>
              </w:rPr>
            </w:pPr>
            <w:r>
              <w:rPr>
                <w:rFonts w:ascii="Arial" w:cs="Arial" w:eastAsia="Arial" w:hAnsi="Arial"/>
                <w:sz w:val="13"/>
                <w:szCs w:val="13"/>
                <w:color w:val="auto"/>
              </w:rPr>
              <w:t>—</w:t>
            </w:r>
          </w:p>
        </w:tc>
        <w:tc>
          <w:tcPr>
            <w:tcW w:w="114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21" w:lineRule="exact"/>
              <w:rPr>
                <w:sz w:val="20"/>
                <w:szCs w:val="20"/>
                <w:color w:val="auto"/>
              </w:rPr>
            </w:pPr>
            <w:r>
              <w:rPr>
                <w:rFonts w:ascii="Arial" w:cs="Arial" w:eastAsia="Arial" w:hAnsi="Arial"/>
                <w:sz w:val="13"/>
                <w:szCs w:val="13"/>
                <w:color w:val="auto"/>
              </w:rPr>
              <w:t>949</w:t>
            </w:r>
          </w:p>
        </w:tc>
        <w:tc>
          <w:tcPr>
            <w:tcW w:w="10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949,050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427,965</w:t>
            </w:r>
          </w:p>
        </w:tc>
        <w:tc>
          <w:tcPr>
            <w:tcW w:w="0" w:type="dxa"/>
            <w:vAlign w:val="bottom"/>
          </w:tcPr>
          <w:p>
            <w:pPr>
              <w:spacing w:after="0"/>
              <w:rPr>
                <w:sz w:val="1"/>
                <w:szCs w:val="1"/>
                <w:color w:val="auto"/>
              </w:rPr>
            </w:pPr>
          </w:p>
        </w:tc>
      </w:tr>
      <w:tr>
        <w:trPr>
          <w:trHeight w:val="149"/>
        </w:trPr>
        <w:tc>
          <w:tcPr>
            <w:tcW w:w="2960" w:type="dxa"/>
            <w:vAlign w:val="bottom"/>
          </w:tcPr>
          <w:p>
            <w:pPr>
              <w:ind w:left="140"/>
              <w:spacing w:after="0"/>
              <w:rPr>
                <w:sz w:val="20"/>
                <w:szCs w:val="20"/>
                <w:color w:val="auto"/>
              </w:rPr>
            </w:pPr>
            <w:r>
              <w:rPr>
                <w:rFonts w:ascii="Arial" w:cs="Arial" w:eastAsia="Arial" w:hAnsi="Arial"/>
                <w:sz w:val="13"/>
                <w:szCs w:val="13"/>
                <w:color w:val="auto"/>
              </w:rPr>
              <w:t>Technologies, LLC)</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CI (IHS) Investment Holdings, LLC</w:t>
            </w:r>
          </w:p>
        </w:tc>
        <w:tc>
          <w:tcPr>
            <w:tcW w:w="1060" w:type="dxa"/>
            <w:vAlign w:val="bottom"/>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1240" w:type="dxa"/>
            <w:vAlign w:val="bottom"/>
            <w:shd w:val="clear" w:color="auto" w:fill="CCEEFF"/>
          </w:tcPr>
          <w:p>
            <w:pPr>
              <w:jc w:val="right"/>
              <w:ind w:right="257"/>
              <w:spacing w:after="0" w:line="121" w:lineRule="exact"/>
              <w:rPr>
                <w:sz w:val="20"/>
                <w:szCs w:val="20"/>
                <w:color w:val="auto"/>
              </w:rPr>
            </w:pPr>
            <w:r>
              <w:rPr>
                <w:rFonts w:ascii="Arial" w:cs="Arial" w:eastAsia="Arial" w:hAnsi="Arial"/>
                <w:sz w:val="13"/>
                <w:szCs w:val="13"/>
                <w:color w:val="auto"/>
              </w:rPr>
              <w:t>8.00%</w:t>
            </w:r>
          </w:p>
        </w:tc>
        <w:tc>
          <w:tcPr>
            <w:tcW w:w="114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21" w:lineRule="exact"/>
              <w:rPr>
                <w:sz w:val="20"/>
                <w:szCs w:val="20"/>
                <w:color w:val="auto"/>
              </w:rPr>
            </w:pPr>
            <w:r>
              <w:rPr>
                <w:rFonts w:ascii="Arial" w:cs="Arial" w:eastAsia="Arial" w:hAnsi="Arial"/>
                <w:sz w:val="13"/>
                <w:szCs w:val="13"/>
                <w:color w:val="auto"/>
              </w:rPr>
              <w:t>76,357</w:t>
            </w:r>
          </w:p>
        </w:tc>
        <w:tc>
          <w:tcPr>
            <w:tcW w:w="10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765,307</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2,216,474</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and Childcare</w:t>
            </w:r>
          </w:p>
        </w:tc>
        <w:tc>
          <w:tcPr>
            <w:tcW w:w="1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line="121"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1060" w:type="dxa"/>
            <w:vAlign w:val="bottom"/>
          </w:tcPr>
          <w:p>
            <w:pPr>
              <w:jc w:val="center"/>
              <w:ind w:left="17"/>
              <w:spacing w:after="0" w:line="121" w:lineRule="exact"/>
              <w:rPr>
                <w:sz w:val="20"/>
                <w:szCs w:val="20"/>
                <w:color w:val="auto"/>
              </w:rPr>
            </w:pPr>
            <w:r>
              <w:rPr>
                <w:rFonts w:ascii="Arial" w:cs="Arial" w:eastAsia="Arial" w:hAnsi="Arial"/>
                <w:sz w:val="13"/>
                <w:szCs w:val="13"/>
                <w:color w:val="auto"/>
              </w:rPr>
              <w:t>—</w:t>
            </w:r>
          </w:p>
        </w:tc>
        <w:tc>
          <w:tcPr>
            <w:tcW w:w="162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1240" w:type="dxa"/>
            <w:vAlign w:val="bottom"/>
          </w:tcPr>
          <w:p>
            <w:pPr>
              <w:jc w:val="right"/>
              <w:ind w:right="377"/>
              <w:spacing w:after="0" w:line="121" w:lineRule="exact"/>
              <w:rPr>
                <w:sz w:val="20"/>
                <w:szCs w:val="20"/>
                <w:color w:val="auto"/>
              </w:rPr>
            </w:pPr>
            <w:r>
              <w:rPr>
                <w:rFonts w:ascii="Arial" w:cs="Arial" w:eastAsia="Arial" w:hAnsi="Arial"/>
                <w:sz w:val="13"/>
                <w:szCs w:val="13"/>
                <w:color w:val="auto"/>
              </w:rPr>
              <w:t>—</w:t>
            </w:r>
          </w:p>
        </w:tc>
        <w:tc>
          <w:tcPr>
            <w:tcW w:w="114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21" w:lineRule="exact"/>
              <w:rPr>
                <w:sz w:val="20"/>
                <w:szCs w:val="20"/>
                <w:color w:val="auto"/>
              </w:rPr>
            </w:pPr>
            <w:r>
              <w:rPr>
                <w:rFonts w:ascii="Arial" w:cs="Arial" w:eastAsia="Arial" w:hAnsi="Arial"/>
                <w:sz w:val="13"/>
                <w:szCs w:val="13"/>
                <w:color w:val="auto"/>
              </w:rPr>
              <w:t>38,179</w:t>
            </w:r>
          </w:p>
        </w:tc>
        <w:tc>
          <w:tcPr>
            <w:tcW w:w="10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382,654</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1,108,237</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Convergint Technologies Holdings, LLC</w:t>
            </w:r>
          </w:p>
        </w:tc>
        <w:tc>
          <w:tcPr>
            <w:tcW w:w="1060" w:type="dxa"/>
            <w:vAlign w:val="bottom"/>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Electronics</w:t>
            </w:r>
          </w:p>
        </w:tc>
        <w:tc>
          <w:tcPr>
            <w:tcW w:w="1240" w:type="dxa"/>
            <w:vAlign w:val="bottom"/>
            <w:shd w:val="clear" w:color="auto" w:fill="CCEEFF"/>
          </w:tcPr>
          <w:p>
            <w:pPr>
              <w:jc w:val="right"/>
              <w:ind w:right="257"/>
              <w:spacing w:after="0" w:line="121" w:lineRule="exact"/>
              <w:rPr>
                <w:sz w:val="20"/>
                <w:szCs w:val="20"/>
                <w:color w:val="auto"/>
              </w:rPr>
            </w:pPr>
            <w:r>
              <w:rPr>
                <w:rFonts w:ascii="Arial" w:cs="Arial" w:eastAsia="Arial" w:hAnsi="Arial"/>
                <w:sz w:val="13"/>
                <w:szCs w:val="13"/>
                <w:color w:val="auto"/>
              </w:rPr>
              <w:t>8.00%</w:t>
            </w:r>
          </w:p>
        </w:tc>
        <w:tc>
          <w:tcPr>
            <w:tcW w:w="114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21" w:lineRule="exact"/>
              <w:rPr>
                <w:sz w:val="20"/>
                <w:szCs w:val="20"/>
                <w:color w:val="auto"/>
              </w:rPr>
            </w:pPr>
            <w:r>
              <w:rPr>
                <w:rFonts w:ascii="Arial" w:cs="Arial" w:eastAsia="Arial" w:hAnsi="Arial"/>
                <w:sz w:val="13"/>
                <w:szCs w:val="13"/>
                <w:color w:val="auto"/>
              </w:rPr>
              <w:t>2,375</w:t>
            </w:r>
          </w:p>
        </w:tc>
        <w:tc>
          <w:tcPr>
            <w:tcW w:w="10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2,375,000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2,790,511</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(Convergint Technologies LLC)</w:t>
            </w:r>
          </w:p>
        </w:tc>
        <w:tc>
          <w:tcPr>
            <w:tcW w:w="10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line="121" w:lineRule="exact"/>
              <w:rPr>
                <w:sz w:val="20"/>
                <w:szCs w:val="20"/>
                <w:color w:val="auto"/>
              </w:rPr>
            </w:pPr>
            <w:r>
              <w:rPr>
                <w:rFonts w:ascii="Arial" w:cs="Arial" w:eastAsia="Arial" w:hAnsi="Arial"/>
                <w:sz w:val="13"/>
                <w:szCs w:val="13"/>
                <w:color w:val="auto"/>
              </w:rPr>
              <w:t>J.A. Cosmetics US, Inc.</w:t>
            </w:r>
          </w:p>
        </w:tc>
        <w:tc>
          <w:tcPr>
            <w:tcW w:w="1060" w:type="dxa"/>
            <w:vAlign w:val="bottom"/>
          </w:tcPr>
          <w:p>
            <w:pPr>
              <w:jc w:val="center"/>
              <w:ind w:left="17"/>
              <w:spacing w:after="0" w:line="121" w:lineRule="exact"/>
              <w:rPr>
                <w:sz w:val="20"/>
                <w:szCs w:val="20"/>
                <w:color w:val="auto"/>
              </w:rPr>
            </w:pPr>
            <w:r>
              <w:rPr>
                <w:rFonts w:ascii="Arial" w:cs="Arial" w:eastAsia="Arial" w:hAnsi="Arial"/>
                <w:sz w:val="13"/>
                <w:szCs w:val="13"/>
                <w:color w:val="auto"/>
              </w:rPr>
              <w:t>—</w:t>
            </w:r>
          </w:p>
        </w:tc>
        <w:tc>
          <w:tcPr>
            <w:tcW w:w="1620" w:type="dxa"/>
            <w:vAlign w:val="bottom"/>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1240" w:type="dxa"/>
            <w:vAlign w:val="bottom"/>
          </w:tcPr>
          <w:p>
            <w:pPr>
              <w:jc w:val="right"/>
              <w:ind w:right="257"/>
              <w:spacing w:after="0" w:line="121" w:lineRule="exact"/>
              <w:rPr>
                <w:sz w:val="20"/>
                <w:szCs w:val="20"/>
                <w:color w:val="auto"/>
              </w:rPr>
            </w:pPr>
            <w:r>
              <w:rPr>
                <w:rFonts w:ascii="Arial" w:cs="Arial" w:eastAsia="Arial" w:hAnsi="Arial"/>
                <w:sz w:val="13"/>
                <w:szCs w:val="13"/>
                <w:color w:val="auto"/>
              </w:rPr>
              <w:t>8.00%</w:t>
            </w:r>
          </w:p>
        </w:tc>
        <w:tc>
          <w:tcPr>
            <w:tcW w:w="114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21" w:lineRule="exact"/>
              <w:rPr>
                <w:sz w:val="20"/>
                <w:szCs w:val="20"/>
                <w:color w:val="auto"/>
              </w:rPr>
            </w:pPr>
            <w:r>
              <w:rPr>
                <w:rFonts w:ascii="Arial" w:cs="Arial" w:eastAsia="Arial" w:hAnsi="Arial"/>
                <w:sz w:val="13"/>
                <w:szCs w:val="13"/>
                <w:color w:val="auto"/>
              </w:rPr>
              <w:t>3,397</w:t>
            </w:r>
          </w:p>
        </w:tc>
        <w:tc>
          <w:tcPr>
            <w:tcW w:w="10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3,397,484</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3,580,328</w:t>
            </w:r>
          </w:p>
        </w:tc>
        <w:tc>
          <w:tcPr>
            <w:tcW w:w="0" w:type="dxa"/>
            <w:vAlign w:val="bottom"/>
          </w:tcPr>
          <w:p>
            <w:pPr>
              <w:spacing w:after="0"/>
              <w:rPr>
                <w:sz w:val="1"/>
                <w:szCs w:val="1"/>
                <w:color w:val="auto"/>
              </w:rPr>
            </w:pPr>
          </w:p>
        </w:tc>
      </w:tr>
      <w:tr>
        <w:trPr>
          <w:trHeight w:val="149"/>
        </w:trPr>
        <w:tc>
          <w:tcPr>
            <w:tcW w:w="2960" w:type="dxa"/>
            <w:vAlign w:val="bottom"/>
          </w:tcPr>
          <w:p>
            <w:pPr>
              <w:ind w:left="140"/>
              <w:spacing w:after="0"/>
              <w:rPr>
                <w:sz w:val="20"/>
                <w:szCs w:val="20"/>
                <w:color w:val="auto"/>
              </w:rPr>
            </w:pPr>
            <w:r>
              <w:rPr>
                <w:rFonts w:ascii="Arial" w:cs="Arial" w:eastAsia="Arial" w:hAnsi="Arial"/>
                <w:sz w:val="13"/>
                <w:szCs w:val="13"/>
                <w:color w:val="auto"/>
              </w:rPr>
              <w:t>(J.A. Cosmetics Holdings, Inc.)</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 Point, LLC</w:t>
            </w:r>
          </w:p>
        </w:tc>
        <w:tc>
          <w:tcPr>
            <w:tcW w:w="10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24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8.00%</w:t>
            </w:r>
          </w:p>
        </w:tc>
        <w:tc>
          <w:tcPr>
            <w:tcW w:w="114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3,591</w:t>
            </w:r>
          </w:p>
        </w:tc>
        <w:tc>
          <w:tcPr>
            <w:tcW w:w="10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21,727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31,851</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Ride Holdings, Inc.</w:t>
            </w:r>
          </w:p>
        </w:tc>
        <w:tc>
          <w:tcPr>
            <w:tcW w:w="106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62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12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8.00%</w:t>
            </w:r>
          </w:p>
        </w:tc>
        <w:tc>
          <w:tcPr>
            <w:tcW w:w="114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1,966,667</w:t>
            </w:r>
          </w:p>
        </w:tc>
        <w:tc>
          <w:tcPr>
            <w:tcW w:w="10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2,251,667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712,145</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TZ Holdings, L.P., Series A</w:t>
            </w:r>
          </w:p>
        </w:tc>
        <w:tc>
          <w:tcPr>
            <w:tcW w:w="10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Insurance</w:t>
            </w:r>
          </w:p>
        </w:tc>
        <w:tc>
          <w:tcPr>
            <w:tcW w:w="124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686</w:t>
            </w:r>
          </w:p>
        </w:tc>
        <w:tc>
          <w:tcPr>
            <w:tcW w:w="10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685,820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685,820</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TZ Holdings, L.P., Series B</w:t>
            </w:r>
          </w:p>
        </w:tc>
        <w:tc>
          <w:tcPr>
            <w:tcW w:w="106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620" w:type="dxa"/>
            <w:vAlign w:val="bottom"/>
          </w:tcPr>
          <w:p>
            <w:pPr>
              <w:jc w:val="center"/>
              <w:spacing w:after="0" w:line="135" w:lineRule="exact"/>
              <w:rPr>
                <w:sz w:val="20"/>
                <w:szCs w:val="20"/>
                <w:color w:val="auto"/>
              </w:rPr>
            </w:pPr>
            <w:r>
              <w:rPr>
                <w:rFonts w:ascii="Arial" w:cs="Arial" w:eastAsia="Arial" w:hAnsi="Arial"/>
                <w:sz w:val="13"/>
                <w:szCs w:val="13"/>
                <w:color w:val="auto"/>
                <w:w w:val="87"/>
              </w:rPr>
              <w:t>Insurance</w:t>
            </w:r>
          </w:p>
        </w:tc>
        <w:tc>
          <w:tcPr>
            <w:tcW w:w="12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6.50%</w:t>
            </w:r>
          </w:p>
        </w:tc>
        <w:tc>
          <w:tcPr>
            <w:tcW w:w="114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1,312</w:t>
            </w:r>
          </w:p>
        </w:tc>
        <w:tc>
          <w:tcPr>
            <w:tcW w:w="10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1,312,006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1,799,366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0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12,959,611</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13,352,697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Basis Point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Spread</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1940" w:type="dxa"/>
            <w:vAlign w:val="bottom"/>
          </w:tcPr>
          <w:p>
            <w:pPr>
              <w:spacing w:after="0"/>
              <w:rPr>
                <w:sz w:val="11"/>
                <w:szCs w:val="11"/>
                <w:color w:val="auto"/>
              </w:rPr>
            </w:pPr>
          </w:p>
        </w:tc>
        <w:tc>
          <w:tcPr>
            <w:tcW w:w="98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Current</w:t>
            </w:r>
          </w:p>
        </w:tc>
        <w:tc>
          <w:tcPr>
            <w:tcW w:w="11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Above</w:t>
            </w:r>
          </w:p>
        </w:tc>
        <w:tc>
          <w:tcPr>
            <w:tcW w:w="86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Par /</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vMerge w:val="continue"/>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3"/>
                <w:szCs w:val="13"/>
                <w:b w:val="1"/>
                <w:bCs w:val="1"/>
                <w:color w:val="auto"/>
              </w:rPr>
              <w:t>Expiration</w:t>
            </w:r>
          </w:p>
        </w:tc>
        <w:tc>
          <w:tcPr>
            <w:tcW w:w="1940" w:type="dxa"/>
            <w:vAlign w:val="bottom"/>
          </w:tcPr>
          <w:p>
            <w:pPr>
              <w:ind w:left="660"/>
              <w:spacing w:after="0"/>
              <w:rPr>
                <w:sz w:val="20"/>
                <w:szCs w:val="20"/>
                <w:color w:val="auto"/>
              </w:rPr>
            </w:pPr>
            <w:r>
              <w:rPr>
                <w:rFonts w:ascii="Arial" w:cs="Arial" w:eastAsia="Arial" w:hAnsi="Arial"/>
                <w:sz w:val="13"/>
                <w:szCs w:val="13"/>
                <w:b w:val="1"/>
                <w:bCs w:val="1"/>
                <w:color w:val="auto"/>
              </w:rPr>
              <w:t>Industry</w:t>
            </w:r>
          </w:p>
        </w:tc>
        <w:tc>
          <w:tcPr>
            <w:tcW w:w="980" w:type="dxa"/>
            <w:vAlign w:val="bottom"/>
          </w:tcPr>
          <w:p>
            <w:pPr>
              <w:ind w:left="180"/>
              <w:spacing w:after="0"/>
              <w:rPr>
                <w:sz w:val="20"/>
                <w:szCs w:val="20"/>
                <w:color w:val="auto"/>
              </w:rPr>
            </w:pPr>
            <w:r>
              <w:rPr>
                <w:rFonts w:ascii="Arial" w:cs="Arial" w:eastAsia="Arial" w:hAnsi="Arial"/>
                <w:sz w:val="13"/>
                <w:szCs w:val="13"/>
                <w:b w:val="1"/>
                <w:bCs w:val="1"/>
                <w:color w:val="auto"/>
              </w:rPr>
              <w:t>Coupon</w:t>
            </w:r>
          </w:p>
        </w:tc>
        <w:tc>
          <w:tcPr>
            <w:tcW w:w="116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60" w:type="dxa"/>
            <w:vAlign w:val="bottom"/>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3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0"/>
              </w:rPr>
              <w:t xml:space="preserve">Common Equity/Partnership Interests/Warrants—9.1% </w:t>
            </w:r>
            <w:r>
              <w:rPr>
                <w:rFonts w:ascii="Arial" w:cs="Arial" w:eastAsia="Arial" w:hAnsi="Arial"/>
                <w:sz w:val="10"/>
                <w:szCs w:val="10"/>
                <w:b w:val="1"/>
                <w:bCs w:val="1"/>
                <w:color w:val="auto"/>
                <w:w w:val="90"/>
              </w:rPr>
              <w:t>(6)</w:t>
            </w:r>
          </w:p>
        </w:tc>
        <w:tc>
          <w:tcPr>
            <w:tcW w:w="800" w:type="dxa"/>
            <w:vAlign w:val="bottom"/>
            <w:tcBorders>
              <w:top w:val="single" w:sz="8" w:color="auto"/>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right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Acentia, LLC, Class A Units </w:t>
            </w:r>
            <w:r>
              <w:rPr>
                <w:rFonts w:ascii="Arial" w:cs="Arial" w:eastAsia="Arial" w:hAnsi="Arial"/>
                <w:sz w:val="10"/>
                <w:szCs w:val="10"/>
                <w:color w:val="auto"/>
              </w:rPr>
              <w:t>(11)</w:t>
            </w:r>
          </w:p>
        </w:tc>
        <w:tc>
          <w:tcPr>
            <w:tcW w:w="8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Electronics</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1,998</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2,000,000</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825,006</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 Series A</w:t>
            </w:r>
          </w:p>
        </w:tc>
        <w:tc>
          <w:tcPr>
            <w:tcW w:w="800" w:type="dxa"/>
            <w:vAlign w:val="bottom"/>
            <w:shd w:val="clear" w:color="auto" w:fill="CCEEFF"/>
          </w:tcPr>
          <w:p>
            <w:pPr>
              <w:jc w:val="center"/>
              <w:ind w:right="117"/>
              <w:spacing w:after="0" w:line="121" w:lineRule="exact"/>
              <w:rPr>
                <w:sz w:val="20"/>
                <w:szCs w:val="20"/>
                <w:color w:val="auto"/>
              </w:rPr>
            </w:pPr>
            <w:r>
              <w:rPr>
                <w:rFonts w:ascii="Arial" w:cs="Arial" w:eastAsia="Arial" w:hAnsi="Arial"/>
                <w:sz w:val="13"/>
                <w:szCs w:val="13"/>
                <w:color w:val="auto"/>
                <w:w w:val="89"/>
              </w:rPr>
              <w:t>12/12/2023</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5"/>
              </w:rPr>
              <w:t>Consumer Products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4,798,624</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10,265,972</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8,997,421</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Affinion Group Holdings, Inc., Series B</w:t>
            </w:r>
          </w:p>
        </w:tc>
        <w:tc>
          <w:tcPr>
            <w:tcW w:w="800" w:type="dxa"/>
            <w:vAlign w:val="bottom"/>
          </w:tcPr>
          <w:p>
            <w:pPr>
              <w:jc w:val="center"/>
              <w:ind w:right="117"/>
              <w:spacing w:after="0" w:line="121" w:lineRule="exact"/>
              <w:rPr>
                <w:sz w:val="20"/>
                <w:szCs w:val="20"/>
                <w:color w:val="auto"/>
              </w:rPr>
            </w:pPr>
            <w:r>
              <w:rPr>
                <w:rFonts w:ascii="Arial" w:cs="Arial" w:eastAsia="Arial" w:hAnsi="Arial"/>
                <w:sz w:val="13"/>
                <w:szCs w:val="13"/>
                <w:color w:val="auto"/>
                <w:w w:val="89"/>
              </w:rPr>
              <w:t>12/12/2023</w:t>
            </w:r>
          </w:p>
        </w:tc>
        <w:tc>
          <w:tcPr>
            <w:tcW w:w="194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5"/>
              </w:rPr>
              <w:t>Consumer Products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9,822,196</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rPr>
                <w:sz w:val="20"/>
                <w:szCs w:val="20"/>
                <w:color w:val="auto"/>
              </w:rPr>
            </w:pPr>
            <w:r>
              <w:rPr>
                <w:rFonts w:ascii="Arial" w:cs="Arial" w:eastAsia="Arial" w:hAnsi="Arial"/>
                <w:sz w:val="13"/>
                <w:szCs w:val="13"/>
                <w:color w:val="auto"/>
              </w:rPr>
              <w:t>(Warrants)</w:t>
            </w:r>
          </w:p>
        </w:tc>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 (Warrants)</w:t>
            </w:r>
          </w:p>
        </w:tc>
        <w:tc>
          <w:tcPr>
            <w:tcW w:w="800" w:type="dxa"/>
            <w:vAlign w:val="bottom"/>
            <w:shd w:val="clear" w:color="auto" w:fill="CCEEFF"/>
          </w:tcPr>
          <w:p>
            <w:pPr>
              <w:jc w:val="center"/>
              <w:ind w:right="117"/>
              <w:spacing w:after="0" w:line="121" w:lineRule="exact"/>
              <w:rPr>
                <w:sz w:val="20"/>
                <w:szCs w:val="20"/>
                <w:color w:val="auto"/>
              </w:rPr>
            </w:pPr>
            <w:r>
              <w:rPr>
                <w:rFonts w:ascii="Arial" w:cs="Arial" w:eastAsia="Arial" w:hAnsi="Arial"/>
                <w:sz w:val="13"/>
                <w:szCs w:val="13"/>
                <w:color w:val="auto"/>
                <w:w w:val="89"/>
              </w:rPr>
              <w:t>03/23/2021</w:t>
            </w:r>
          </w:p>
        </w:tc>
        <w:tc>
          <w:tcPr>
            <w:tcW w:w="194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753</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7"/>
              </w:rPr>
              <w:t>and Childcare</w:t>
            </w: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Alegeus Technologies Holding Corp.</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9"/>
              </w:rPr>
              <w:t>Financial Services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950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rPr>
                <w:sz w:val="20"/>
                <w:szCs w:val="20"/>
                <w:color w:val="auto"/>
              </w:rPr>
            </w:pPr>
            <w:r>
              <w:rPr>
                <w:rFonts w:ascii="Arial" w:cs="Arial" w:eastAsia="Arial" w:hAnsi="Arial"/>
                <w:sz w:val="13"/>
                <w:szCs w:val="13"/>
                <w:color w:val="auto"/>
              </w:rPr>
              <w:t>(Alegeus Technologies, LLC)</w:t>
            </w:r>
          </w:p>
        </w:tc>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800" w:type="dxa"/>
            <w:vAlign w:val="bottom"/>
            <w:shd w:val="clear" w:color="auto" w:fill="CCEEFF"/>
          </w:tcPr>
          <w:p>
            <w:pPr>
              <w:jc w:val="center"/>
              <w:ind w:right="117"/>
              <w:spacing w:after="0" w:line="135" w:lineRule="exact"/>
              <w:rPr>
                <w:sz w:val="20"/>
                <w:szCs w:val="20"/>
                <w:color w:val="auto"/>
              </w:rPr>
            </w:pPr>
            <w:r>
              <w:rPr>
                <w:rFonts w:ascii="Arial" w:cs="Arial" w:eastAsia="Arial" w:hAnsi="Arial"/>
                <w:sz w:val="13"/>
                <w:szCs w:val="13"/>
                <w:color w:val="auto"/>
                <w:w w:val="89"/>
              </w:rPr>
              <w:t>05/05/2026</w:t>
            </w:r>
          </w:p>
        </w:tc>
        <w:tc>
          <w:tcPr>
            <w:tcW w:w="194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Education</w:t>
            </w:r>
          </w:p>
        </w:tc>
        <w:tc>
          <w:tcPr>
            <w:tcW w:w="98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933</w:t>
            </w:r>
          </w:p>
        </w:tc>
        <w:tc>
          <w:tcPr>
            <w:tcW w:w="2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586,975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540,370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Autumn Games, LLC</w:t>
            </w:r>
          </w:p>
        </w:tc>
        <w:tc>
          <w:tcPr>
            <w:tcW w:w="8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Broadcasting and Entertainment</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1,333,333</w:t>
            </w:r>
          </w:p>
        </w:tc>
        <w:tc>
          <w:tcPr>
            <w:tcW w:w="220" w:type="dxa"/>
            <w:vAlign w:val="bottom"/>
          </w:tcPr>
          <w:p>
            <w:pPr>
              <w:spacing w:after="0"/>
              <w:rPr>
                <w:sz w:val="11"/>
                <w:szCs w:val="11"/>
                <w:color w:val="auto"/>
              </w:rPr>
            </w:pP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6"/>
              </w:rPr>
              <w:t>Cargo Transport</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137,923</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2,111,588</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(f/k/a Transportation 100 Holdco, L.L.C.)</w:t>
            </w:r>
          </w:p>
        </w:tc>
        <w:tc>
          <w:tcPr>
            <w:tcW w:w="8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(Intermediate Transportation 100, L.L.C.)</w:t>
            </w: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Building Materials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207,242</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2,250,000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2,377,491</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Building Materials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103,621</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1,125,000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1,188,746</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8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5"/>
              </w:rPr>
              <w:t>Distribution</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1,505,000</w:t>
            </w:r>
          </w:p>
        </w:tc>
        <w:tc>
          <w:tcPr>
            <w:tcW w:w="220" w:type="dxa"/>
            <w:vAlign w:val="bottom"/>
          </w:tcPr>
          <w:p>
            <w:pPr>
              <w:spacing w:after="0"/>
              <w:rPr>
                <w:sz w:val="11"/>
                <w:szCs w:val="11"/>
                <w:color w:val="auto"/>
              </w:rPr>
            </w:pP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1,505,000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1,847,186</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CI (IHS) Investment Holdings, LLC</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23,416</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234,693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679,750</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7"/>
              </w:rPr>
              <w:t>and Childcare</w:t>
            </w: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11,708</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117,346</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339,875</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tcPr>
          <w:p>
            <w:pPr>
              <w:jc w:val="center"/>
              <w:ind w:right="57"/>
              <w:spacing w:after="0"/>
              <w:rPr>
                <w:sz w:val="20"/>
                <w:szCs w:val="20"/>
                <w:color w:val="auto"/>
              </w:rPr>
            </w:pPr>
            <w:r>
              <w:rPr>
                <w:rFonts w:ascii="Arial" w:cs="Arial" w:eastAsia="Arial" w:hAnsi="Arial"/>
                <w:sz w:val="13"/>
                <w:szCs w:val="13"/>
                <w:color w:val="auto"/>
                <w:w w:val="87"/>
              </w:rPr>
              <w:t>and Childcare</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Convergint Technologies Holdings, LLC</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Electronics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2,375</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760,634</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(Convergint Technologies LLC)</w:t>
            </w: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CT Technologies Holdings, LLC</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4"/>
              </w:rPr>
              <w:t>Business Services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5,556</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545,887</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3,725,224</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rPr>
                <w:sz w:val="20"/>
                <w:szCs w:val="20"/>
                <w:color w:val="auto"/>
              </w:rPr>
            </w:pPr>
            <w:r>
              <w:rPr>
                <w:rFonts w:ascii="Arial" w:cs="Arial" w:eastAsia="Arial" w:hAnsi="Arial"/>
                <w:sz w:val="13"/>
                <w:szCs w:val="13"/>
                <w:color w:val="auto"/>
              </w:rPr>
              <w:t>(CT Technologies Intermediate Holdings, Inc.)</w:t>
            </w:r>
          </w:p>
        </w:tc>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J.A. Cosmetics US, Inc.</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5"/>
              </w:rPr>
              <w:t>Consumer Products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252</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2,516</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493,464</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 Cosmetics Holdings, Inc.)</w:t>
            </w: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Kadmon Holdings, LLC, Class A</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1,079,920</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1,236,832</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9,906,155</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tcPr>
          <w:p>
            <w:pPr>
              <w:jc w:val="center"/>
              <w:ind w:right="57"/>
              <w:spacing w:after="0"/>
              <w:rPr>
                <w:sz w:val="20"/>
                <w:szCs w:val="20"/>
                <w:color w:val="auto"/>
              </w:rPr>
            </w:pPr>
            <w:r>
              <w:rPr>
                <w:rFonts w:ascii="Arial" w:cs="Arial" w:eastAsia="Arial" w:hAnsi="Arial"/>
                <w:sz w:val="13"/>
                <w:szCs w:val="13"/>
                <w:color w:val="auto"/>
                <w:w w:val="87"/>
              </w:rPr>
              <w:t>and Childcare</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D</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1,079,920</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1,028,807</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7"/>
              </w:rPr>
              <w:t>and Childcare</w:t>
            </w: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9"/>
              </w:rPr>
              <w:t>Environmental</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1,000,000</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856,105</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tcPr>
          <w:p>
            <w:pPr>
              <w:jc w:val="center"/>
              <w:ind w:right="57"/>
              <w:spacing w:after="0"/>
              <w:rPr>
                <w:sz w:val="20"/>
                <w:szCs w:val="20"/>
                <w:color w:val="auto"/>
              </w:rPr>
            </w:pPr>
            <w:r>
              <w:rPr>
                <w:rFonts w:ascii="Arial" w:cs="Arial" w:eastAsia="Arial" w:hAnsi="Arial"/>
                <w:sz w:val="13"/>
                <w:szCs w:val="13"/>
                <w:color w:val="auto"/>
                <w:w w:val="84"/>
              </w:rPr>
              <w:t>Services</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Magnum Hunter Resources Corporation (Warrants)</w:t>
            </w:r>
          </w:p>
        </w:tc>
        <w:tc>
          <w:tcPr>
            <w:tcW w:w="800" w:type="dxa"/>
            <w:vAlign w:val="bottom"/>
            <w:shd w:val="clear" w:color="auto" w:fill="CCEEFF"/>
          </w:tcPr>
          <w:p>
            <w:pPr>
              <w:jc w:val="center"/>
              <w:ind w:right="117"/>
              <w:spacing w:after="0" w:line="135" w:lineRule="exact"/>
              <w:rPr>
                <w:sz w:val="20"/>
                <w:szCs w:val="20"/>
                <w:color w:val="auto"/>
              </w:rPr>
            </w:pPr>
            <w:r>
              <w:rPr>
                <w:rFonts w:ascii="Arial" w:cs="Arial" w:eastAsia="Arial" w:hAnsi="Arial"/>
                <w:sz w:val="13"/>
                <w:szCs w:val="13"/>
                <w:color w:val="auto"/>
                <w:w w:val="89"/>
              </w:rPr>
              <w:t>04/16/2016</w:t>
            </w:r>
          </w:p>
        </w:tc>
        <w:tc>
          <w:tcPr>
            <w:tcW w:w="194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122,192</w:t>
            </w:r>
          </w:p>
        </w:tc>
        <w:tc>
          <w:tcPr>
            <w:tcW w:w="2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182,498</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91,644</w:t>
            </w: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MidOcean JF Holdings Corp.</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5"/>
              </w:rPr>
              <w:t>Distribution</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1,850</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1,850,294</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49,057</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rPr>
                <w:sz w:val="20"/>
                <w:szCs w:val="20"/>
                <w:color w:val="auto"/>
              </w:rPr>
            </w:pPr>
            <w:r>
              <w:rPr>
                <w:rFonts w:ascii="Arial" w:cs="Arial" w:eastAsia="Arial" w:hAnsi="Arial"/>
                <w:sz w:val="13"/>
                <w:szCs w:val="13"/>
                <w:color w:val="auto"/>
              </w:rPr>
              <w:t>(JF Acquisitions, LLC)</w:t>
            </w:r>
          </w:p>
        </w:tc>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MidOcean PPL Holdings, Corp.</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7"/>
              </w:rPr>
              <w:t>Personal, Food and Miscellaneous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3,000</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5,993,832</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Legal Services, Inc.)</w:t>
            </w: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4"/>
              </w:rPr>
              <w:t>Services</w:t>
            </w: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(11)</w:t>
            </w:r>
            <w:r>
              <w:rPr>
                <w:rFonts w:ascii="Arial" w:cs="Arial" w:eastAsia="Arial" w:hAnsi="Arial"/>
                <w:sz w:val="13"/>
                <w:szCs w:val="13"/>
                <w:color w:val="auto"/>
              </w:rPr>
              <w:t xml:space="preserve"> (Warrants)</w:t>
            </w:r>
          </w:p>
        </w:tc>
        <w:tc>
          <w:tcPr>
            <w:tcW w:w="80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89"/>
              </w:rPr>
              <w:t>05/09/2024</w:t>
            </w:r>
          </w:p>
        </w:tc>
        <w:tc>
          <w:tcPr>
            <w:tcW w:w="19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13,500</w:t>
            </w:r>
          </w:p>
        </w:tc>
        <w:tc>
          <w:tcPr>
            <w:tcW w:w="220" w:type="dxa"/>
            <w:vAlign w:val="bottom"/>
          </w:tcPr>
          <w:p>
            <w:pPr>
              <w:spacing w:after="0"/>
              <w:rPr>
                <w:sz w:val="11"/>
                <w:szCs w:val="11"/>
                <w:color w:val="auto"/>
              </w:rPr>
            </w:pP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495,000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2,970,000</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Patriot National, Inc. (f/k/a Old Guard Risk Services, Inc.)</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86"/>
              </w:rPr>
              <w:t>11/27/2023</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7"/>
              </w:rPr>
              <w:t>Insurance</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62,932</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1,290,904</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3,398,932</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Paradigm Acquisition Corp.</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20,000</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1,171,851</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2,800,714</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tcPr>
          <w:p>
            <w:pPr>
              <w:jc w:val="center"/>
              <w:ind w:right="57"/>
              <w:spacing w:after="0"/>
              <w:rPr>
                <w:sz w:val="20"/>
                <w:szCs w:val="20"/>
                <w:color w:val="auto"/>
              </w:rPr>
            </w:pPr>
            <w:r>
              <w:rPr>
                <w:rFonts w:ascii="Arial" w:cs="Arial" w:eastAsia="Arial" w:hAnsi="Arial"/>
                <w:sz w:val="13"/>
                <w:szCs w:val="13"/>
                <w:color w:val="auto"/>
                <w:w w:val="87"/>
              </w:rPr>
              <w:t>and Childcare</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Electronics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1,350,000</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1,350,000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1,657,516</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(Power Products, LLC)</w:t>
            </w: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Electronics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150,000</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150,000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184,168</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rPr>
                <w:sz w:val="20"/>
                <w:szCs w:val="20"/>
                <w:color w:val="auto"/>
              </w:rPr>
            </w:pPr>
            <w:r>
              <w:rPr>
                <w:rFonts w:ascii="Arial" w:cs="Arial" w:eastAsia="Arial" w:hAnsi="Arial"/>
                <w:sz w:val="13"/>
                <w:szCs w:val="13"/>
                <w:color w:val="auto"/>
              </w:rPr>
              <w:t>(Power Products, LLC)</w:t>
            </w:r>
          </w:p>
        </w:tc>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RAM Energy LLC </w:t>
            </w:r>
            <w:r>
              <w:rPr>
                <w:rFonts w:ascii="Arial" w:cs="Arial" w:eastAsia="Arial" w:hAnsi="Arial"/>
                <w:sz w:val="10"/>
                <w:szCs w:val="10"/>
                <w:color w:val="auto"/>
              </w:rPr>
              <w:t>(11)</w:t>
            </w:r>
          </w:p>
        </w:tc>
        <w:tc>
          <w:tcPr>
            <w:tcW w:w="80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1"/>
              </w:rPr>
              <w:t>Energy and Utilities</w:t>
            </w:r>
          </w:p>
        </w:tc>
        <w:tc>
          <w:tcPr>
            <w:tcW w:w="98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828</w:t>
            </w:r>
          </w:p>
        </w:tc>
        <w:tc>
          <w:tcPr>
            <w:tcW w:w="2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827,922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827,922</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Red Point, LLC</w:t>
            </w:r>
          </w:p>
        </w:tc>
        <w:tc>
          <w:tcPr>
            <w:tcW w:w="8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9"/>
              </w:rPr>
              <w:t>Other Media</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388,378</w:t>
            </w:r>
          </w:p>
        </w:tc>
        <w:tc>
          <w:tcPr>
            <w:tcW w:w="220" w:type="dxa"/>
            <w:vAlign w:val="bottom"/>
          </w:tcPr>
          <w:p>
            <w:pPr>
              <w:spacing w:after="0"/>
              <w:rPr>
                <w:sz w:val="11"/>
                <w:szCs w:val="11"/>
                <w:color w:val="auto"/>
              </w:rPr>
            </w:pP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1,629,791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3,444,803</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Ride Holdings, Inc.</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1"/>
              </w:rPr>
              <w:t>Personal</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9,882</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11,314</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8"/>
              </w:rPr>
              <w:t>Transportation</w:t>
            </w: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SPG Boyd Holdings Corp.</w:t>
            </w:r>
          </w:p>
        </w:tc>
        <w:tc>
          <w:tcPr>
            <w:tcW w:w="8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6"/>
              </w:rPr>
              <w:t>Chemicals, Plastics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3,000</w:t>
            </w:r>
          </w:p>
        </w:tc>
        <w:tc>
          <w:tcPr>
            <w:tcW w:w="220" w:type="dxa"/>
            <w:vAlign w:val="bottom"/>
          </w:tcPr>
          <w:p>
            <w:pPr>
              <w:spacing w:after="0"/>
              <w:rPr>
                <w:sz w:val="10"/>
                <w:szCs w:val="10"/>
                <w:color w:val="auto"/>
              </w:rPr>
            </w:pPr>
          </w:p>
        </w:tc>
        <w:tc>
          <w:tcPr>
            <w:tcW w:w="102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2,419,203</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9,457,220</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tcPr>
          <w:p>
            <w:pPr>
              <w:jc w:val="center"/>
              <w:ind w:right="57"/>
              <w:spacing w:after="0"/>
              <w:rPr>
                <w:sz w:val="20"/>
                <w:szCs w:val="20"/>
                <w:color w:val="auto"/>
              </w:rPr>
            </w:pPr>
            <w:r>
              <w:rPr>
                <w:rFonts w:ascii="Arial" w:cs="Arial" w:eastAsia="Arial" w:hAnsi="Arial"/>
                <w:sz w:val="13"/>
                <w:szCs w:val="13"/>
                <w:color w:val="auto"/>
                <w:w w:val="85"/>
              </w:rPr>
              <w:t>and Rubber</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 (Warrants)</w:t>
            </w:r>
          </w:p>
        </w:tc>
        <w:tc>
          <w:tcPr>
            <w:tcW w:w="800" w:type="dxa"/>
            <w:vAlign w:val="bottom"/>
            <w:shd w:val="clear" w:color="auto" w:fill="CCEEFF"/>
          </w:tcPr>
          <w:p>
            <w:pPr>
              <w:jc w:val="center"/>
              <w:ind w:right="117"/>
              <w:spacing w:after="0" w:line="135" w:lineRule="exact"/>
              <w:rPr>
                <w:sz w:val="20"/>
                <w:szCs w:val="20"/>
                <w:color w:val="auto"/>
              </w:rPr>
            </w:pPr>
            <w:r>
              <w:rPr>
                <w:rFonts w:ascii="Arial" w:cs="Arial" w:eastAsia="Arial" w:hAnsi="Arial"/>
                <w:sz w:val="13"/>
                <w:szCs w:val="13"/>
                <w:color w:val="auto"/>
                <w:w w:val="89"/>
              </w:rPr>
              <w:t>12/29/2019</w:t>
            </w:r>
          </w:p>
        </w:tc>
        <w:tc>
          <w:tcPr>
            <w:tcW w:w="194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3,500</w:t>
            </w:r>
          </w:p>
        </w:tc>
        <w:tc>
          <w:tcPr>
            <w:tcW w:w="2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29,400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542,155</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TZ Holdings, L.P.</w:t>
            </w:r>
          </w:p>
        </w:tc>
        <w:tc>
          <w:tcPr>
            <w:tcW w:w="8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Insurance</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w:t>
            </w:r>
          </w:p>
        </w:tc>
        <w:tc>
          <w:tcPr>
            <w:tcW w:w="220" w:type="dxa"/>
            <w:vAlign w:val="bottom"/>
          </w:tcPr>
          <w:p>
            <w:pPr>
              <w:spacing w:after="0"/>
              <w:rPr>
                <w:sz w:val="11"/>
                <w:szCs w:val="11"/>
                <w:color w:val="auto"/>
              </w:rPr>
            </w:pP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9,567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1,819,448</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8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19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9"/>
              </w:rPr>
              <w:t>Printing and</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211,797</w:t>
            </w:r>
          </w:p>
        </w:tc>
        <w:tc>
          <w:tcPr>
            <w:tcW w:w="2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793,873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3,413,412</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Publishing</w:t>
            </w: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VText Holdings, Inc.</w:t>
            </w:r>
          </w:p>
        </w:tc>
        <w:tc>
          <w:tcPr>
            <w:tcW w:w="8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9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35,526</w:t>
            </w:r>
          </w:p>
        </w:tc>
        <w:tc>
          <w:tcPr>
            <w:tcW w:w="220" w:type="dxa"/>
            <w:vAlign w:val="bottom"/>
          </w:tcPr>
          <w:p>
            <w:pPr>
              <w:spacing w:after="0"/>
              <w:rPr>
                <w:sz w:val="11"/>
                <w:szCs w:val="11"/>
                <w:color w:val="auto"/>
              </w:rPr>
            </w:pP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4,050,000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4,135,148</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Z Wireless Holdings, Inc. (Warrants)</w:t>
            </w:r>
          </w:p>
        </w:tc>
        <w:tc>
          <w:tcPr>
            <w:tcW w:w="800" w:type="dxa"/>
            <w:vAlign w:val="bottom"/>
            <w:shd w:val="clear" w:color="auto" w:fill="CCEEFF"/>
          </w:tcPr>
          <w:p>
            <w:pPr>
              <w:jc w:val="center"/>
              <w:ind w:right="117"/>
              <w:spacing w:after="0" w:line="135" w:lineRule="exact"/>
              <w:rPr>
                <w:sz w:val="20"/>
                <w:szCs w:val="20"/>
                <w:color w:val="auto"/>
              </w:rPr>
            </w:pPr>
            <w:r>
              <w:rPr>
                <w:rFonts w:ascii="Arial" w:cs="Arial" w:eastAsia="Arial" w:hAnsi="Arial"/>
                <w:sz w:val="13"/>
                <w:szCs w:val="13"/>
                <w:color w:val="auto"/>
                <w:w w:val="89"/>
              </w:rPr>
              <w:t>10/21/2021</w:t>
            </w:r>
          </w:p>
        </w:tc>
        <w:tc>
          <w:tcPr>
            <w:tcW w:w="194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1,736</w:t>
            </w:r>
          </w:p>
        </w:tc>
        <w:tc>
          <w:tcPr>
            <w:tcW w:w="2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168,799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457,020</w:t>
            </w:r>
          </w:p>
        </w:tc>
        <w:tc>
          <w:tcPr>
            <w:tcW w:w="0" w:type="dxa"/>
            <w:vAlign w:val="bottom"/>
          </w:tcPr>
          <w:p>
            <w:pPr>
              <w:spacing w:after="0"/>
              <w:rPr>
                <w:sz w:val="1"/>
                <w:szCs w:val="1"/>
                <w:color w:val="auto"/>
              </w:rPr>
            </w:pPr>
          </w:p>
        </w:tc>
      </w:tr>
      <w:tr>
        <w:trPr>
          <w:trHeight w:val="149"/>
        </w:trPr>
        <w:tc>
          <w:tcPr>
            <w:tcW w:w="3200" w:type="dxa"/>
            <w:vAlign w:val="bottom"/>
          </w:tcPr>
          <w:p>
            <w:pPr>
              <w:spacing w:after="0" w:line="142" w:lineRule="exact"/>
              <w:rPr>
                <w:sz w:val="20"/>
                <w:szCs w:val="20"/>
                <w:color w:val="auto"/>
              </w:rPr>
            </w:pPr>
            <w:r>
              <w:rPr>
                <w:rFonts w:ascii="Arial" w:cs="Arial" w:eastAsia="Arial" w:hAnsi="Arial"/>
                <w:sz w:val="13"/>
                <w:szCs w:val="13"/>
                <w:b w:val="1"/>
                <w:bCs w:val="1"/>
                <w:color w:val="auto"/>
                <w:w w:val="96"/>
              </w:rPr>
              <w:t>Total Common Equity/Partnership Interests/Warrants</w:t>
            </w:r>
          </w:p>
        </w:tc>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46,441,982</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75,006,097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9"/>
              </w:rPr>
              <w:t>Total Investments in Non-Controlled, Non-Affiliated Portfolio Companies</w:t>
            </w:r>
          </w:p>
        </w:tc>
        <w:tc>
          <w:tcPr>
            <w:tcW w:w="19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w w:val="86"/>
              </w:rPr>
              <w:t>1,171,573,359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1,212,515,400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jc w:val="center"/>
              <w:ind w:right="37"/>
              <w:spacing w:after="0"/>
              <w:rPr>
                <w:sz w:val="20"/>
                <w:szCs w:val="20"/>
                <w:color w:val="auto"/>
              </w:rPr>
            </w:pPr>
            <w:r>
              <w:rPr>
                <w:rFonts w:ascii="Arial" w:cs="Arial" w:eastAsia="Arial" w:hAnsi="Arial"/>
                <w:sz w:val="13"/>
                <w:szCs w:val="13"/>
                <w:b w:val="1"/>
                <w:bCs w:val="1"/>
                <w:color w:val="auto"/>
                <w:w w:val="84"/>
              </w:rPr>
              <w:t>Basis Point</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Spread</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4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Maturity /</w:t>
            </w:r>
          </w:p>
        </w:tc>
        <w:tc>
          <w:tcPr>
            <w:tcW w:w="1560" w:type="dxa"/>
            <w:vAlign w:val="bottom"/>
          </w:tcPr>
          <w:p>
            <w:pPr>
              <w:spacing w:after="0"/>
              <w:rPr>
                <w:sz w:val="11"/>
                <w:szCs w:val="11"/>
                <w:color w:val="auto"/>
              </w:rPr>
            </w:pPr>
          </w:p>
        </w:tc>
        <w:tc>
          <w:tcPr>
            <w:tcW w:w="118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Current</w:t>
            </w:r>
          </w:p>
        </w:tc>
        <w:tc>
          <w:tcPr>
            <w:tcW w:w="10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Above</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20" w:type="dxa"/>
            <w:vAlign w:val="bottom"/>
            <w:vMerge w:val="continue"/>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3"/>
                <w:szCs w:val="13"/>
                <w:b w:val="1"/>
                <w:bCs w:val="1"/>
                <w:color w:val="auto"/>
              </w:rPr>
              <w:t>Expiration</w:t>
            </w:r>
          </w:p>
        </w:tc>
        <w:tc>
          <w:tcPr>
            <w:tcW w:w="1560" w:type="dxa"/>
            <w:vAlign w:val="bottom"/>
          </w:tcPr>
          <w:p>
            <w:pPr>
              <w:jc w:val="center"/>
              <w:ind w:right="17"/>
              <w:spacing w:after="0"/>
              <w:rPr>
                <w:sz w:val="20"/>
                <w:szCs w:val="20"/>
                <w:color w:val="auto"/>
              </w:rPr>
            </w:pPr>
            <w:r>
              <w:rPr>
                <w:rFonts w:ascii="Arial" w:cs="Arial" w:eastAsia="Arial" w:hAnsi="Arial"/>
                <w:sz w:val="13"/>
                <w:szCs w:val="13"/>
                <w:b w:val="1"/>
                <w:bCs w:val="1"/>
                <w:color w:val="auto"/>
                <w:w w:val="93"/>
              </w:rPr>
              <w:t>Industry</w:t>
            </w:r>
          </w:p>
        </w:tc>
        <w:tc>
          <w:tcPr>
            <w:tcW w:w="1180" w:type="dxa"/>
            <w:vAlign w:val="bottom"/>
          </w:tcPr>
          <w:p>
            <w:pPr>
              <w:ind w:left="220"/>
              <w:spacing w:after="0"/>
              <w:rPr>
                <w:sz w:val="20"/>
                <w:szCs w:val="20"/>
                <w:color w:val="auto"/>
              </w:rPr>
            </w:pPr>
            <w:r>
              <w:rPr>
                <w:rFonts w:ascii="Arial" w:cs="Arial" w:eastAsia="Arial" w:hAnsi="Arial"/>
                <w:sz w:val="13"/>
                <w:szCs w:val="13"/>
                <w:b w:val="1"/>
                <w:bCs w:val="1"/>
                <w:color w:val="auto"/>
              </w:rPr>
              <w:t>Coupon</w:t>
            </w:r>
          </w:p>
        </w:tc>
        <w:tc>
          <w:tcPr>
            <w:tcW w:w="106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80" w:type="dxa"/>
            <w:vAlign w:val="bottom"/>
          </w:tcPr>
          <w:p>
            <w:pPr>
              <w:jc w:val="right"/>
              <w:ind w:right="337"/>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43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4"/>
              </w:rPr>
              <w:t xml:space="preserve">Investments in Non-Controlled, Affiliated Portfolio Companies—8.2% </w:t>
            </w:r>
            <w:r>
              <w:rPr>
                <w:rFonts w:ascii="Arial" w:cs="Arial" w:eastAsia="Arial" w:hAnsi="Arial"/>
                <w:sz w:val="10"/>
                <w:szCs w:val="10"/>
                <w:b w:val="1"/>
                <w:bCs w:val="1"/>
                <w:color w:val="auto"/>
                <w:w w:val="94"/>
              </w:rPr>
              <w:t>(1), (2)</w:t>
            </w:r>
          </w:p>
        </w:tc>
        <w:tc>
          <w:tcPr>
            <w:tcW w:w="156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b w:val="1"/>
                <w:bCs w:val="1"/>
                <w:color w:val="auto"/>
              </w:rPr>
              <w:t>Second Lien Secured Debt—1.1%</w:t>
            </w: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12/26/2017</w:t>
            </w:r>
          </w:p>
        </w:tc>
        <w:tc>
          <w:tcPr>
            <w:tcW w:w="1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1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L+800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9,409,740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9,171,387</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9,127,448</w:t>
            </w:r>
          </w:p>
        </w:tc>
        <w:tc>
          <w:tcPr>
            <w:tcW w:w="0" w:type="dxa"/>
            <w:vAlign w:val="bottom"/>
          </w:tcPr>
          <w:p>
            <w:pPr>
              <w:spacing w:after="0"/>
              <w:rPr>
                <w:sz w:val="1"/>
                <w:szCs w:val="1"/>
                <w:color w:val="auto"/>
              </w:rPr>
            </w:pPr>
          </w:p>
        </w:tc>
      </w:tr>
      <w:tr>
        <w:trPr>
          <w:trHeight w:val="142"/>
        </w:trPr>
        <w:tc>
          <w:tcPr>
            <w:tcW w:w="352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Notes—4.8%</w:t>
            </w: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DirectBuy Holdings, Inc.</w:t>
            </w:r>
          </w:p>
        </w:tc>
        <w:tc>
          <w:tcPr>
            <w:tcW w:w="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11/05/2019</w:t>
            </w:r>
          </w:p>
        </w:tc>
        <w:tc>
          <w:tcPr>
            <w:tcW w:w="15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1180" w:type="dxa"/>
            <w:vAlign w:val="bottom"/>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12.00%</w:t>
            </w:r>
          </w:p>
        </w:tc>
        <w:tc>
          <w:tcPr>
            <w:tcW w:w="10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11,632,136</w:t>
            </w:r>
          </w:p>
        </w:tc>
        <w:tc>
          <w:tcPr>
            <w:tcW w:w="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11,632,137</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11,283,172</w:t>
            </w: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(PIK 12.00%)</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9"/>
              </w:rPr>
              <w:t>10/02/2017</w:t>
            </w:r>
          </w:p>
        </w:tc>
        <w:tc>
          <w:tcPr>
            <w:tcW w:w="156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12.50%</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28,000,000</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27,581,798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28,257,554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39,213,935</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39,540,726</w:t>
            </w:r>
          </w:p>
        </w:tc>
        <w:tc>
          <w:tcPr>
            <w:tcW w:w="0" w:type="dxa"/>
            <w:vAlign w:val="bottom"/>
          </w:tcPr>
          <w:p>
            <w:pPr>
              <w:spacing w:after="0"/>
              <w:rPr>
                <w:sz w:val="1"/>
                <w:szCs w:val="1"/>
                <w:color w:val="auto"/>
              </w:rPr>
            </w:pPr>
          </w:p>
        </w:tc>
      </w:tr>
      <w:tr>
        <w:trPr>
          <w:trHeight w:val="142"/>
        </w:trPr>
        <w:tc>
          <w:tcPr>
            <w:tcW w:w="35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 –0.2% </w:t>
            </w:r>
            <w:r>
              <w:rPr>
                <w:rFonts w:ascii="Arial" w:cs="Arial" w:eastAsia="Arial" w:hAnsi="Arial"/>
                <w:sz w:val="10"/>
                <w:szCs w:val="10"/>
                <w:b w:val="1"/>
                <w:bCs w:val="1"/>
                <w:color w:val="auto"/>
              </w:rPr>
              <w:t>(6)</w:t>
            </w: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PAS International Holdings, Inc.</w:t>
            </w:r>
          </w:p>
        </w:tc>
        <w:tc>
          <w:tcPr>
            <w:tcW w:w="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Aerospace and</w:t>
            </w:r>
          </w:p>
        </w:tc>
        <w:tc>
          <w:tcPr>
            <w:tcW w:w="1180" w:type="dxa"/>
            <w:vAlign w:val="bottom"/>
            <w:shd w:val="clear" w:color="auto" w:fill="CCEEFF"/>
          </w:tcPr>
          <w:p>
            <w:pPr>
              <w:jc w:val="right"/>
              <w:ind w:right="337"/>
              <w:spacing w:after="0" w:line="121"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53,071</w:t>
            </w:r>
          </w:p>
        </w:tc>
        <w:tc>
          <w:tcPr>
            <w:tcW w:w="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20,059,340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1,650,729</w:t>
            </w: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Defense</w:t>
            </w: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line="142" w:lineRule="exact"/>
              <w:rPr>
                <w:sz w:val="20"/>
                <w:szCs w:val="20"/>
                <w:color w:val="auto"/>
              </w:rPr>
            </w:pPr>
            <w:r>
              <w:rPr>
                <w:rFonts w:ascii="Arial" w:cs="Arial" w:eastAsia="Arial" w:hAnsi="Arial"/>
                <w:sz w:val="13"/>
                <w:szCs w:val="13"/>
                <w:b w:val="1"/>
                <w:bCs w:val="1"/>
                <w:color w:val="auto"/>
                <w:w w:val="99"/>
              </w:rPr>
              <w:t xml:space="preserve">Common Equity/Partnership Interests/Warrants—2.1% </w:t>
            </w:r>
            <w:r>
              <w:rPr>
                <w:rFonts w:ascii="Arial" w:cs="Arial" w:eastAsia="Arial" w:hAnsi="Arial"/>
                <w:sz w:val="10"/>
                <w:szCs w:val="10"/>
                <w:b w:val="1"/>
                <w:bCs w:val="1"/>
                <w:color w:val="auto"/>
                <w:w w:val="99"/>
              </w:rPr>
              <w:t>(6)</w:t>
            </w: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18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104,719</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21,492,822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9"/>
              </w:rPr>
              <w:t>11/05/2022</w:t>
            </w:r>
          </w:p>
        </w:tc>
        <w:tc>
          <w:tcPr>
            <w:tcW w:w="15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18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15,486</w:t>
            </w:r>
          </w:p>
        </w:tc>
        <w:tc>
          <w:tcPr>
            <w:tcW w:w="6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5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Environmental Services</w:t>
            </w:r>
          </w:p>
        </w:tc>
        <w:tc>
          <w:tcPr>
            <w:tcW w:w="1180" w:type="dxa"/>
            <w:vAlign w:val="bottom"/>
            <w:shd w:val="clear" w:color="auto" w:fill="CCEEFF"/>
          </w:tcPr>
          <w:p>
            <w:pPr>
              <w:jc w:val="right"/>
              <w:ind w:right="337"/>
              <w:spacing w:after="0" w:line="121"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143,668</w:t>
            </w:r>
          </w:p>
        </w:tc>
        <w:tc>
          <w:tcPr>
            <w:tcW w:w="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11,960,702</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12,140,931</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(EnviroSolutions Real Property Holdings, Inc.)</w:t>
            </w:r>
          </w:p>
        </w:tc>
        <w:tc>
          <w:tcPr>
            <w:tcW w:w="8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1560" w:type="dxa"/>
            <w:vAlign w:val="bottom"/>
          </w:tcPr>
          <w:p>
            <w:pPr>
              <w:jc w:val="center"/>
              <w:spacing w:after="0" w:line="121" w:lineRule="exact"/>
              <w:rPr>
                <w:sz w:val="20"/>
                <w:szCs w:val="20"/>
                <w:color w:val="auto"/>
              </w:rPr>
            </w:pPr>
            <w:r>
              <w:rPr>
                <w:rFonts w:ascii="Arial" w:cs="Arial" w:eastAsia="Arial" w:hAnsi="Arial"/>
                <w:sz w:val="13"/>
                <w:szCs w:val="13"/>
                <w:color w:val="auto"/>
                <w:w w:val="87"/>
              </w:rPr>
              <w:t>Leisure, Amusement,</w:t>
            </w:r>
          </w:p>
        </w:tc>
        <w:tc>
          <w:tcPr>
            <w:tcW w:w="1180" w:type="dxa"/>
            <w:vAlign w:val="bottom"/>
          </w:tcPr>
          <w:p>
            <w:pPr>
              <w:jc w:val="right"/>
              <w:ind w:right="337"/>
              <w:spacing w:after="0" w:line="121"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375,000</w:t>
            </w:r>
          </w:p>
        </w:tc>
        <w:tc>
          <w:tcPr>
            <w:tcW w:w="60" w:type="dxa"/>
            <w:vAlign w:val="bottom"/>
          </w:tcPr>
          <w:p>
            <w:pPr>
              <w:spacing w:after="0"/>
              <w:rPr>
                <w:sz w:val="10"/>
                <w:szCs w:val="10"/>
                <w:color w:val="auto"/>
              </w:rPr>
            </w:pPr>
          </w:p>
        </w:tc>
        <w:tc>
          <w:tcPr>
            <w:tcW w:w="9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3,750,000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color w:val="auto"/>
                <w:w w:val="88"/>
              </w:rPr>
              <w:t>Motion Pictures and</w:t>
            </w: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88"/>
              </w:rPr>
              <w:t>Entertainment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New Service Champ Holdings, Inc.</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8"/>
              </w:rPr>
              <w:t>Auto Sector</w:t>
            </w:r>
          </w:p>
        </w:tc>
        <w:tc>
          <w:tcPr>
            <w:tcW w:w="1180" w:type="dxa"/>
            <w:vAlign w:val="bottom"/>
            <w:shd w:val="clear" w:color="auto" w:fill="CCEEFF"/>
          </w:tcPr>
          <w:p>
            <w:pPr>
              <w:jc w:val="right"/>
              <w:ind w:right="337"/>
              <w:spacing w:after="0" w:line="122"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7"/>
              <w:spacing w:after="0" w:line="122"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22" w:lineRule="exact"/>
              <w:rPr>
                <w:sz w:val="20"/>
                <w:szCs w:val="20"/>
                <w:color w:val="auto"/>
              </w:rPr>
            </w:pPr>
            <w:r>
              <w:rPr>
                <w:rFonts w:ascii="Arial" w:cs="Arial" w:eastAsia="Arial" w:hAnsi="Arial"/>
                <w:sz w:val="13"/>
                <w:szCs w:val="13"/>
                <w:color w:val="auto"/>
              </w:rPr>
              <w:t>16,800</w:t>
            </w:r>
          </w:p>
        </w:tc>
        <w:tc>
          <w:tcPr>
            <w:tcW w:w="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3"/>
                <w:szCs w:val="13"/>
                <w:color w:val="auto"/>
              </w:rPr>
              <w:t>2,721,600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5,387,687</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Champ, Inc.)</w:t>
            </w:r>
          </w:p>
        </w:tc>
        <w:tc>
          <w:tcPr>
            <w:tcW w:w="8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5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18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53,071</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202,620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40,127,744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17,528,618</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108,572,406</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67,847,521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Investments in Controlled, Affiliated Portfolio Companies—4.6% </w:t>
            </w:r>
            <w:r>
              <w:rPr>
                <w:rFonts w:ascii="Arial" w:cs="Arial" w:eastAsia="Arial" w:hAnsi="Arial"/>
                <w:sz w:val="10"/>
                <w:szCs w:val="10"/>
                <w:b w:val="1"/>
                <w:bCs w:val="1"/>
                <w:color w:val="auto"/>
              </w:rPr>
              <w:t>(1), (2)</w:t>
            </w: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Debt—3.8%</w:t>
            </w: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LLC</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12/31/2018</w:t>
            </w:r>
          </w:p>
        </w:tc>
        <w:tc>
          <w:tcPr>
            <w:tcW w:w="1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1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13.50%</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L+1,250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22,150,000</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19,924,736</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19,282,328</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9"/>
              </w:rPr>
              <w:t>12/31/2018</w:t>
            </w:r>
          </w:p>
        </w:tc>
        <w:tc>
          <w:tcPr>
            <w:tcW w:w="156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18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2,850,000</w:t>
            </w:r>
          </w:p>
        </w:tc>
        <w:tc>
          <w:tcPr>
            <w:tcW w:w="6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2,572,719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2,481,022</w:t>
            </w: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06/30/2020</w:t>
            </w:r>
          </w:p>
        </w:tc>
        <w:tc>
          <w:tcPr>
            <w:tcW w:w="1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9,250,000</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9,250,000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9,526,144</w:t>
            </w:r>
          </w:p>
        </w:tc>
        <w:tc>
          <w:tcPr>
            <w:tcW w:w="0" w:type="dxa"/>
            <w:vAlign w:val="bottom"/>
          </w:tcPr>
          <w:p>
            <w:pPr>
              <w:spacing w:after="0"/>
              <w:rPr>
                <w:sz w:val="1"/>
                <w:szCs w:val="1"/>
                <w:color w:val="auto"/>
              </w:rPr>
            </w:pPr>
          </w:p>
        </w:tc>
      </w:tr>
      <w:tr>
        <w:trPr>
          <w:trHeight w:val="149"/>
        </w:trPr>
        <w:tc>
          <w:tcPr>
            <w:tcW w:w="352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31,747,455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31,289,494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Notes—0.3%</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line="135" w:lineRule="exact"/>
              <w:rPr>
                <w:sz w:val="20"/>
                <w:szCs w:val="20"/>
                <w:color w:val="auto"/>
              </w:rPr>
            </w:pPr>
            <w:r>
              <w:rPr>
                <w:rFonts w:ascii="Arial" w:cs="Arial" w:eastAsia="Arial" w:hAnsi="Arial"/>
                <w:sz w:val="13"/>
                <w:szCs w:val="13"/>
                <w:color w:val="auto"/>
              </w:rPr>
              <w:t>SuttonPark Holdings, Inc.</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6"/>
              </w:rPr>
              <w:t>6/30/2020</w:t>
            </w:r>
          </w:p>
        </w:tc>
        <w:tc>
          <w:tcPr>
            <w:tcW w:w="15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2,250,000</w:t>
            </w:r>
          </w:p>
        </w:tc>
        <w:tc>
          <w:tcPr>
            <w:tcW w:w="60" w:type="dxa"/>
            <w:vAlign w:val="bottom"/>
          </w:tcPr>
          <w:p>
            <w:pPr>
              <w:spacing w:after="0"/>
              <w:rPr>
                <w:sz w:val="12"/>
                <w:szCs w:val="12"/>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2,250,000</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1,986,611</w:t>
            </w: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Equity—0.3% </w:t>
            </w:r>
            <w:r>
              <w:rPr>
                <w:rFonts w:ascii="Arial" w:cs="Arial" w:eastAsia="Arial" w:hAnsi="Arial"/>
                <w:sz w:val="10"/>
                <w:szCs w:val="10"/>
                <w:b w:val="1"/>
                <w:bCs w:val="1"/>
                <w:color w:val="auto"/>
              </w:rPr>
              <w:t>(6)</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line="135" w:lineRule="exact"/>
              <w:rPr>
                <w:sz w:val="20"/>
                <w:szCs w:val="20"/>
                <w:color w:val="auto"/>
              </w:rPr>
            </w:pPr>
            <w:r>
              <w:rPr>
                <w:rFonts w:ascii="Arial" w:cs="Arial" w:eastAsia="Arial" w:hAnsi="Arial"/>
                <w:sz w:val="13"/>
                <w:szCs w:val="13"/>
                <w:color w:val="auto"/>
              </w:rPr>
              <w:t>SuttonPark Holdings, Inc.</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5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14.00%</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2,500</w:t>
            </w:r>
          </w:p>
        </w:tc>
        <w:tc>
          <w:tcPr>
            <w:tcW w:w="60" w:type="dxa"/>
            <w:vAlign w:val="bottom"/>
          </w:tcPr>
          <w:p>
            <w:pPr>
              <w:spacing w:after="0"/>
              <w:rPr>
                <w:sz w:val="12"/>
                <w:szCs w:val="12"/>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2,500,000</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2,487,245</w:t>
            </w: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Equity—0.2% </w:t>
            </w:r>
            <w:r>
              <w:rPr>
                <w:rFonts w:ascii="Arial" w:cs="Arial" w:eastAsia="Arial" w:hAnsi="Arial"/>
                <w:sz w:val="10"/>
                <w:szCs w:val="10"/>
                <w:b w:val="1"/>
                <w:bCs w:val="1"/>
                <w:color w:val="auto"/>
              </w:rPr>
              <w:t>(6)</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line="121" w:lineRule="exact"/>
              <w:rPr>
                <w:sz w:val="20"/>
                <w:szCs w:val="20"/>
                <w:color w:val="auto"/>
              </w:rPr>
            </w:pPr>
            <w:r>
              <w:rPr>
                <w:rFonts w:ascii="Arial" w:cs="Arial" w:eastAsia="Arial" w:hAnsi="Arial"/>
                <w:sz w:val="13"/>
                <w:szCs w:val="13"/>
                <w:color w:val="auto"/>
              </w:rPr>
              <w:t>Superior Digital Displays Holdings, Inc.</w:t>
            </w: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156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w:t>
            </w:r>
          </w:p>
        </w:tc>
        <w:tc>
          <w:tcPr>
            <w:tcW w:w="1180" w:type="dxa"/>
            <w:vAlign w:val="bottom"/>
          </w:tcPr>
          <w:p>
            <w:pPr>
              <w:jc w:val="right"/>
              <w:ind w:right="337"/>
              <w:spacing w:after="0" w:line="121"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4,750</w:t>
            </w:r>
          </w:p>
        </w:tc>
        <w:tc>
          <w:tcPr>
            <w:tcW w:w="60" w:type="dxa"/>
            <w:vAlign w:val="bottom"/>
          </w:tcPr>
          <w:p>
            <w:pPr>
              <w:spacing w:after="0"/>
              <w:rPr>
                <w:sz w:val="10"/>
                <w:szCs w:val="10"/>
                <w:color w:val="auto"/>
              </w:rPr>
            </w:pPr>
          </w:p>
        </w:tc>
        <w:tc>
          <w:tcPr>
            <w:tcW w:w="9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2,211,000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1,928,495</w:t>
            </w:r>
          </w:p>
        </w:tc>
        <w:tc>
          <w:tcPr>
            <w:tcW w:w="0" w:type="dxa"/>
            <w:vAlign w:val="bottom"/>
          </w:tcPr>
          <w:p>
            <w:pPr>
              <w:spacing w:after="0"/>
              <w:rPr>
                <w:sz w:val="1"/>
                <w:szCs w:val="1"/>
                <w:color w:val="auto"/>
              </w:rPr>
            </w:pPr>
          </w:p>
        </w:tc>
      </w:tr>
      <w:tr>
        <w:trPr>
          <w:trHeight w:val="149"/>
        </w:trPr>
        <w:tc>
          <w:tcPr>
            <w:tcW w:w="3520" w:type="dxa"/>
            <w:vAlign w:val="bottom"/>
          </w:tcPr>
          <w:p>
            <w:pPr>
              <w:ind w:left="140"/>
              <w:spacing w:after="0"/>
              <w:rPr>
                <w:sz w:val="20"/>
                <w:szCs w:val="20"/>
                <w:color w:val="auto"/>
              </w:rPr>
            </w:pPr>
            <w:r>
              <w:rPr>
                <w:rFonts w:ascii="Arial" w:cs="Arial" w:eastAsia="Arial" w:hAnsi="Arial"/>
                <w:sz w:val="13"/>
                <w:szCs w:val="13"/>
                <w:color w:val="auto"/>
              </w:rPr>
              <w:t>(Superior Digital Displays, LLC)</w:t>
            </w: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18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2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w:t>
            </w: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2,211,100</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1,928,495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0"/>
              </w:rPr>
              <w:t>Total Investments in Controlled, Affiliated Portfolio Companies</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38,708,555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37,691,845</w:t>
            </w:r>
          </w:p>
        </w:tc>
        <w:tc>
          <w:tcPr>
            <w:tcW w:w="0" w:type="dxa"/>
            <w:vAlign w:val="bottom"/>
          </w:tcPr>
          <w:p>
            <w:pPr>
              <w:spacing w:after="0"/>
              <w:rPr>
                <w:sz w:val="1"/>
                <w:szCs w:val="1"/>
                <w:color w:val="auto"/>
              </w:rPr>
            </w:pPr>
          </w:p>
        </w:tc>
      </w:tr>
      <w:tr>
        <w:trPr>
          <w:trHeight w:val="149"/>
        </w:trPr>
        <w:tc>
          <w:tcPr>
            <w:tcW w:w="352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Investments—159.2%</w:t>
            </w: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1,318,854,320</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1,318,054,766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Equivalents—8.0%</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6,805,293</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6,805,293</w:t>
            </w: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59,794,902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59,713,389</w:t>
            </w:r>
          </w:p>
        </w:tc>
        <w:tc>
          <w:tcPr>
            <w:tcW w:w="0" w:type="dxa"/>
            <w:vAlign w:val="bottom"/>
          </w:tcPr>
          <w:p>
            <w:pPr>
              <w:spacing w:after="0"/>
              <w:rPr>
                <w:sz w:val="1"/>
                <w:szCs w:val="1"/>
                <w:color w:val="auto"/>
              </w:rPr>
            </w:pPr>
          </w:p>
        </w:tc>
      </w:tr>
      <w:tr>
        <w:trPr>
          <w:trHeight w:val="149"/>
        </w:trPr>
        <w:tc>
          <w:tcPr>
            <w:tcW w:w="3520" w:type="dxa"/>
            <w:vAlign w:val="bottom"/>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66,600,195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66,518,682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Equivalents—167.2%</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1,385,454,515</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1,384,573,448</w:t>
            </w:r>
          </w:p>
        </w:tc>
        <w:tc>
          <w:tcPr>
            <w:tcW w:w="0" w:type="dxa"/>
            <w:vAlign w:val="bottom"/>
          </w:tcPr>
          <w:p>
            <w:pPr>
              <w:spacing w:after="0"/>
              <w:rPr>
                <w:sz w:val="1"/>
                <w:szCs w:val="1"/>
                <w:color w:val="auto"/>
              </w:rPr>
            </w:pPr>
          </w:p>
        </w:tc>
      </w:tr>
      <w:tr>
        <w:trPr>
          <w:trHeight w:val="142"/>
        </w:trPr>
        <w:tc>
          <w:tcPr>
            <w:tcW w:w="3520" w:type="dxa"/>
            <w:vAlign w:val="bottom"/>
          </w:tcPr>
          <w:p>
            <w:pPr>
              <w:spacing w:after="0" w:line="142" w:lineRule="exact"/>
              <w:rPr>
                <w:sz w:val="20"/>
                <w:szCs w:val="20"/>
                <w:color w:val="auto"/>
              </w:rPr>
            </w:pPr>
            <w:r>
              <w:rPr>
                <w:rFonts w:ascii="Arial" w:cs="Arial" w:eastAsia="Arial" w:hAnsi="Arial"/>
                <w:sz w:val="13"/>
                <w:szCs w:val="13"/>
                <w:b w:val="1"/>
                <w:bCs w:val="1"/>
                <w:color w:val="auto"/>
              </w:rPr>
              <w:t>Liabilities in Excess of Other Assets—(67.2%)</w:t>
            </w: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(556,563,499)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8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828,009,949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516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40" w:right="60" w:hanging="332"/>
        <w:spacing w:after="0" w:line="24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8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8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PennantPark Investment is a closed-end, externally managed, non-diversified investment company that has elected to be treated as a BDC under the 1940 Act.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76"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76"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13"/>
          <w:szCs w:val="13"/>
          <w:color w:val="auto"/>
        </w:rPr>
        <w:t>Our wholly owned subsidiaries, SBIC LP and SBIC II, were organized as Delaware limited partnerships in 2010 and 2012, respectively. SBIC LP and SBIC II received licenses from the SBA to operate as SBICs, under Section 301(c) of the Small Business Investment Act of 1958, as amended, or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60" w:lineRule="exact"/>
        <w:rPr>
          <w:sz w:val="20"/>
          <w:szCs w:val="20"/>
          <w:color w:val="auto"/>
        </w:rPr>
      </w:pPr>
    </w:p>
    <w:p>
      <w:pPr>
        <w:ind w:right="4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220" w:hanging="327"/>
        <w:spacing w:after="0" w:line="238"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8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34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right="180" w:firstLine="562"/>
        <w:spacing w:after="0" w:line="251" w:lineRule="auto"/>
        <w:rPr>
          <w:sz w:val="20"/>
          <w:szCs w:val="20"/>
          <w:color w:val="auto"/>
        </w:rPr>
      </w:pPr>
      <w:r>
        <w:rPr>
          <w:rFonts w:ascii="Arial" w:cs="Arial" w:eastAsia="Arial" w:hAnsi="Arial"/>
          <w:sz w:val="13"/>
          <w:szCs w:val="13"/>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taxation as a RIC, we do not anticipate paying any material level of federal income taxes in the future. Although we are not subject to federal income taxes as a RIC, we may elect to retain a portion of our calendar year income. We accrued no excise taxes for either of the three month periods ended March 31, 2015 or 2014.</w:t>
      </w:r>
    </w:p>
    <w:p>
      <w:pPr>
        <w:spacing w:after="0" w:line="69"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w:t>
      </w:r>
    </w:p>
    <w:p>
      <w:pPr>
        <w:spacing w:after="0" w:line="77"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23"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75"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2015.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76"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investments,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2015, the Investment Adviser earned base management fees of $6.8 million and $13.6 million, respectively, from us. For the three and six months ended March 31, 2014, the Investment Adviser earned base management fees of $6.0 million and $11.8 million, respectively, from us.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right="20" w:firstLine="562"/>
        <w:spacing w:after="0"/>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w:t>
      </w:r>
    </w:p>
    <w:p>
      <w:pPr>
        <w:spacing w:after="0" w:line="1" w:lineRule="exact"/>
        <w:rPr>
          <w:sz w:val="20"/>
          <w:szCs w:val="20"/>
          <w:color w:val="auto"/>
        </w:rPr>
      </w:pPr>
    </w:p>
    <w:p>
      <w:pPr>
        <w:jc w:val="both"/>
        <w:ind w:right="80"/>
        <w:spacing w:after="0" w:line="229" w:lineRule="auto"/>
        <w:rPr>
          <w:sz w:val="20"/>
          <w:szCs w:val="20"/>
          <w:color w:val="auto"/>
        </w:rPr>
      </w:pPr>
      <w:r>
        <w:rPr>
          <w:rFonts w:ascii="Arial" w:cs="Arial" w:eastAsia="Arial" w:hAnsi="Arial"/>
          <w:sz w:val="14"/>
          <w:szCs w:val="14"/>
          <w:color w:val="auto"/>
        </w:rPr>
        <w:t>2.1875% in any calendar quarter. These calculations are pro-rated for any share issuances or repurchases during the relevant quarter, if applicable. For the three and six months ended March 31, 2015, the Investment Adviser earned an incentive fee on net investment income as calculated under the Investment Management Agreement of $5.5 million and $10.4 million, respectively, from us. For the three and six months ended March 31, 2014, the Investment Adviser earned an incentive fee on net investment income as calculated under the Investment Management Agreement of $5.0 million and $9.5 million, respectively, from us.</w:t>
      </w:r>
    </w:p>
    <w:p>
      <w:pPr>
        <w:spacing w:after="0" w:line="76"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2015 and 2014, the Investment Adviser did not earn an incentive fee on capital gains as calculated under the Investment Management Agreement (as described above).</w:t>
      </w:r>
    </w:p>
    <w:p>
      <w:pPr>
        <w:spacing w:after="0" w:line="67"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six months ended March 31, 2015 and 2014, the Investment Adviser did not accrue an incentive fee on capital gains as calculated under GAAP.</w:t>
      </w:r>
    </w:p>
    <w:p>
      <w:pPr>
        <w:spacing w:after="0" w:line="78"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2015.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six months ended March 31, 2015, the Investment Adviser was reimbursed $1.8 million and $2.5 million, respectively, from us, including expenses the Investment Adviser incurred on behalf of the Administrator, for the services described above. For the three and six months ended March 31, 2014, the Investment Adviser was reimbursed $1.5 million and $2.0 million, respectively, from us, including expenses the Investment Adviser incurred on behalf of the Administrator, for the services described above.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six months ended March 31, 2015, PennantPark Investment was reimbursed $0.1 million and $0.2 million, respectively, for the services described above. For the three and six months ended March 31, 2014, PennantPark Investment was reimbursed $0.2 million and $0.3 million, respectively, for the services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Purchases of investments, including PIK interest, for the three and six months ended March 31, 2015 totaled $76.5 million and $236.8 million, respectively. For the same periods in the prior year, purchases of investments, including PIK interest, totaled $144.5 million and $374.7 million, respectively. Sales and repayments of investments for the three and six months ended March 31, 2015 totaled $103.2 million and $182.5 million, respectively. For the same periods in the prior year, sales and repayments of investments totaled $116.8 million and $260.8 million, respectively.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4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5"/>
          </w:tcPr>
          <w:p>
            <w:pPr>
              <w:jc w:val="right"/>
              <w:ind w:right="920"/>
              <w:spacing w:after="0"/>
              <w:rPr>
                <w:sz w:val="20"/>
                <w:szCs w:val="20"/>
                <w:color w:val="auto"/>
              </w:rPr>
            </w:pPr>
            <w:r>
              <w:rPr>
                <w:rFonts w:ascii="Arial" w:cs="Arial" w:eastAsia="Arial" w:hAnsi="Arial"/>
                <w:sz w:val="13"/>
                <w:szCs w:val="13"/>
                <w:b w:val="1"/>
                <w:bCs w:val="1"/>
                <w:color w:val="auto"/>
              </w:rPr>
              <w:t>March 31, 2015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ind w:left="520"/>
              <w:spacing w:after="0"/>
              <w:rPr>
                <w:sz w:val="20"/>
                <w:szCs w:val="20"/>
                <w:color w:val="auto"/>
              </w:rPr>
            </w:pPr>
            <w:r>
              <w:rPr>
                <w:rFonts w:ascii="Arial" w:cs="Arial" w:eastAsia="Arial" w:hAnsi="Arial"/>
                <w:sz w:val="13"/>
                <w:szCs w:val="13"/>
                <w:b w:val="1"/>
                <w:bCs w:val="1"/>
                <w:color w:val="auto"/>
              </w:rPr>
              <w:t>September 30, 2014</w:t>
            </w:r>
          </w:p>
        </w:tc>
        <w:tc>
          <w:tcPr>
            <w:tcW w:w="0" w:type="dxa"/>
            <w:vAlign w:val="bottom"/>
          </w:tcPr>
          <w:p>
            <w:pPr>
              <w:spacing w:after="0"/>
              <w:rPr>
                <w:sz w:val="1"/>
                <w:szCs w:val="1"/>
                <w:color w:val="auto"/>
              </w:rPr>
            </w:pPr>
          </w:p>
        </w:tc>
      </w:tr>
      <w:tr>
        <w:trPr>
          <w:trHeight w:val="128"/>
        </w:trPr>
        <w:tc>
          <w:tcPr>
            <w:tcW w:w="40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3"/>
                <w:szCs w:val="13"/>
                <w:b w:val="1"/>
                <w:bCs w:val="1"/>
                <w:color w:val="auto"/>
              </w:rPr>
              <w:t>Cost</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29"/>
              <w:spacing w:after="0" w:line="129" w:lineRule="exact"/>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3"/>
                <w:szCs w:val="13"/>
                <w:b w:val="1"/>
                <w:bCs w:val="1"/>
                <w:color w:val="auto"/>
              </w:rPr>
              <w:t>Cost</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49"/>
              <w:spacing w:after="0" w:line="12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362,737,214</w:t>
            </w: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350,430,914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453,835,589</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465,593,894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615,869,491</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610,706,290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489,813,322</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493,360,024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246,025,951</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216,081,191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250,905,632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247,146,967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154,361,470</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123,188,898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124,299,777</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111,953,881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1,378,994,126</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1,300,407,293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1,318,854,320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1,318,054,766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63,051,050</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62,823,624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66,600,195</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66,518,682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1,442,045,176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1,363,230,917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1,385,454,515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1,384,573,448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341" w:lineRule="exact"/>
        <w:rPr>
          <w:sz w:val="20"/>
          <w:szCs w:val="20"/>
          <w:color w:val="auto"/>
        </w:rPr>
      </w:pPr>
    </w:p>
    <w:tbl>
      <w:tblPr>
        <w:tblLayout w:type="fixed"/>
        <w:tblInd w:w="1820" w:type="dxa"/>
        <w:tblCellMar>
          <w:top w:w="0" w:type="dxa"/>
          <w:left w:w="0" w:type="dxa"/>
          <w:bottom w:w="0" w:type="dxa"/>
          <w:right w:w="0" w:type="dxa"/>
        </w:tblCellMar>
      </w:tblPr>
      <w:tr>
        <w:trPr>
          <w:trHeight w:val="167"/>
        </w:trPr>
        <w:tc>
          <w:tcPr>
            <w:tcW w:w="3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 Classification</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March 31, 2015</w:t>
            </w:r>
          </w:p>
        </w:tc>
        <w:tc>
          <w:tcPr>
            <w:tcW w:w="6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w w:val="88"/>
              </w:rPr>
              <w:t>September 30, 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2" w:lineRule="exact"/>
              <w:rPr>
                <w:sz w:val="20"/>
                <w:szCs w:val="20"/>
                <w:color w:val="auto"/>
              </w:rPr>
            </w:pPr>
            <w:r>
              <w:rPr>
                <w:rFonts w:ascii="Arial" w:cs="Arial" w:eastAsia="Arial" w:hAnsi="Arial"/>
                <w:sz w:val="14"/>
                <w:szCs w:val="14"/>
                <w:color w:val="auto"/>
              </w:rPr>
              <w:t>9%</w:t>
            </w:r>
          </w:p>
        </w:tc>
        <w:tc>
          <w:tcPr>
            <w:tcW w:w="1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Oil and Gas</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 Materials</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Environmental Services</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 and Real Estate</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Financial Services</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Media</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Communications</w:t>
            </w:r>
          </w:p>
        </w:tc>
        <w:tc>
          <w:tcPr>
            <w:tcW w:w="1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6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Diversified Natural Resources, Precious Metals and Minerals</w:t>
            </w:r>
          </w:p>
        </w:tc>
        <w:tc>
          <w:tcPr>
            <w:tcW w:w="1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Insurance</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20" w:type="dxa"/>
            <w:vAlign w:val="bottom"/>
            <w:gridSpan w:val="2"/>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100%</w:t>
            </w:r>
          </w:p>
        </w:tc>
        <w:tc>
          <w:tcPr>
            <w:tcW w:w="1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6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80" w:right="680" w:hanging="809"/>
        <w:spacing w:after="0" w:line="238"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900" w:hanging="809"/>
        <w:spacing w:after="0" w:line="253" w:lineRule="auto"/>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2019 Notes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77"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76"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77"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3 and one reclassification from Level 3 to 2 during the six months ended March 31, 2015 and no reclassification of assets between levels during the six months ended March 31, 2014.</w:t>
      </w:r>
    </w:p>
    <w:p>
      <w:pPr>
        <w:spacing w:after="0" w:line="77"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jc w:val="both"/>
        <w:ind w:right="60" w:firstLine="562"/>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have no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77"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valuations techniques, unobservable inputs and ranges were categorized as follows for ASC 820 purposes: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Fair Value at</w:t>
            </w: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4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March 31, 2015</w:t>
            </w: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Valuation Technique</w:t>
            </w:r>
          </w:p>
        </w:tc>
        <w:tc>
          <w:tcPr>
            <w:tcW w:w="1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Unobservable Input</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 Average)</w:t>
            </w:r>
          </w:p>
        </w:tc>
        <w:tc>
          <w:tcPr>
            <w:tcW w:w="0" w:type="dxa"/>
            <w:vAlign w:val="bottom"/>
          </w:tcPr>
          <w:p>
            <w:pPr>
              <w:spacing w:after="0"/>
              <w:rPr>
                <w:sz w:val="1"/>
                <w:szCs w:val="1"/>
                <w:color w:val="auto"/>
              </w:rPr>
            </w:pPr>
          </w:p>
        </w:tc>
      </w:tr>
      <w:tr>
        <w:trPr>
          <w:trHeight w:val="142"/>
        </w:trPr>
        <w:tc>
          <w:tcPr>
            <w:tcW w:w="4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306,750,177</w:t>
            </w:r>
          </w:p>
        </w:tc>
        <w:tc>
          <w:tcPr>
            <w:tcW w:w="2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861,259,658</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Market Yield</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10.0% – 40.8% (14.8%)</w:t>
            </w:r>
          </w:p>
        </w:tc>
        <w:tc>
          <w:tcPr>
            <w:tcW w:w="0" w:type="dxa"/>
            <w:vAlign w:val="bottom"/>
          </w:tcPr>
          <w:p>
            <w:pPr>
              <w:spacing w:after="0"/>
              <w:rPr>
                <w:sz w:val="1"/>
                <w:szCs w:val="1"/>
                <w:color w:val="auto"/>
              </w:rPr>
            </w:pPr>
          </w:p>
        </w:tc>
      </w:tr>
      <w:tr>
        <w:trPr>
          <w:trHeight w:val="149"/>
        </w:trPr>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4,875,103</w:t>
            </w:r>
          </w:p>
        </w:tc>
        <w:tc>
          <w:tcPr>
            <w:tcW w:w="16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Broker/Dealer bid quotes</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117,070,258</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Enterprise Market Value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6"/>
              </w:rPr>
              <w:t>3.4x – 15.5x (9.0x)</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1,289,955,196</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2"/>
              </w:rPr>
              <w:t>Market Comparable</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Market Yield</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3"/>
              </w:rPr>
              <w:t>3.7%</w:t>
            </w:r>
          </w:p>
        </w:tc>
        <w:tc>
          <w:tcPr>
            <w:tcW w:w="0" w:type="dxa"/>
            <w:vAlign w:val="bottom"/>
          </w:tcPr>
          <w:p>
            <w:pPr>
              <w:spacing w:after="0" w:line="20" w:lineRule="exact"/>
              <w:rPr>
                <w:sz w:val="1"/>
                <w:szCs w:val="1"/>
                <w:color w:val="auto"/>
              </w:rPr>
            </w:pPr>
          </w:p>
        </w:tc>
      </w:tr>
      <w:tr>
        <w:trPr>
          <w:trHeight w:val="143"/>
        </w:trPr>
        <w:tc>
          <w:tcPr>
            <w:tcW w:w="462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93,501,790</w:t>
            </w: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2019 Notes</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254,051,000</w:t>
            </w:r>
          </w:p>
        </w:tc>
        <w:tc>
          <w:tcPr>
            <w:tcW w:w="166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4"/>
                <w:szCs w:val="14"/>
                <w:color w:val="auto"/>
                <w:w w:val="94"/>
              </w:rPr>
              <w:t>Broker/Dealer bid quotes</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Fair Value at</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4620" w:type="dxa"/>
            <w:vAlign w:val="bottom"/>
            <w:gridSpan w:val="2"/>
            <w:vMerge w:val="continue"/>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 2014</w:t>
            </w: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Valuation Technique</w:t>
            </w:r>
          </w:p>
        </w:tc>
        <w:tc>
          <w:tcPr>
            <w:tcW w:w="1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Unobservable Input</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 Average)</w:t>
            </w:r>
          </w:p>
        </w:tc>
        <w:tc>
          <w:tcPr>
            <w:tcW w:w="0" w:type="dxa"/>
            <w:vAlign w:val="bottom"/>
          </w:tcPr>
          <w:p>
            <w:pPr>
              <w:spacing w:after="0"/>
              <w:rPr>
                <w:sz w:val="1"/>
                <w:szCs w:val="1"/>
                <w:color w:val="auto"/>
              </w:rPr>
            </w:pPr>
          </w:p>
        </w:tc>
      </w:tr>
      <w:tr>
        <w:trPr>
          <w:trHeight w:val="142"/>
        </w:trPr>
        <w:tc>
          <w:tcPr>
            <w:tcW w:w="4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480,344,879</w:t>
            </w:r>
          </w:p>
        </w:tc>
        <w:tc>
          <w:tcPr>
            <w:tcW w:w="2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681,131,020</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Market Yield</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9.7% – 21.3% (13.2%)</w:t>
            </w:r>
          </w:p>
        </w:tc>
        <w:tc>
          <w:tcPr>
            <w:tcW w:w="0" w:type="dxa"/>
            <w:vAlign w:val="bottom"/>
          </w:tcPr>
          <w:p>
            <w:pPr>
              <w:spacing w:after="0"/>
              <w:rPr>
                <w:sz w:val="1"/>
                <w:szCs w:val="1"/>
                <w:color w:val="auto"/>
              </w:rPr>
            </w:pPr>
          </w:p>
        </w:tc>
      </w:tr>
      <w:tr>
        <w:trPr>
          <w:trHeight w:val="148"/>
        </w:trPr>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12,163,865</w:t>
            </w:r>
          </w:p>
        </w:tc>
        <w:tc>
          <w:tcPr>
            <w:tcW w:w="16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Broker/Dealer bid quotes</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99,698,372</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Enterprise Market Value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6"/>
              </w:rPr>
              <w:t>3.3x – 14.0x (8.8x)</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1,273,338,136</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2"/>
              </w:rPr>
              <w:t>Market Comparable</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Market Yield</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3"/>
              </w:rPr>
              <w:t>4.1%</w:t>
            </w:r>
          </w:p>
        </w:tc>
        <w:tc>
          <w:tcPr>
            <w:tcW w:w="0" w:type="dxa"/>
            <w:vAlign w:val="bottom"/>
          </w:tcPr>
          <w:p>
            <w:pPr>
              <w:spacing w:after="0" w:line="20" w:lineRule="exact"/>
              <w:rPr>
                <w:sz w:val="1"/>
                <w:szCs w:val="1"/>
                <w:color w:val="auto"/>
              </w:rPr>
            </w:pPr>
          </w:p>
        </w:tc>
      </w:tr>
      <w:tr>
        <w:trPr>
          <w:trHeight w:val="143"/>
        </w:trPr>
        <w:tc>
          <w:tcPr>
            <w:tcW w:w="462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53,497,620</w:t>
            </w: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2019 Notes</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251,350,250</w:t>
            </w:r>
          </w:p>
        </w:tc>
        <w:tc>
          <w:tcPr>
            <w:tcW w:w="166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4"/>
                <w:szCs w:val="14"/>
                <w:color w:val="auto"/>
                <w:w w:val="94"/>
              </w:rPr>
              <w:t>Broker/Dealer bid quotes</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Fair Value at March 31, 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24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1,177,218,395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9,208,560</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1,168,009,835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123,188,898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1,243,537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121,945,361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1,300,407,293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10,452,097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1,289,955,196</w:t>
            </w: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62,823,624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62,823,624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250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1,363,230,917</w:t>
            </w:r>
          </w:p>
        </w:tc>
        <w:tc>
          <w:tcPr>
            <w:tcW w:w="10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62,823,624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10,452,097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1,289,955,196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93,501,790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Pr>
          <w:p>
            <w:pPr>
              <w:ind w:left="500"/>
              <w:spacing w:after="0" w:line="143"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93,501,790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254,051,000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254,051,000</w:t>
            </w:r>
          </w:p>
        </w:tc>
        <w:tc>
          <w:tcPr>
            <w:tcW w:w="0" w:type="dxa"/>
            <w:vAlign w:val="bottom"/>
          </w:tcPr>
          <w:p>
            <w:pPr>
              <w:spacing w:after="0"/>
              <w:rPr>
                <w:sz w:val="1"/>
                <w:szCs w:val="1"/>
                <w:color w:val="auto"/>
              </w:rPr>
            </w:pPr>
          </w:p>
        </w:tc>
      </w:tr>
      <w:tr>
        <w:trPr>
          <w:trHeight w:val="148"/>
        </w:trPr>
        <w:tc>
          <w:tcPr>
            <w:tcW w:w="42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71,421,000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71,421,000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debt</w:t>
            </w:r>
          </w:p>
        </w:tc>
        <w:tc>
          <w:tcPr>
            <w:tcW w:w="250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418,973,790</w:t>
            </w:r>
          </w:p>
        </w:tc>
        <w:tc>
          <w:tcPr>
            <w:tcW w:w="10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71,421,000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347,552,790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ind w:left="140"/>
              <w:spacing w:after="0"/>
              <w:rPr>
                <w:sz w:val="20"/>
                <w:szCs w:val="20"/>
                <w:color w:val="auto"/>
              </w:rPr>
            </w:pPr>
            <w:r>
              <w:rPr>
                <w:rFonts w:ascii="Arial" w:cs="Arial" w:eastAsia="Arial" w:hAnsi="Arial"/>
                <w:sz w:val="13"/>
                <w:szCs w:val="13"/>
                <w:b w:val="1"/>
                <w:bCs w:val="1"/>
                <w:color w:val="auto"/>
                <w:w w:val="94"/>
              </w:rPr>
              <w:t>Fair Value at September 30, 2014</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4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1,206,100,885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44,624,986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1,161,475,899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111,953,881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91,644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111,862,237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1,318,054,766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44,716,630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1,273,338,136</w:t>
            </w:r>
          </w:p>
        </w:tc>
        <w:tc>
          <w:tcPr>
            <w:tcW w:w="0" w:type="dxa"/>
            <w:vAlign w:val="bottom"/>
          </w:tcPr>
          <w:p>
            <w:pPr>
              <w:spacing w:after="0"/>
              <w:rPr>
                <w:sz w:val="1"/>
                <w:szCs w:val="1"/>
                <w:color w:val="auto"/>
              </w:rPr>
            </w:pPr>
          </w:p>
        </w:tc>
      </w:tr>
      <w:tr>
        <w:trPr>
          <w:trHeight w:val="148"/>
        </w:trPr>
        <w:tc>
          <w:tcPr>
            <w:tcW w:w="42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66,518,682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66,518,682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250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1,384,573,448</w:t>
            </w:r>
          </w:p>
        </w:tc>
        <w:tc>
          <w:tcPr>
            <w:tcW w:w="10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66,518,682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44,716,630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1,273,338,136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Pr>
          <w:p>
            <w:pPr>
              <w:ind w:left="500"/>
              <w:spacing w:after="0" w:line="143"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251,350,250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251,350,250</w:t>
            </w: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71,820,000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71,820,000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debt</w:t>
            </w:r>
          </w:p>
        </w:tc>
        <w:tc>
          <w:tcPr>
            <w:tcW w:w="250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376,667,870</w:t>
            </w:r>
          </w:p>
        </w:tc>
        <w:tc>
          <w:tcPr>
            <w:tcW w:w="10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71,820,000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304,847,870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80" w:type="dxa"/>
            <w:vAlign w:val="bottom"/>
            <w:vMerge w:val="restart"/>
          </w:tcPr>
          <w:p>
            <w:pPr>
              <w:jc w:val="right"/>
              <w:ind w:right="74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2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80" w:type="dxa"/>
            <w:vAlign w:val="bottom"/>
            <w:gridSpan w:val="11"/>
          </w:tcPr>
          <w:p>
            <w:pPr>
              <w:jc w:val="center"/>
              <w:ind w:right="200"/>
              <w:spacing w:after="0"/>
              <w:rPr>
                <w:sz w:val="20"/>
                <w:szCs w:val="20"/>
                <w:color w:val="auto"/>
              </w:rPr>
            </w:pPr>
            <w:r>
              <w:rPr>
                <w:rFonts w:ascii="Arial" w:cs="Arial" w:eastAsia="Arial" w:hAnsi="Arial"/>
                <w:sz w:val="13"/>
                <w:szCs w:val="13"/>
                <w:b w:val="1"/>
                <w:bCs w:val="1"/>
                <w:color w:val="auto"/>
                <w:w w:val="89"/>
              </w:rPr>
              <w:t>Six Months Ended March 31, 2015</w:t>
            </w:r>
          </w:p>
        </w:tc>
        <w:tc>
          <w:tcPr>
            <w:tcW w:w="0" w:type="dxa"/>
            <w:vAlign w:val="bottom"/>
          </w:tcPr>
          <w:p>
            <w:pPr>
              <w:spacing w:after="0"/>
              <w:rPr>
                <w:sz w:val="1"/>
                <w:szCs w:val="1"/>
                <w:color w:val="auto"/>
              </w:rPr>
            </w:pPr>
          </w:p>
        </w:tc>
      </w:tr>
      <w:tr>
        <w:trPr>
          <w:trHeight w:val="110"/>
        </w:trPr>
        <w:tc>
          <w:tcPr>
            <w:tcW w:w="7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220"/>
              <w:spacing w:after="0" w:line="110" w:lineRule="exact"/>
              <w:rPr>
                <w:sz w:val="20"/>
                <w:szCs w:val="20"/>
                <w:color w:val="auto"/>
              </w:rPr>
            </w:pPr>
            <w:r>
              <w:rPr>
                <w:rFonts w:ascii="Arial" w:cs="Arial" w:eastAsia="Arial" w:hAnsi="Arial"/>
                <w:sz w:val="12"/>
                <w:szCs w:val="12"/>
                <w:b w:val="1"/>
                <w:bCs w:val="1"/>
                <w:color w:val="auto"/>
                <w:w w:val="89"/>
              </w:rPr>
              <w:t>Debt</w:t>
            </w: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5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investments</w:t>
            </w:r>
          </w:p>
        </w:tc>
        <w:tc>
          <w:tcPr>
            <w:tcW w:w="6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Equity investments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1,161,475,899</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111,862,237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1,273,338,136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Net realized gains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2,644,918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15,417,102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18,062,020</w:t>
            </w:r>
          </w:p>
        </w:tc>
        <w:tc>
          <w:tcPr>
            <w:tcW w:w="0" w:type="dxa"/>
            <w:vAlign w:val="bottom"/>
          </w:tcPr>
          <w:p>
            <w:pPr>
              <w:spacing w:after="0"/>
              <w:rPr>
                <w:sz w:val="1"/>
                <w:szCs w:val="1"/>
                <w:color w:val="auto"/>
              </w:rPr>
            </w:pPr>
          </w:p>
        </w:tc>
      </w:tr>
      <w:tr>
        <w:trPr>
          <w:trHeight w:val="148"/>
        </w:trPr>
        <w:tc>
          <w:tcPr>
            <w:tcW w:w="7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(52,477,907)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(18,743,586)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(71,221,493)</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187,894,508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36,476,386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224,370,894</w:t>
            </w:r>
          </w:p>
        </w:tc>
        <w:tc>
          <w:tcPr>
            <w:tcW w:w="0" w:type="dxa"/>
            <w:vAlign w:val="bottom"/>
          </w:tcPr>
          <w:p>
            <w:pPr>
              <w:spacing w:after="0"/>
              <w:rPr>
                <w:sz w:val="1"/>
                <w:szCs w:val="1"/>
                <w:color w:val="auto"/>
              </w:rPr>
            </w:pPr>
          </w:p>
        </w:tc>
      </w:tr>
      <w:tr>
        <w:trPr>
          <w:trHeight w:val="148"/>
        </w:trPr>
        <w:tc>
          <w:tcPr>
            <w:tcW w:w="7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(160,673,962)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(21,831,794)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(182,505,756)</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29,146,379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(1,234,984)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27,911,395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1,168,009,835</w:t>
            </w:r>
          </w:p>
        </w:tc>
        <w:tc>
          <w:tcPr>
            <w:tcW w:w="220" w:type="dxa"/>
            <w:vAlign w:val="bottom"/>
            <w:gridSpan w:val="2"/>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121,945,361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1,289,955,196</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 on investments in our</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560" w:type="dxa"/>
            <w:vAlign w:val="bottom"/>
            <w:gridSpan w:val="2"/>
          </w:tcPr>
          <w:p>
            <w:pPr>
              <w:ind w:left="300"/>
              <w:spacing w:after="0"/>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(51,686,444)</w:t>
            </w:r>
          </w:p>
        </w:tc>
        <w:tc>
          <w:tcPr>
            <w:tcW w:w="22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(12,474,810)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(64,161,254)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gridSpan w:val="11"/>
          </w:tcPr>
          <w:p>
            <w:pPr>
              <w:jc w:val="center"/>
              <w:ind w:right="200"/>
              <w:spacing w:after="0"/>
              <w:rPr>
                <w:sz w:val="20"/>
                <w:szCs w:val="20"/>
                <w:color w:val="auto"/>
              </w:rPr>
            </w:pPr>
            <w:r>
              <w:rPr>
                <w:rFonts w:ascii="Arial" w:cs="Arial" w:eastAsia="Arial" w:hAnsi="Arial"/>
                <w:sz w:val="13"/>
                <w:szCs w:val="13"/>
                <w:b w:val="1"/>
                <w:bCs w:val="1"/>
                <w:color w:val="auto"/>
                <w:w w:val="89"/>
              </w:rPr>
              <w:t>Six Months Ended March 31, 2014</w:t>
            </w:r>
          </w:p>
        </w:tc>
        <w:tc>
          <w:tcPr>
            <w:tcW w:w="0" w:type="dxa"/>
            <w:vAlign w:val="bottom"/>
          </w:tcPr>
          <w:p>
            <w:pPr>
              <w:spacing w:after="0"/>
              <w:rPr>
                <w:sz w:val="1"/>
                <w:szCs w:val="1"/>
                <w:color w:val="auto"/>
              </w:rPr>
            </w:pPr>
          </w:p>
        </w:tc>
      </w:tr>
      <w:tr>
        <w:trPr>
          <w:trHeight w:val="110"/>
        </w:trPr>
        <w:tc>
          <w:tcPr>
            <w:tcW w:w="7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220"/>
              <w:spacing w:after="0" w:line="110" w:lineRule="exact"/>
              <w:rPr>
                <w:sz w:val="20"/>
                <w:szCs w:val="20"/>
                <w:color w:val="auto"/>
              </w:rPr>
            </w:pPr>
            <w:r>
              <w:rPr>
                <w:rFonts w:ascii="Arial" w:cs="Arial" w:eastAsia="Arial" w:hAnsi="Arial"/>
                <w:sz w:val="12"/>
                <w:szCs w:val="12"/>
                <w:b w:val="1"/>
                <w:bCs w:val="1"/>
                <w:color w:val="auto"/>
                <w:w w:val="89"/>
              </w:rPr>
              <w:t>Debt</w:t>
            </w: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8"/>
              </w:rPr>
              <w:t>Equity</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5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investments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investments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110,923,751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1,026,338,166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Net realized gains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6,972,974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7,000,834</w:t>
            </w:r>
          </w:p>
        </w:tc>
        <w:tc>
          <w:tcPr>
            <w:tcW w:w="0" w:type="dxa"/>
            <w:vAlign w:val="bottom"/>
          </w:tcPr>
          <w:p>
            <w:pPr>
              <w:spacing w:after="0"/>
              <w:rPr>
                <w:sz w:val="1"/>
                <w:szCs w:val="1"/>
                <w:color w:val="auto"/>
              </w:rPr>
            </w:pPr>
          </w:p>
        </w:tc>
      </w:tr>
      <w:tr>
        <w:trPr>
          <w:trHeight w:val="149"/>
        </w:trPr>
        <w:tc>
          <w:tcPr>
            <w:tcW w:w="7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Net unrealized appreciation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4,938,500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16,103,682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21,042,182</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363,427,427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14,530,077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377,957,504</w:t>
            </w:r>
          </w:p>
        </w:tc>
        <w:tc>
          <w:tcPr>
            <w:tcW w:w="0" w:type="dxa"/>
            <w:vAlign w:val="bottom"/>
          </w:tcPr>
          <w:p>
            <w:pPr>
              <w:spacing w:after="0"/>
              <w:rPr>
                <w:sz w:val="1"/>
                <w:szCs w:val="1"/>
                <w:color w:val="auto"/>
              </w:rPr>
            </w:pPr>
          </w:p>
        </w:tc>
      </w:tr>
      <w:tr>
        <w:trPr>
          <w:trHeight w:val="148"/>
        </w:trPr>
        <w:tc>
          <w:tcPr>
            <w:tcW w:w="7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(245,100,438)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(2,556,646)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(247,657,084)</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1,045,652,878</w:t>
            </w:r>
          </w:p>
        </w:tc>
        <w:tc>
          <w:tcPr>
            <w:tcW w:w="220" w:type="dxa"/>
            <w:vAlign w:val="bottom"/>
            <w:gridSpan w:val="2"/>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139,028,724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1,184,681,602</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560" w:type="dxa"/>
            <w:vAlign w:val="bottom"/>
            <w:gridSpan w:val="2"/>
          </w:tcPr>
          <w:p>
            <w:pPr>
              <w:ind w:left="300"/>
              <w:spacing w:after="0"/>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13,689,264</w:t>
            </w:r>
          </w:p>
        </w:tc>
        <w:tc>
          <w:tcPr>
            <w:tcW w:w="120" w:type="dxa"/>
            <w:vAlign w:val="bottom"/>
          </w:tcPr>
          <w:p>
            <w:pPr>
              <w:spacing w:after="0"/>
              <w:rPr>
                <w:sz w:val="14"/>
                <w:szCs w:val="14"/>
                <w:color w:val="auto"/>
              </w:rPr>
            </w:pPr>
          </w:p>
        </w:tc>
        <w:tc>
          <w:tcPr>
            <w:tcW w:w="22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16,103,681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29,792,945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98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Carrying / Fair Value</w:t>
            </w:r>
          </w:p>
        </w:tc>
        <w:tc>
          <w:tcPr>
            <w:tcW w:w="0" w:type="dxa"/>
            <w:vAlign w:val="bottom"/>
          </w:tcPr>
          <w:p>
            <w:pPr>
              <w:spacing w:after="0"/>
              <w:rPr>
                <w:sz w:val="1"/>
                <w:szCs w:val="1"/>
                <w:color w:val="auto"/>
              </w:rPr>
            </w:pPr>
          </w:p>
        </w:tc>
      </w:tr>
      <w:tr>
        <w:trPr>
          <w:trHeight w:val="129"/>
        </w:trPr>
        <w:tc>
          <w:tcPr>
            <w:tcW w:w="8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Long-Term Credit Facility and 2019 Notes</w:t>
            </w:r>
          </w:p>
        </w:tc>
        <w:tc>
          <w:tcPr>
            <w:tcW w:w="1900" w:type="dxa"/>
            <w:vAlign w:val="bottom"/>
            <w:tcBorders>
              <w:top w:val="single" w:sz="8" w:color="auto"/>
              <w:bottom w:val="single" w:sz="8" w:color="auto"/>
            </w:tcBorders>
            <w:gridSpan w:val="5"/>
          </w:tcPr>
          <w:p>
            <w:pPr>
              <w:jc w:val="right"/>
              <w:ind w:right="89"/>
              <w:spacing w:after="0" w:line="129" w:lineRule="exact"/>
              <w:rPr>
                <w:sz w:val="20"/>
                <w:szCs w:val="20"/>
                <w:color w:val="auto"/>
              </w:rPr>
            </w:pPr>
            <w:r>
              <w:rPr>
                <w:rFonts w:ascii="Arial" w:cs="Arial" w:eastAsia="Arial" w:hAnsi="Arial"/>
                <w:sz w:val="13"/>
                <w:szCs w:val="13"/>
                <w:b w:val="1"/>
                <w:bCs w:val="1"/>
                <w:color w:val="auto"/>
                <w:w w:val="97"/>
              </w:rPr>
              <w:t>Six Months Ended March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0" w:type="dxa"/>
            <w:vAlign w:val="bottom"/>
            <w:gridSpan w:val="2"/>
            <w:vMerge w:val="continue"/>
          </w:tcPr>
          <w:p>
            <w:pPr>
              <w:spacing w:after="0"/>
              <w:rPr>
                <w:sz w:val="11"/>
                <w:szCs w:val="11"/>
                <w:color w:val="auto"/>
              </w:rPr>
            </w:pPr>
          </w:p>
        </w:tc>
        <w:tc>
          <w:tcPr>
            <w:tcW w:w="860" w:type="dxa"/>
            <w:vAlign w:val="bottom"/>
          </w:tcPr>
          <w:p>
            <w:pPr>
              <w:jc w:val="right"/>
              <w:ind w:right="230"/>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29"/>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Beginning Balance (cost – $305,226,300 and $117,500,000, respectively)</w:t>
            </w:r>
          </w:p>
        </w:tc>
        <w:tc>
          <w:tcPr>
            <w:tcW w:w="47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$ 304,847,870</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117,500,000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(1,277,880)</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(122,223)</w:t>
            </w:r>
          </w:p>
        </w:tc>
        <w:tc>
          <w:tcPr>
            <w:tcW w:w="0" w:type="dxa"/>
            <w:vAlign w:val="bottom"/>
          </w:tcPr>
          <w:p>
            <w:pPr>
              <w:spacing w:after="0"/>
              <w:rPr>
                <w:sz w:val="1"/>
                <w:szCs w:val="1"/>
                <w:color w:val="auto"/>
              </w:rPr>
            </w:pPr>
          </w:p>
        </w:tc>
      </w:tr>
      <w:tr>
        <w:trPr>
          <w:trHeight w:val="149"/>
        </w:trPr>
        <w:tc>
          <w:tcPr>
            <w:tcW w:w="8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187,000,000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380,309,200</w:t>
            </w:r>
          </w:p>
        </w:tc>
        <w:tc>
          <w:tcPr>
            <w:tcW w:w="0" w:type="dxa"/>
            <w:vAlign w:val="bottom"/>
          </w:tcPr>
          <w:p>
            <w:pPr>
              <w:spacing w:after="0"/>
              <w:rPr>
                <w:sz w:val="1"/>
                <w:szCs w:val="1"/>
                <w:color w:val="auto"/>
              </w:rPr>
            </w:pPr>
          </w:p>
        </w:tc>
      </w:tr>
      <w:tr>
        <w:trPr>
          <w:trHeight w:val="148"/>
        </w:trPr>
        <w:tc>
          <w:tcPr>
            <w:tcW w:w="8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(143,017,200)</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(194,000,000)</w:t>
            </w:r>
          </w:p>
        </w:tc>
        <w:tc>
          <w:tcPr>
            <w:tcW w:w="0" w:type="dxa"/>
            <w:vAlign w:val="bottom"/>
          </w:tcPr>
          <w:p>
            <w:pPr>
              <w:spacing w:after="0"/>
              <w:rPr>
                <w:sz w:val="1"/>
                <w:szCs w:val="1"/>
                <w:color w:val="auto"/>
              </w:rPr>
            </w:pPr>
          </w:p>
        </w:tc>
      </w:tr>
      <w:tr>
        <w:trPr>
          <w:trHeight w:val="148"/>
        </w:trPr>
        <w:tc>
          <w:tcPr>
            <w:tcW w:w="8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Transfers in and/or out of Level 3</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880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$349,209,100 and $303,809,200, respectively)</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$ 347,552,790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303,686,977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Temporary draws outstanding, at cost</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155"/>
        </w:trPr>
        <w:tc>
          <w:tcPr>
            <w:tcW w:w="880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$349,209,100 and $313,809,200, respectively)</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$ 347,552,790</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313,686,977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ind w:right="400" w:firstLine="562"/>
        <w:spacing w:after="0" w:line="253" w:lineRule="auto"/>
        <w:rPr>
          <w:sz w:val="20"/>
          <w:szCs w:val="20"/>
          <w:color w:val="auto"/>
        </w:rPr>
      </w:pPr>
      <w:r>
        <w:rPr>
          <w:rFonts w:ascii="Arial" w:cs="Arial" w:eastAsia="Arial" w:hAnsi="Arial"/>
          <w:sz w:val="14"/>
          <w:szCs w:val="14"/>
          <w:color w:val="auto"/>
        </w:rPr>
        <w:t>As of March 31, 2015, we had outstanding non-U.S. dollar borrowings on our Credit Facility denominated in British Pounds. Net unrealized depreciation on these outstanding borrowings is listed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86"/>
              </w:rPr>
              <w:t>Foreign Currency</w:t>
            </w:r>
          </w:p>
        </w:tc>
        <w:tc>
          <w:tcPr>
            <w:tcW w:w="26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Original</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Net Unrealized</w:t>
            </w:r>
          </w:p>
        </w:tc>
        <w:tc>
          <w:tcPr>
            <w:tcW w:w="0" w:type="dxa"/>
            <w:vAlign w:val="bottom"/>
          </w:tcPr>
          <w:p>
            <w:pPr>
              <w:spacing w:after="0"/>
              <w:rPr>
                <w:sz w:val="1"/>
                <w:szCs w:val="1"/>
                <w:color w:val="auto"/>
              </w:rPr>
            </w:pPr>
          </w:p>
        </w:tc>
      </w:tr>
      <w:tr>
        <w:trPr>
          <w:trHeight w:val="160"/>
        </w:trPr>
        <w:tc>
          <w:tcPr>
            <w:tcW w:w="1040" w:type="dxa"/>
            <w:vAlign w:val="bottom"/>
            <w:tcBorders>
              <w:bottom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1500" w:type="dxa"/>
            <w:vAlign w:val="bottom"/>
            <w:gridSpan w:val="3"/>
          </w:tcPr>
          <w:p>
            <w:pPr>
              <w:ind w:left="120"/>
              <w:spacing w:after="0" w:line="140" w:lineRule="exact"/>
              <w:rPr>
                <w:sz w:val="20"/>
                <w:szCs w:val="20"/>
                <w:color w:val="auto"/>
              </w:rPr>
            </w:pPr>
            <w:r>
              <w:rPr>
                <w:rFonts w:ascii="Arial" w:cs="Arial" w:eastAsia="Arial" w:hAnsi="Arial"/>
                <w:sz w:val="13"/>
                <w:szCs w:val="13"/>
                <w:b w:val="1"/>
                <w:bCs w:val="1"/>
                <w:color w:val="auto"/>
              </w:rPr>
              <w:t>Local Currency</w:t>
            </w:r>
          </w:p>
        </w:tc>
        <w:tc>
          <w:tcPr>
            <w:tcW w:w="1420" w:type="dxa"/>
            <w:vAlign w:val="bottom"/>
            <w:gridSpan w:val="2"/>
          </w:tcPr>
          <w:p>
            <w:pPr>
              <w:jc w:val="center"/>
              <w:ind w:right="400"/>
              <w:spacing w:after="0" w:line="140" w:lineRule="exact"/>
              <w:rPr>
                <w:sz w:val="20"/>
                <w:szCs w:val="20"/>
                <w:color w:val="auto"/>
              </w:rPr>
            </w:pPr>
            <w:r>
              <w:rPr>
                <w:rFonts w:ascii="Arial" w:cs="Arial" w:eastAsia="Arial" w:hAnsi="Arial"/>
                <w:sz w:val="13"/>
                <w:szCs w:val="13"/>
                <w:b w:val="1"/>
                <w:bCs w:val="1"/>
                <w:color w:val="auto"/>
                <w:w w:val="88"/>
              </w:rPr>
              <w:t>Borrowing Cost</w:t>
            </w:r>
          </w:p>
        </w:tc>
        <w:tc>
          <w:tcPr>
            <w:tcW w:w="1440" w:type="dxa"/>
            <w:vAlign w:val="bottom"/>
            <w:gridSpan w:val="3"/>
          </w:tcPr>
          <w:p>
            <w:pPr>
              <w:ind w:left="140"/>
              <w:spacing w:after="0" w:line="140" w:lineRule="exact"/>
              <w:rPr>
                <w:sz w:val="20"/>
                <w:szCs w:val="20"/>
                <w:color w:val="auto"/>
              </w:rPr>
            </w:pPr>
            <w:r>
              <w:rPr>
                <w:rFonts w:ascii="Arial" w:cs="Arial" w:eastAsia="Arial" w:hAnsi="Arial"/>
                <w:sz w:val="13"/>
                <w:szCs w:val="13"/>
                <w:b w:val="1"/>
                <w:bCs w:val="1"/>
                <w:color w:val="auto"/>
              </w:rPr>
              <w:t>Current Value</w:t>
            </w:r>
          </w:p>
        </w:tc>
        <w:tc>
          <w:tcPr>
            <w:tcW w:w="142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83"/>
              </w:rPr>
              <w:t>Reset Date</w:t>
            </w:r>
          </w:p>
        </w:tc>
        <w:tc>
          <w:tcPr>
            <w:tcW w:w="160" w:type="dxa"/>
            <w:vAlign w:val="bottom"/>
          </w:tcPr>
          <w:p>
            <w:pPr>
              <w:spacing w:after="0"/>
              <w:rPr>
                <w:sz w:val="13"/>
                <w:szCs w:val="13"/>
                <w:color w:val="auto"/>
              </w:rPr>
            </w:pPr>
          </w:p>
        </w:tc>
        <w:tc>
          <w:tcPr>
            <w:tcW w:w="11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8"/>
              </w:rPr>
              <w:t>Depreciation</w:t>
            </w:r>
          </w:p>
        </w:tc>
        <w:tc>
          <w:tcPr>
            <w:tcW w:w="0" w:type="dxa"/>
            <w:vAlign w:val="bottom"/>
          </w:tcPr>
          <w:p>
            <w:pPr>
              <w:spacing w:after="0"/>
              <w:rPr>
                <w:sz w:val="1"/>
                <w:szCs w:val="1"/>
                <w:color w:val="auto"/>
              </w:rPr>
            </w:pPr>
          </w:p>
        </w:tc>
      </w:tr>
      <w:tr>
        <w:trPr>
          <w:trHeight w:val="136"/>
        </w:trPr>
        <w:tc>
          <w:tcPr>
            <w:tcW w:w="3700" w:type="dxa"/>
            <w:vAlign w:val="bottom"/>
            <w:tcBorders>
              <w:top w:val="single" w:sz="8" w:color="CCEEFF"/>
            </w:tcBorders>
            <w:gridSpan w:val="2"/>
            <w:shd w:val="clear" w:color="auto" w:fill="CCEEFF"/>
          </w:tcPr>
          <w:p>
            <w:pPr>
              <w:ind w:left="80"/>
              <w:spacing w:after="0" w:line="135" w:lineRule="exact"/>
              <w:rPr>
                <w:sz w:val="20"/>
                <w:szCs w:val="20"/>
                <w:color w:val="auto"/>
              </w:rPr>
            </w:pPr>
            <w:r>
              <w:rPr>
                <w:rFonts w:ascii="Arial" w:cs="Arial" w:eastAsia="Arial" w:hAnsi="Arial"/>
                <w:sz w:val="14"/>
                <w:szCs w:val="14"/>
                <w:color w:val="auto"/>
              </w:rPr>
              <w:t>British Pound</w:t>
            </w:r>
          </w:p>
        </w:tc>
        <w:tc>
          <w:tcPr>
            <w:tcW w:w="260" w:type="dxa"/>
            <w:vAlign w:val="bottom"/>
            <w:tcBorders>
              <w:top w:val="single" w:sz="8" w:color="auto"/>
            </w:tcBorders>
            <w:shd w:val="clear" w:color="auto" w:fill="CCEEFF"/>
          </w:tcPr>
          <w:p>
            <w:pPr>
              <w:jc w:val="right"/>
              <w:ind w:right="53"/>
              <w:spacing w:after="0" w:line="13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30,000,000</w:t>
            </w:r>
          </w:p>
        </w:tc>
        <w:tc>
          <w:tcPr>
            <w:tcW w:w="4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rPr>
              <w:t>$  50,209,100</w:t>
            </w:r>
          </w:p>
        </w:tc>
        <w:tc>
          <w:tcPr>
            <w:tcW w:w="4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53"/>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44,501,790</w:t>
            </w:r>
          </w:p>
        </w:tc>
        <w:tc>
          <w:tcPr>
            <w:tcW w:w="4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April 1, 2015</w:t>
            </w: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14"/>
              <w:spacing w:after="0" w:line="135" w:lineRule="exact"/>
              <w:rPr>
                <w:sz w:val="20"/>
                <w:szCs w:val="20"/>
                <w:color w:val="auto"/>
              </w:rPr>
            </w:pPr>
            <w:r>
              <w:rPr>
                <w:rFonts w:ascii="Arial" w:cs="Arial" w:eastAsia="Arial" w:hAnsi="Arial"/>
                <w:sz w:val="14"/>
                <w:szCs w:val="14"/>
                <w:color w:val="auto"/>
              </w:rPr>
              <w:t>(5,707,310)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color w:val="auto"/>
              </w:rPr>
              <w:t>22</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to our Credit Facility and our Notes. We elected to use the fair value option for the Credit Facility and our Notes to align the measurement attributes of both our assets and liabilities while</w:t>
      </w:r>
    </w:p>
    <w:p>
      <w:pPr>
        <w:spacing w:after="0"/>
        <w:rPr>
          <w:sz w:val="20"/>
          <w:szCs w:val="20"/>
          <w:color w:val="auto"/>
        </w:rPr>
      </w:pPr>
      <w:r>
        <w:rPr>
          <w:rFonts w:ascii="Arial" w:cs="Arial" w:eastAsia="Arial" w:hAnsi="Arial"/>
          <w:sz w:val="13"/>
          <w:szCs w:val="13"/>
          <w:color w:val="auto"/>
        </w:rPr>
        <w:t>mitigating volatility in earnings from using different measurement attributes. ASC 825-10 establishes presentation and disclosure requirements designed to facilitate comparisons between</w:t>
      </w:r>
    </w:p>
    <w:p>
      <w:pPr>
        <w:spacing w:after="0"/>
        <w:rPr>
          <w:sz w:val="20"/>
          <w:szCs w:val="20"/>
          <w:color w:val="auto"/>
        </w:rPr>
      </w:pPr>
      <w:r>
        <w:rPr>
          <w:rFonts w:ascii="Arial" w:cs="Arial" w:eastAsia="Arial" w:hAnsi="Arial"/>
          <w:sz w:val="13"/>
          <w:szCs w:val="13"/>
          <w:color w:val="auto"/>
        </w:rPr>
        <w:t>companies that choose different measurement attributes for similar types of assets and liabilities and to more easily understand the effect on earnings of a company’s choice to use fair value. ASC</w:t>
      </w:r>
    </w:p>
    <w:p>
      <w:pPr>
        <w:spacing w:after="0"/>
        <w:rPr>
          <w:sz w:val="20"/>
          <w:szCs w:val="20"/>
          <w:color w:val="auto"/>
        </w:rPr>
      </w:pPr>
      <w:r>
        <w:rPr>
          <w:rFonts w:ascii="Arial" w:cs="Arial" w:eastAsia="Arial" w:hAnsi="Arial"/>
          <w:sz w:val="13"/>
          <w:szCs w:val="13"/>
          <w:color w:val="auto"/>
        </w:rPr>
        <w:t>825-10 also requires entities to display the fair value of the selected assets and liabilities on the face of the Consolidated Statement of Assets and Liabilities and changes in fair value of the Credit</w:t>
      </w:r>
    </w:p>
    <w:p>
      <w:pPr>
        <w:spacing w:after="0" w:line="221" w:lineRule="auto"/>
        <w:rPr>
          <w:sz w:val="20"/>
          <w:szCs w:val="20"/>
          <w:color w:val="auto"/>
        </w:rPr>
      </w:pPr>
      <w:r>
        <w:rPr>
          <w:rFonts w:ascii="Arial" w:cs="Arial" w:eastAsia="Arial" w:hAnsi="Arial"/>
          <w:sz w:val="14"/>
          <w:szCs w:val="14"/>
          <w:color w:val="auto"/>
        </w:rPr>
        <w:t>Facility and our Notes are reported in our Consolidated Statement of Operations. We elected not to apply ASC 825-10 to any other financial assets or liabilities, including the SBA</w:t>
      </w:r>
    </w:p>
    <w:p>
      <w:pPr>
        <w:ind w:right="20"/>
        <w:spacing w:after="0" w:line="227" w:lineRule="auto"/>
        <w:rPr>
          <w:sz w:val="20"/>
          <w:szCs w:val="20"/>
          <w:color w:val="auto"/>
        </w:rPr>
      </w:pPr>
      <w:r>
        <w:rPr>
          <w:rFonts w:ascii="Arial" w:cs="Arial" w:eastAsia="Arial" w:hAnsi="Arial"/>
          <w:sz w:val="14"/>
          <w:szCs w:val="14"/>
          <w:color w:val="auto"/>
        </w:rPr>
        <w:t>debentures. For the three and six months ended March 31, 2015, our Credit Facility and our Notes had a net change in unrealized depreciation of $0.6 million and $1.7 million, respectively. For the three and six months ended March 31, 2014, our Credit Facility and our Notes had a net change in unrealized appreciation of $6.1 million and $2.0 million, respectively. As of March 31, 2015 and September 30, 2014, net unrealized depreciation (appreciation) on our Credit Facility and our Notes totaled $1.5 million and $(0.2) million, respectively. We use a nationally recognized independent valuation service to fair value of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six months ended March 31, 2015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Purchases of /</w:t>
            </w:r>
          </w:p>
        </w:tc>
        <w:tc>
          <w:tcPr>
            <w:tcW w:w="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Sale of /</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80" w:type="dxa"/>
            <w:vAlign w:val="bottom"/>
          </w:tcPr>
          <w:p>
            <w:pPr>
              <w:spacing w:after="0"/>
              <w:rPr>
                <w:sz w:val="11"/>
                <w:szCs w:val="11"/>
                <w:color w:val="auto"/>
              </w:rPr>
            </w:pPr>
          </w:p>
        </w:tc>
        <w:tc>
          <w:tcPr>
            <w:tcW w:w="16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6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2"/>
              </w:rPr>
              <w:t>Advances to</w:t>
            </w:r>
          </w:p>
        </w:tc>
        <w:tc>
          <w:tcPr>
            <w:tcW w:w="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Distributions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Income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7"/>
              </w:rPr>
              <w:t>Net Realized Gains</w:t>
            </w:r>
          </w:p>
        </w:tc>
        <w:tc>
          <w:tcPr>
            <w:tcW w:w="0" w:type="dxa"/>
            <w:vAlign w:val="bottom"/>
          </w:tcPr>
          <w:p>
            <w:pPr>
              <w:spacing w:after="0"/>
              <w:rPr>
                <w:sz w:val="1"/>
                <w:szCs w:val="1"/>
                <w:color w:val="auto"/>
              </w:rPr>
            </w:pPr>
          </w:p>
        </w:tc>
      </w:tr>
      <w:tr>
        <w:trPr>
          <w:trHeight w:val="153"/>
        </w:trPr>
        <w:tc>
          <w:tcPr>
            <w:tcW w:w="3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7"/>
              </w:rPr>
              <w:t xml:space="preserve">September 30, 2014 </w:t>
            </w:r>
            <w:r>
              <w:rPr>
                <w:rFonts w:ascii="Arial" w:cs="Arial" w:eastAsia="Arial" w:hAnsi="Arial"/>
                <w:sz w:val="10"/>
                <w:szCs w:val="10"/>
                <w:b w:val="1"/>
                <w:bCs w:val="1"/>
                <w:color w:val="auto"/>
                <w:w w:val="87"/>
              </w:rPr>
              <w:t>(1)</w:t>
            </w:r>
          </w:p>
        </w:tc>
        <w:tc>
          <w:tcPr>
            <w:tcW w:w="12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4"/>
              </w:rPr>
              <w:t xml:space="preserve">Affiliates </w:t>
            </w:r>
            <w:r>
              <w:rPr>
                <w:rFonts w:ascii="Arial" w:cs="Arial" w:eastAsia="Arial" w:hAnsi="Arial"/>
                <w:sz w:val="10"/>
                <w:szCs w:val="10"/>
                <w:b w:val="1"/>
                <w:bCs w:val="1"/>
                <w:color w:val="auto"/>
                <w:w w:val="94"/>
              </w:rPr>
              <w:t>(1), (2)</w:t>
            </w:r>
          </w:p>
        </w:tc>
        <w:tc>
          <w:tcPr>
            <w:tcW w:w="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 xml:space="preserve">from Affiliates </w:t>
            </w:r>
            <w:r>
              <w:rPr>
                <w:rFonts w:ascii="Arial" w:cs="Arial" w:eastAsia="Arial" w:hAnsi="Arial"/>
                <w:sz w:val="10"/>
                <w:szCs w:val="10"/>
                <w:b w:val="1"/>
                <w:bCs w:val="1"/>
                <w:color w:val="auto"/>
                <w:w w:val="91"/>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Accrued</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 xml:space="preserve">March 31, 2015 </w:t>
            </w:r>
            <w:r>
              <w:rPr>
                <w:rFonts w:ascii="Arial" w:cs="Arial" w:eastAsia="Arial" w:hAnsi="Arial"/>
                <w:sz w:val="10"/>
                <w:szCs w:val="10"/>
                <w:b w:val="1"/>
                <w:bCs w:val="1"/>
                <w:color w:val="auto"/>
                <w:w w:val="90"/>
              </w:rPr>
              <w:t>(1)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28"/>
        </w:trPr>
        <w:tc>
          <w:tcPr>
            <w:tcW w:w="2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Controlled Affiliates</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gridSpan w:val="2"/>
          </w:tcPr>
          <w:p>
            <w:pPr>
              <w:spacing w:after="0" w:line="121" w:lineRule="exact"/>
              <w:rPr>
                <w:sz w:val="20"/>
                <w:szCs w:val="20"/>
                <w:color w:val="auto"/>
              </w:rPr>
            </w:pPr>
            <w:r>
              <w:rPr>
                <w:rFonts w:ascii="Arial" w:cs="Arial" w:eastAsia="Arial" w:hAnsi="Arial"/>
                <w:sz w:val="13"/>
                <w:szCs w:val="13"/>
                <w:color w:val="auto"/>
              </w:rPr>
              <w:t>MidOcean JF Holdings Corp.</w:t>
            </w: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 xml:space="preserve">(JF Acquisition, LLC) </w:t>
            </w:r>
            <w:r>
              <w:rPr>
                <w:rFonts w:ascii="Arial" w:cs="Arial" w:eastAsia="Arial" w:hAnsi="Arial"/>
                <w:sz w:val="10"/>
                <w:szCs w:val="10"/>
                <w:color w:val="auto"/>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6,816,448</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21,210,823</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8,190,872</w:t>
            </w: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(4,000,000)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1,813,942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23,630,084</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2"/>
          </w:tcPr>
          <w:p>
            <w:pPr>
              <w:spacing w:after="0" w:line="135" w:lineRule="exact"/>
              <w:rPr>
                <w:sz w:val="20"/>
                <w:szCs w:val="20"/>
                <w:color w:val="auto"/>
              </w:rPr>
            </w:pPr>
            <w:r>
              <w:rPr>
                <w:rFonts w:ascii="Arial" w:cs="Arial" w:eastAsia="Arial" w:hAnsi="Arial"/>
                <w:sz w:val="13"/>
                <w:szCs w:val="13"/>
                <w:color w:val="auto"/>
              </w:rPr>
              <w:t>SuttonPark Holdings, Inc.</w:t>
            </w:r>
          </w:p>
        </w:tc>
        <w:tc>
          <w:tcPr>
            <w:tcW w:w="80" w:type="dxa"/>
            <w:vAlign w:val="bottom"/>
          </w:tcPr>
          <w:p>
            <w:pPr>
              <w:spacing w:after="0"/>
              <w:rPr>
                <w:sz w:val="11"/>
                <w:szCs w:val="11"/>
                <w:color w:val="auto"/>
              </w:rPr>
            </w:pPr>
          </w:p>
        </w:tc>
        <w:tc>
          <w:tcPr>
            <w:tcW w:w="12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14,000,000</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7,000,000</w:t>
            </w:r>
          </w:p>
        </w:tc>
        <w:tc>
          <w:tcPr>
            <w:tcW w:w="60" w:type="dxa"/>
            <w:vAlign w:val="bottom"/>
          </w:tcPr>
          <w:p>
            <w:pPr>
              <w:spacing w:after="0"/>
              <w:rPr>
                <w:sz w:val="11"/>
                <w:szCs w:val="11"/>
                <w:color w:val="auto"/>
              </w:rPr>
            </w:pPr>
          </w:p>
        </w:tc>
        <w:tc>
          <w:tcPr>
            <w:tcW w:w="12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827,167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21,000,000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Non-Controlled Affiliates</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spacing w:after="0" w:line="135" w:lineRule="exact"/>
              <w:rPr>
                <w:sz w:val="20"/>
                <w:szCs w:val="20"/>
                <w:color w:val="auto"/>
              </w:rPr>
            </w:pPr>
            <w:r>
              <w:rPr>
                <w:rFonts w:ascii="Arial" w:cs="Arial" w:eastAsia="Arial" w:hAnsi="Arial"/>
                <w:sz w:val="13"/>
                <w:szCs w:val="13"/>
                <w:color w:val="auto"/>
              </w:rPr>
              <w:t>DirectBuy Holdings, Inc.</w:t>
            </w:r>
          </w:p>
        </w:tc>
        <w:tc>
          <w:tcPr>
            <w:tcW w:w="80" w:type="dxa"/>
            <w:vAlign w:val="bottom"/>
          </w:tcPr>
          <w:p>
            <w:pPr>
              <w:spacing w:after="0"/>
              <w:rPr>
                <w:sz w:val="11"/>
                <w:szCs w:val="11"/>
                <w:color w:val="auto"/>
              </w:rPr>
            </w:pPr>
          </w:p>
        </w:tc>
        <w:tc>
          <w:tcPr>
            <w:tcW w:w="12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11,283,172</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708,397</w:t>
            </w:r>
          </w:p>
        </w:tc>
        <w:tc>
          <w:tcPr>
            <w:tcW w:w="60" w:type="dxa"/>
            <w:vAlign w:val="bottom"/>
          </w:tcPr>
          <w:p>
            <w:pPr>
              <w:spacing w:after="0"/>
              <w:rPr>
                <w:sz w:val="11"/>
                <w:szCs w:val="11"/>
                <w:color w:val="auto"/>
              </w:rPr>
            </w:pPr>
          </w:p>
        </w:tc>
        <w:tc>
          <w:tcPr>
            <w:tcW w:w="12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475,754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7,280,915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21,268,379</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455,093</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21,302,335</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2"/>
          </w:tcPr>
          <w:p>
            <w:pPr>
              <w:spacing w:after="0" w:line="135" w:lineRule="exact"/>
              <w:rPr>
                <w:sz w:val="20"/>
                <w:szCs w:val="20"/>
                <w:color w:val="auto"/>
              </w:rPr>
            </w:pPr>
            <w:r>
              <w:rPr>
                <w:rFonts w:ascii="Arial" w:cs="Arial" w:eastAsia="Arial" w:hAnsi="Arial"/>
                <w:sz w:val="13"/>
                <w:szCs w:val="13"/>
                <w:color w:val="auto"/>
              </w:rPr>
              <w:t>NCP-Performance, L.P.</w:t>
            </w:r>
          </w:p>
        </w:tc>
        <w:tc>
          <w:tcPr>
            <w:tcW w:w="80" w:type="dxa"/>
            <w:vAlign w:val="bottom"/>
          </w:tcPr>
          <w:p>
            <w:pPr>
              <w:spacing w:after="0"/>
              <w:rPr>
                <w:sz w:val="11"/>
                <w:szCs w:val="11"/>
                <w:color w:val="auto"/>
              </w:rPr>
            </w:pPr>
          </w:p>
        </w:tc>
        <w:tc>
          <w:tcPr>
            <w:tcW w:w="160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1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1,650,729</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8,257,422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RAM Energy LLC </w:t>
            </w: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60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1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83,600,000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Service Champ, Inc.</w:t>
            </w:r>
          </w:p>
        </w:tc>
        <w:tc>
          <w:tcPr>
            <w:tcW w:w="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33,645,241</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1,806,341</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33,563,599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30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Controlled and Non-Controlled Affiliates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103,058,344</w:t>
            </w: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15,899,269</w:t>
            </w:r>
          </w:p>
        </w:tc>
        <w:tc>
          <w:tcPr>
            <w:tcW w:w="3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(4,000,000)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5,378,297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205,450,803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ind w:left="960"/>
              <w:spacing w:after="0" w:line="142"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Excluding delayed draws investments.</w:t>
      </w:r>
    </w:p>
    <w:p>
      <w:pPr>
        <w:ind w:left="340" w:hanging="332"/>
        <w:spacing w:after="0" w:line="221"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Includes PIK.</w:t>
      </w:r>
    </w:p>
    <w:p>
      <w:pPr>
        <w:ind w:left="340" w:hanging="332"/>
        <w:spacing w:after="0" w:line="221"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2015.</w:t>
      </w: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2015.</w:t>
      </w:r>
    </w:p>
    <w:p>
      <w:pPr>
        <w:spacing w:after="0" w:line="9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CHANGE IN NET ASSETS RESULTING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w w:val="91"/>
              </w:rPr>
              <w:t>Three Months Ended March 31,</w:t>
            </w:r>
          </w:p>
        </w:tc>
        <w:tc>
          <w:tcPr>
            <w:tcW w:w="140" w:type="dxa"/>
            <w:vAlign w:val="bottom"/>
          </w:tcPr>
          <w:p>
            <w:pPr>
              <w:spacing w:after="0"/>
              <w:rPr>
                <w:sz w:val="13"/>
                <w:szCs w:val="13"/>
                <w:color w:val="auto"/>
              </w:rPr>
            </w:pPr>
          </w:p>
        </w:tc>
        <w:tc>
          <w:tcPr>
            <w:tcW w:w="2080" w:type="dxa"/>
            <w:vAlign w:val="bottom"/>
            <w:gridSpan w:val="6"/>
          </w:tcPr>
          <w:p>
            <w:pPr>
              <w:ind w:left="140"/>
              <w:spacing w:after="0"/>
              <w:rPr>
                <w:sz w:val="20"/>
                <w:szCs w:val="20"/>
                <w:color w:val="auto"/>
              </w:rPr>
            </w:pPr>
            <w:r>
              <w:rPr>
                <w:rFonts w:ascii="Arial" w:cs="Arial" w:eastAsia="Arial" w:hAnsi="Arial"/>
                <w:sz w:val="13"/>
                <w:szCs w:val="13"/>
                <w:b w:val="1"/>
                <w:bCs w:val="1"/>
                <w:color w:val="auto"/>
              </w:rPr>
              <w:t>Six Months Ended March 31,</w:t>
            </w:r>
          </w:p>
        </w:tc>
      </w:tr>
      <w:tr>
        <w:trPr>
          <w:trHeight w:val="135"/>
        </w:trPr>
        <w:tc>
          <w:tcPr>
            <w:tcW w:w="62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52"/>
              <w:spacing w:after="0" w:line="115" w:lineRule="exact"/>
              <w:rPr>
                <w:sz w:val="20"/>
                <w:szCs w:val="20"/>
                <w:color w:val="auto"/>
              </w:rPr>
            </w:pPr>
            <w:r>
              <w:rPr>
                <w:rFonts w:ascii="Arial" w:cs="Arial" w:eastAsia="Arial" w:hAnsi="Arial"/>
                <w:sz w:val="13"/>
                <w:szCs w:val="13"/>
                <w:b w:val="1"/>
                <w:bCs w:val="1"/>
                <w:color w:val="auto"/>
              </w:rPr>
              <w:t>2015</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0"/>
              <w:spacing w:after="0" w:line="115" w:lineRule="exact"/>
              <w:rPr>
                <w:sz w:val="20"/>
                <w:szCs w:val="20"/>
                <w:color w:val="auto"/>
              </w:rPr>
            </w:pPr>
            <w:r>
              <w:rPr>
                <w:rFonts w:ascii="Arial" w:cs="Arial" w:eastAsia="Arial" w:hAnsi="Arial"/>
                <w:sz w:val="13"/>
                <w:szCs w:val="13"/>
                <w:b w:val="1"/>
                <w:bCs w:val="1"/>
                <w:color w:val="auto"/>
              </w:rPr>
              <w:t>2014</w:t>
            </w: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32"/>
              <w:spacing w:after="0" w:line="115" w:lineRule="exact"/>
              <w:rPr>
                <w:sz w:val="20"/>
                <w:szCs w:val="20"/>
                <w:color w:val="auto"/>
              </w:rPr>
            </w:pPr>
            <w:r>
              <w:rPr>
                <w:rFonts w:ascii="Arial" w:cs="Arial" w:eastAsia="Arial" w:hAnsi="Arial"/>
                <w:sz w:val="13"/>
                <w:szCs w:val="13"/>
                <w:b w:val="1"/>
                <w:bCs w:val="1"/>
                <w:color w:val="auto"/>
              </w:rPr>
              <w:t>2015</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50"/>
              <w:spacing w:after="0" w:line="115"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1"/>
                <w:szCs w:val="11"/>
                <w:color w:val="auto"/>
              </w:rPr>
            </w:pPr>
          </w:p>
        </w:tc>
      </w:tr>
      <w:tr>
        <w:trPr>
          <w:trHeight w:val="135"/>
        </w:trPr>
        <w:tc>
          <w:tcPr>
            <w:tcW w:w="62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3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7,378,701</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40,681,151</w:t>
            </w:r>
          </w:p>
        </w:tc>
        <w:tc>
          <w:tcPr>
            <w:tcW w:w="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0"/>
              </w:rPr>
              <w:t>(16,566,993)</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80,136,104</w:t>
            </w:r>
          </w:p>
        </w:tc>
        <w:tc>
          <w:tcPr>
            <w:tcW w:w="80" w:type="dxa"/>
            <w:vAlign w:val="bottom"/>
            <w:tcBorders>
              <w:top w:val="single" w:sz="8" w:color="CCEEFF"/>
            </w:tcBorders>
            <w:shd w:val="clear" w:color="auto" w:fill="CCEEFF"/>
          </w:tcPr>
          <w:p>
            <w:pPr>
              <w:spacing w:after="0"/>
              <w:rPr>
                <w:sz w:val="11"/>
                <w:szCs w:val="11"/>
                <w:color w:val="auto"/>
              </w:rPr>
            </w:pPr>
          </w:p>
        </w:tc>
      </w:tr>
      <w:tr>
        <w:trPr>
          <w:trHeight w:val="148"/>
        </w:trPr>
        <w:tc>
          <w:tcPr>
            <w:tcW w:w="622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75,092,911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66,569,036</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75,092,911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66,557,762</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resulting from operations per share</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0.61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(0.22)</w:t>
            </w:r>
          </w:p>
        </w:tc>
        <w:tc>
          <w:tcPr>
            <w:tcW w:w="3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2015 and September 30, 2014, our cash and cash equivalents consisted of $62.8 million and $66.5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00" w:lineRule="exact"/>
        <w:rPr>
          <w:sz w:val="20"/>
          <w:szCs w:val="20"/>
          <w:color w:val="auto"/>
        </w:rPr>
      </w:pPr>
    </w:p>
    <w:tbl>
      <w:tblPr>
        <w:tblLayout w:type="fixed"/>
        <w:tblInd w:w="800" w:type="dxa"/>
        <w:tblCellMar>
          <w:top w:w="0" w:type="dxa"/>
          <w:left w:w="0" w:type="dxa"/>
          <w:bottom w:w="0" w:type="dxa"/>
          <w:right w:w="0" w:type="dxa"/>
        </w:tblCellMar>
      </w:tblPr>
      <w:tr>
        <w:trPr>
          <w:trHeight w:val="182"/>
        </w:trPr>
        <w:tc>
          <w:tcPr>
            <w:tcW w:w="554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49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11.03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0.55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(0.77)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(decrease) increase in net assets resulting from operations </w:t>
            </w:r>
            <w:r>
              <w:rPr>
                <w:rFonts w:ascii="Arial" w:cs="Arial" w:eastAsia="Arial" w:hAnsi="Arial"/>
                <w:sz w:val="12"/>
                <w:szCs w:val="12"/>
                <w:color w:val="auto"/>
              </w:rPr>
              <w:t>(1)</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(0.56)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49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9.05</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4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(14.52)%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75,092,911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66,569,036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49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Ratios**/ Supplemental Data:</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interest and expenses on debt to average net assets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4"/>
                <w:szCs w:val="14"/>
                <w:color w:val="auto"/>
              </w:rPr>
              <w:t>Ratio of total expenses to average net assets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10.05%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769,390,926</w:t>
            </w:r>
          </w:p>
        </w:tc>
        <w:tc>
          <w:tcPr>
            <w:tcW w:w="36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9"/>
              </w:rPr>
              <w:t>741,162,812</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(5)</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571,981,716</w:t>
            </w: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479,832,798</w:t>
            </w: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498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(5)</w:t>
            </w:r>
          </w:p>
        </w:tc>
        <w:tc>
          <w:tcPr>
            <w:tcW w:w="12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7.62</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2,836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2,929</w:t>
            </w: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27.95%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43.67%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spacing w:after="0" w:line="2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460" w:right="260" w:hanging="452"/>
        <w:spacing w:after="0" w:line="251" w:lineRule="auto"/>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2"/>
          <w:szCs w:val="12"/>
          <w:color w:val="auto"/>
        </w:rPr>
      </w:pPr>
    </w:p>
    <w:p>
      <w:pPr>
        <w:jc w:val="both"/>
        <w:ind w:left="460" w:right="340" w:hanging="452"/>
        <w:spacing w:after="0" w:line="264" w:lineRule="auto"/>
        <w:tabs>
          <w:tab w:leader="none" w:pos="460" w:val="left"/>
        </w:tabs>
        <w:numPr>
          <w:ilvl w:val="0"/>
          <w:numId w:val="10"/>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00" w:lineRule="exact"/>
        <w:rPr>
          <w:sz w:val="20"/>
          <w:szCs w:val="20"/>
          <w:color w:val="auto"/>
        </w:rPr>
      </w:pPr>
    </w:p>
    <w:p>
      <w:pPr>
        <w:jc w:val="both"/>
        <w:ind w:right="80" w:firstLine="562"/>
        <w:spacing w:after="0" w:line="264" w:lineRule="auto"/>
        <w:rPr>
          <w:sz w:val="20"/>
          <w:szCs w:val="20"/>
          <w:color w:val="auto"/>
        </w:rPr>
      </w:pPr>
      <w:r>
        <w:rPr>
          <w:rFonts w:ascii="Arial" w:cs="Arial" w:eastAsia="Arial" w:hAnsi="Arial"/>
          <w:sz w:val="13"/>
          <w:szCs w:val="13"/>
          <w:color w:val="auto"/>
        </w:rPr>
        <w:t>Our annualized weighted average cost of debt for the six months ended March 31, 2015 and 2014, inclusive of the fee on the undrawn commitment on the Credit Facility and amortized upfront fees on SBA debentures but excluding debt issuance costs, was 4.57% and 4.03%,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a $545 million multi-currency Credit Facility with certain lenders and SunTrust Bank, acting as administrative agent, and JPMorgan Chase Bank, N.A., acting as syndication agent for the lenders. As of March 31, 2015 and September 30, 2014, there was $99.2 million and $55.2 million, respectively, in outstanding borrowings under the Credit Facility, with a weighted average interest rate at the time of 2.63% and 2.80%, exclusive of the fee on undrawn commitments of 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March 31, 2015.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as part of a group of SBICs under common control may borrow a maximum of $225 million in the aggregate.</w:t>
      </w:r>
    </w:p>
    <w:p>
      <w:pPr>
        <w:spacing w:after="0" w:line="77"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As of March 31, 2015 and September 30, 2014, our SBIC Funds had $225.0 million and $150.0 million in debt commitments, respectively, and $150.0 million was drawn for each period. Both SBA debentures’ upfront fees of 3.43% consist of a commitment fee of 1.00% and an issuance discount of 2.43%, which are being amortized.</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as of March 31, 2015 and September 30, 2014 were as follows: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Maturity</w:t>
            </w:r>
          </w:p>
        </w:tc>
        <w:tc>
          <w:tcPr>
            <w:tcW w:w="3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Principal Balance</w:t>
            </w:r>
          </w:p>
        </w:tc>
        <w:tc>
          <w:tcPr>
            <w:tcW w:w="80" w:type="dxa"/>
            <w:vAlign w:val="bottom"/>
            <w:tcBorders>
              <w:bottom w:val="single" w:sz="8" w:color="CCEEFF"/>
            </w:tcBorders>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22, 2010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3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1700"/>
              <w:spacing w:after="0" w:line="142" w:lineRule="exact"/>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March 29, 2011</w:t>
            </w:r>
          </w:p>
        </w:tc>
        <w:tc>
          <w:tcPr>
            <w:tcW w:w="200" w:type="dxa"/>
            <w:vAlign w:val="bottom"/>
          </w:tcPr>
          <w:p>
            <w:pPr>
              <w:spacing w:after="0"/>
              <w:rPr>
                <w:sz w:val="12"/>
                <w:szCs w:val="12"/>
                <w:color w:val="auto"/>
              </w:rPr>
            </w:pPr>
          </w:p>
        </w:tc>
        <w:tc>
          <w:tcPr>
            <w:tcW w:w="2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March 1, 2021</w:t>
            </w:r>
          </w:p>
        </w:tc>
        <w:tc>
          <w:tcPr>
            <w:tcW w:w="2320" w:type="dxa"/>
            <w:vAlign w:val="bottom"/>
            <w:gridSpan w:val="2"/>
          </w:tcPr>
          <w:p>
            <w:pPr>
              <w:ind w:left="1700"/>
              <w:spacing w:after="0" w:line="149" w:lineRule="exact"/>
              <w:rPr>
                <w:sz w:val="20"/>
                <w:szCs w:val="20"/>
                <w:color w:val="auto"/>
              </w:rPr>
            </w:pPr>
            <w:r>
              <w:rPr>
                <w:rFonts w:ascii="Arial" w:cs="Arial" w:eastAsia="Arial" w:hAnsi="Arial"/>
                <w:sz w:val="14"/>
                <w:szCs w:val="14"/>
                <w:color w:val="auto"/>
              </w:rPr>
              <w:t>4.46</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September 21, 2011</w:t>
            </w:r>
          </w:p>
        </w:tc>
        <w:tc>
          <w:tcPr>
            <w:tcW w:w="2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September 1, 2021</w:t>
            </w:r>
          </w:p>
        </w:tc>
        <w:tc>
          <w:tcPr>
            <w:tcW w:w="1960" w:type="dxa"/>
            <w:vAlign w:val="bottom"/>
            <w:tcBorders>
              <w:bottom w:val="single" w:sz="8" w:color="auto"/>
            </w:tcBorders>
            <w:shd w:val="clear" w:color="auto" w:fill="CCEEFF"/>
          </w:tcPr>
          <w:p>
            <w:pPr>
              <w:ind w:left="1700"/>
              <w:spacing w:after="0" w:line="149" w:lineRule="exact"/>
              <w:rPr>
                <w:sz w:val="20"/>
                <w:szCs w:val="20"/>
                <w:color w:val="auto"/>
              </w:rPr>
            </w:pPr>
            <w:r>
              <w:rPr>
                <w:rFonts w:ascii="Arial" w:cs="Arial" w:eastAsia="Arial" w:hAnsi="Arial"/>
                <w:sz w:val="14"/>
                <w:szCs w:val="14"/>
                <w:color w:val="auto"/>
                <w:w w:val="87"/>
              </w:rPr>
              <w:t>3.38</w:t>
            </w:r>
          </w:p>
        </w:tc>
        <w:tc>
          <w:tcPr>
            <w:tcW w:w="3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Weighted Average Rate / Total</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gridSpan w:val="2"/>
          </w:tcPr>
          <w:p>
            <w:pPr>
              <w:ind w:left="1700"/>
              <w:spacing w:after="0" w:line="155" w:lineRule="exact"/>
              <w:rPr>
                <w:sz w:val="20"/>
                <w:szCs w:val="20"/>
                <w:color w:val="auto"/>
              </w:rPr>
            </w:pPr>
            <w:r>
              <w:rPr>
                <w:rFonts w:ascii="Arial" w:cs="Arial" w:eastAsia="Arial" w:hAnsi="Arial"/>
                <w:sz w:val="14"/>
                <w:szCs w:val="14"/>
                <w:color w:val="auto"/>
              </w:rPr>
              <w:t>3.70%</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2"/>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8"/>
        </w:trPr>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w:t>
            </w: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Excluding 3.43% of upfront fees.</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82"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2015, our SBIC Funds were in compliance with their regulatory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As of March 31, 2015 and September 30, 2014, we had $250.0 million in aggregate principal amount of 2019 Notes. Interest on the 2019 Notes is paid semi-annually on April 1 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effectively subordinated to the assets pledged or secured under our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March 31, 2015 and September 30, 2014, we had $71.3 million in aggregate principal amount of 2025 Notes. Interest on the 2025 Notes is paid quarterly on</w:t>
      </w:r>
    </w:p>
    <w:p>
      <w:pPr>
        <w:ind w:right="20"/>
        <w:spacing w:after="0" w:line="232" w:lineRule="auto"/>
        <w:rPr>
          <w:sz w:val="20"/>
          <w:szCs w:val="20"/>
          <w:color w:val="auto"/>
        </w:rPr>
      </w:pPr>
      <w:r>
        <w:rPr>
          <w:rFonts w:ascii="Arial" w:cs="Arial" w:eastAsia="Arial" w:hAnsi="Arial"/>
          <w:sz w:val="14"/>
          <w:szCs w:val="14"/>
          <w:color w:val="auto"/>
        </w:rPr>
        <w:t>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effectively subordinated to the assets pledged or secured under our Credit Facility. Our 2025 Notes trade on the NYSE under the symbol “PNTA.”</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 of Investments. As of March 31, 2015 and September 30, 2014, we had $45.4 million and $15.3 million, respectively, in commitments to fund various revolving and delayed draw investments.</w:t>
      </w:r>
    </w:p>
    <w:p>
      <w:pPr>
        <w:spacing w:after="0" w:line="67"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March 31, 2015, our maximum guaranty was $9.5 million. Based on SPH’s and industry historical loss rates we believe the risk of loss is remote, thus, we have not recorded a liability associated with the guaranties. The current guaranties will decline over time.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480" w:firstLine="562"/>
        <w:spacing w:after="0" w:line="233" w:lineRule="auto"/>
        <w:rPr>
          <w:sz w:val="20"/>
          <w:szCs w:val="20"/>
          <w:color w:val="auto"/>
        </w:rPr>
      </w:pPr>
      <w:r>
        <w:rPr>
          <w:rFonts w:ascii="Arial" w:cs="Arial" w:eastAsia="Arial" w:hAnsi="Arial"/>
          <w:sz w:val="14"/>
          <w:szCs w:val="14"/>
          <w:color w:val="auto"/>
        </w:rPr>
        <w:t>We have reviewed the accompanying consolidated statement of assets and liabilities of PennantPark Investment Corporation and its Subsidiaries (the “Company”), including the consolidated schedule of investments, as of March 31, 2015, the consolidated statements of operations for the three and six months ended March 31, 2015 and 2014, and the consolidated statements of changes in net assets and cash flows for the six months ended March 31, 2015 and 2014. These consolidated financial statements are the responsibility of the Company’s management.</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2014, and the related consolidated statements of operations, changes in net assets, and cash flows for the year then ended (not presented herein); and in our report dated November 12, 2014, we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6,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European sovereign debt issues.</w:t>
      </w:r>
    </w:p>
    <w:p>
      <w:pPr>
        <w:spacing w:after="0" w:line="204"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“Risk Factors” in our annual report on form 10-K for the fiscal year-ended September 30, 2014 and elsewhere in this Report.</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loans, mezzanine debt and equity investments.</w:t>
      </w:r>
    </w:p>
    <w:p>
      <w:pPr>
        <w:spacing w:after="0" w:line="84"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financing costs on liabilities which we do not fair value are capitalized and then accreted or amortized using the effective interest method as interest income. We record prepayment penalties on loans and debt securities as income. Dividend income, if any, is recognized on an accrual basis on the ex-dividend date to the extent that we expect to collect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120" w:firstLine="562"/>
        <w:spacing w:after="0" w:line="251" w:lineRule="auto"/>
        <w:rPr>
          <w:sz w:val="20"/>
          <w:szCs w:val="20"/>
          <w:color w:val="auto"/>
        </w:rPr>
      </w:pPr>
      <w:r>
        <w:rPr>
          <w:rFonts w:ascii="Arial" w:cs="Arial" w:eastAsia="Arial" w:hAnsi="Arial"/>
          <w:sz w:val="13"/>
          <w:szCs w:val="13"/>
          <w:color w:val="auto"/>
        </w:rPr>
        <w:t>As of March 31, 2015, our portfolio totaled $1,300.4 million and consisted of $350.4 million of senior secured loans, $610.7 million of second lien secured debt, $216.1 million of subordinated debt and $123.2 million of preferred and common equity. Our debt portfolio consisted of 68% variable-rate investments (including 61% with a LIBOR or prime floor) and 32% fixed-rate investments. Overall, the portfolio had net unrealized depreciation of $78.8 million. As of March 31, 2015, we had two non-accrual debt investments, representing 1.2% of our overall portfolio on a cost basis. Our overall portfolio consisted of 67 companies with an average investment size of $19.4 million, had a weighted average yield on debt investments of 12.4% and was invested 27% in senior secured loans, 47% in second lien secured debt, 17% in subordinated debt and 9% in preferred and common equity.</w:t>
      </w:r>
    </w:p>
    <w:p>
      <w:pPr>
        <w:spacing w:after="0" w:line="69"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67% variable-rate investments (including 61% with a LIBOR or prime floor) and 33% fixed-rate investments. Overall, the portfolio had net unrealized depreciation of $0.9 million.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69" w:lineRule="exact"/>
        <w:rPr>
          <w:sz w:val="20"/>
          <w:szCs w:val="20"/>
          <w:color w:val="auto"/>
        </w:rPr>
      </w:pPr>
    </w:p>
    <w:p>
      <w:pPr>
        <w:jc w:val="both"/>
        <w:ind w:right="40" w:firstLine="562"/>
        <w:spacing w:after="0" w:line="264" w:lineRule="auto"/>
        <w:rPr>
          <w:sz w:val="20"/>
          <w:szCs w:val="20"/>
          <w:color w:val="auto"/>
        </w:rPr>
      </w:pPr>
      <w:r>
        <w:rPr>
          <w:rFonts w:ascii="Arial" w:cs="Arial" w:eastAsia="Arial" w:hAnsi="Arial"/>
          <w:sz w:val="13"/>
          <w:szCs w:val="13"/>
          <w:color w:val="auto"/>
        </w:rPr>
        <w:t>For the three months ended March 31, 2015, we invested $72.6 million in two new and eight existing portfolio companies with a weighted average yield on debt investments of 12.9%. Sales and repayments of investments for the three months ended March 31, 2015 totaled $103.2 million. For the six months ended March 31, 2015, we invested $231.5 million in five new and 13 existing portfolio companies with a weighted average yield on debt investments of 12.7%. Sales and repayments of investments for the six months ended March 31, 2015 totaled $182.5 million.</w:t>
      </w:r>
    </w:p>
    <w:p>
      <w:pPr>
        <w:spacing w:after="0" w:line="60" w:lineRule="exact"/>
        <w:rPr>
          <w:sz w:val="20"/>
          <w:szCs w:val="20"/>
          <w:color w:val="auto"/>
        </w:rPr>
      </w:pPr>
    </w:p>
    <w:p>
      <w:pPr>
        <w:jc w:val="both"/>
        <w:ind w:right="120" w:firstLine="562"/>
        <w:spacing w:after="0" w:line="264" w:lineRule="auto"/>
        <w:rPr>
          <w:sz w:val="20"/>
          <w:szCs w:val="20"/>
          <w:color w:val="auto"/>
        </w:rPr>
      </w:pPr>
      <w:r>
        <w:rPr>
          <w:rFonts w:ascii="Arial" w:cs="Arial" w:eastAsia="Arial" w:hAnsi="Arial"/>
          <w:sz w:val="13"/>
          <w:szCs w:val="13"/>
          <w:color w:val="auto"/>
        </w:rPr>
        <w:t>For the three months ended March 31, 2014, we invested $142.0 million in four new and six existing portfolio companies with a weighted average yield on debt investments of 12.0%. Sales and repayments of investments for the three months ended March 31, 2014 totaled $116.8 million. For the six months ended March 31, 2014, we invested $370.0 million in 13 new and 13 existing portfolio companies with a weighted average yield on debt investments of 12.2%. Sales and repayments of investments for the six months ended March 31, 2014 totaled $260.8 million.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9"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80" w:right="700" w:hanging="809"/>
        <w:spacing w:after="0" w:line="238"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920" w:hanging="809"/>
        <w:spacing w:after="0" w:line="253" w:lineRule="auto"/>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Facility and the 2019 Notes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77"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our Notes are reported in our Consolidated Statement of Operations. We elected not to apply ASC 825-10 to any other financial assets or liabilities, including the SBA debentures. For the three and six months ended March 31, 2015, our Credit Facility and our Notes had a net change in unrealized depreciation of $0.6 million and $1.7 million, respectively. For the three and six months ended March 31, 2014, our Credit Facility and our Notes had a net change in unrealized appreciation of $6.1 million and $2.0 million, respectively. As of March 31, 2015 and September 30, 2014, net unrealized depreciation (appreciation) on our Credit Facility and our Notes totaled $1.5 million and $(0.2) million, respectively. We use a nationally recognized independent valuation service to fair value of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 values,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PIK securities.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60" w:firstLine="562"/>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1" w:lineRule="exact"/>
        <w:rPr>
          <w:sz w:val="20"/>
          <w:szCs w:val="20"/>
          <w:color w:val="auto"/>
        </w:rPr>
      </w:pPr>
    </w:p>
    <w:p>
      <w:pPr>
        <w:jc w:val="both"/>
        <w:ind w:right="20" w:firstLine="8"/>
        <w:spacing w:after="0" w:line="249" w:lineRule="auto"/>
        <w:tabs>
          <w:tab w:leader="none" w:pos="204" w:val="left"/>
        </w:tabs>
        <w:numPr>
          <w:ilvl w:val="0"/>
          <w:numId w:val="15"/>
        </w:numPr>
        <w:rPr>
          <w:rFonts w:ascii="Arial" w:cs="Arial" w:eastAsia="Arial" w:hAnsi="Arial"/>
          <w:sz w:val="13"/>
          <w:szCs w:val="13"/>
          <w:color w:val="auto"/>
        </w:rPr>
      </w:pPr>
      <w:r>
        <w:rPr>
          <w:rFonts w:ascii="Arial" w:cs="Arial" w:eastAsia="Arial" w:hAnsi="Arial"/>
          <w:sz w:val="13"/>
          <w:szCs w:val="13"/>
          <w:color w:val="auto"/>
        </w:rPr>
        <w:t>98% of our net ordinary income for the calendar year, (2) 98.2% of the sum of our capital gain net income (i.e. the excess, if any, of our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70"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and six months ended March 31, 2015 and 2014.</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Investment income for the three and six months ended March 31, 2015 was $42.7 million and $81.9 million, respectively, and was attributable to $15.7 million and $30.3 million from senior secured loans, $18.8 million and $34.6 million from second lien secured debt, $8.0 million and $16.3 million from subordinated debt, and $0.2 million and $0.7 million from preferred and common equity, respectively. This compares to investment income for the three and six months ended March 31, 2014, which was $37.9 million and $72.3 million, respectively, and was attributable to $10.6 million and $20.2 million from senior secured loans, $14.3 million and $26.6 million from second lien secured debt, $12.7 million and $24.1 million from subordinated debt, and $0.3 million and $1.4 million from preferred and common equity, respectively. The increase in investment income compared with the same periods in the prior year was primarily due to the growth of our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Expenses for the three and six months ended March 31, 2015 totaled $20.6 million and $40.3 million, respectively. Base management fee for the same periods totaled $6.8 million and $13.6 million, incentive fee totaled $5.5 million and $10.4 million, debt related interest and expenses totaled $6.6 million and $13.1 million and general and administrative expenses totaled $1.7 million and $3.2 million, respectively. This compares to expenses for the three and six months ended March 31, 2014, which totaled $17.8 million and $34.3 million, respectively. Base management fee for the same periods totaled $6.0 million and $11.8 million, incentive fee totaled $5.0 million and $9.5 million, debt related interest and expenses totaled $5.1 million and $9.7 million and general and administrative expenses totaled $1.7 million and $3.3 million, respectively. The increase in expenses compared with the same periods in the prior year was primarily due to increased borrowing costs and the growth of our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Net investment income totaled $22.1 million and $41.6 million, or $0.29 and $0.55 per share, for the three and six months ended March 31, 2015, respectively. Net investment income totaled $20.0 million and $38.0 million, or $0.30 and $0.57 per share, for the three and six months ended March 31, 2014, respectively. The increase in net investment income compared to the same period in the prior year was primarily due to the growth of our portfolio offset by higher financing costs. The decrease in net investment income per share compared with the same periods in the prior year was primarily due to the issuance of new shares.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2015 totaled $103.2 million and $182.5 million, respectively, and realized gains totaled $9.5 million and $18.1 million, respectively. Sales and repayments of investments for the three and six months ended March 31, 2014 totaled $116.8 million and $260.8 million, respectively, and realized gains totaled $3.0 million and $5.7 million, respectively. The increase in realized gains compared with the same periods in the prior year was primarily due to the improved merger and acquisition environment and repayments of our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For the three and six months ended March 31, 2015, we reported net unrealized depreciation on investments of $24.8 million and $77.9 million, respectively. For the three and six months ended March 31, 2014, we reported a net unrealized appreciation on investments of $23.8 million and $38.5 million, respectively. As of March 31, 2015 and September 30, 2014, our net unrealized depreciation on investments totaled $78.8 million and $0.9 million, respectively. The decrease compared with the same periods in the prior year was the result of the overall variation in the leveraged finance markets.</w:t>
      </w:r>
    </w:p>
    <w:p>
      <w:pPr>
        <w:spacing w:after="0" w:line="77"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For the three and six months ended March 31, 2015, we reported net unrealized depreciation on our Credit Facility and our Notes of $0.6 million and $1.7 million, respectively. For the three and six months ended March 31, 2014, we reported a net unrealized appreciation on our Credit Facility and 2025 Notes of $6.1 million and $2.0 million, respectively. The change compared with the same periods in the prior year was primarily due to changes in the capital markets.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Net change in net assets resulting from operations totaled $7.4 million and $(16.6) million, or $0.10 and $(0.22) per share, for the three and six months ended March 31, 2015, respectively. This compares to a net change in net assets resulting from operations of $40.7 million and $80.1 million, or $0.61 and $1.20 per share, for the three and six months ended March 31, 2014, respectively. The decrease in the net change in net assets from operations compared with the same periods in the prior year reflects the change in portfolio investment values during the reporting periods.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6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have a $545 million multi-currency Credit Facility with certain lenders and SunTrust Bank, acting as administrative agent, and JPMorgan Chase Bank, N.A., acting as syndication agent for the lenders. As of March 31, 2015 and September 30, 2014, there was $99.2 million and $55.2 million, respectively, in outstanding borrowings under the Credit Facility, with a weighted average interest rate at the time of 2.63% and 2.80%, respectively, exclusive of the fee on undrawn commitments of 0.375%. The annualized weighted average cost of debt for the six months ended March 31, 2015 and 2014, inclusive of the fee on the undrawn commitment on the Credit Facility and upfront fees on SBA debentures, was 4.57% and 4.03%, respectively. The Credit Facility is a five-year revolving facility with a stated maturity date of June 25, 2019, a one-year term-out period following its fourth year and pricing is set at 225 basis points over LIBOR. As of March 31, 2015 and September 30, 2014, we had $445.8 million and $489.8 million of unused borrowing capacity, respectively, subject to the regulatory restrictions that the 1940 Act imposes on us as a BDC. The Credit Facility is secured by substantially all of our assets excluding assets held by our SBIC Funds.</w:t>
      </w:r>
    </w:p>
    <w:p>
      <w:pPr>
        <w:spacing w:after="0" w:line="71" w:lineRule="exact"/>
        <w:rPr>
          <w:sz w:val="20"/>
          <w:szCs w:val="20"/>
          <w:color w:val="auto"/>
        </w:rPr>
      </w:pPr>
    </w:p>
    <w:p>
      <w:pPr>
        <w:ind w:right="76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March 31, 2015, we were in compliance with the terms of our Credit Facility.</w:t>
      </w:r>
    </w:p>
    <w:p>
      <w:pPr>
        <w:spacing w:after="0" w:line="6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effectively subordinated to the assets pledged or secured under our Credit Facility. Please see our base indenture agreement filed as Exhibit (d)(8) to our post-effective amendment filed on January 22, 2013, or the Base Indenture, and the supplemental indenture agreement filed as Exhibit (d)(11) to our post-effective amendment filed on September 23, 2014 for more information.</w:t>
      </w:r>
    </w:p>
    <w:p>
      <w:pPr>
        <w:spacing w:after="0" w:line="69"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effectively subordinated to the assets pledged or secured under our Credit Facility. Our 2025 Notes trade on the NYSE under the symbol “PNTA.” Please see our Base Indenture and the supplemental indenture agreement filed as Exhibit (d)(9) to our post-effective amendment filed on January 22, 2013 for more information.</w:t>
      </w:r>
    </w:p>
    <w:p>
      <w:pPr>
        <w:spacing w:after="0" w:line="69" w:lineRule="exact"/>
        <w:rPr>
          <w:sz w:val="20"/>
          <w:szCs w:val="20"/>
          <w:color w:val="auto"/>
        </w:rPr>
      </w:pPr>
    </w:p>
    <w:p>
      <w:pPr>
        <w:ind w:right="120" w:firstLine="562"/>
        <w:spacing w:after="0" w:line="245" w:lineRule="auto"/>
        <w:rPr>
          <w:sz w:val="20"/>
          <w:szCs w:val="20"/>
          <w:color w:val="auto"/>
        </w:rPr>
      </w:pPr>
      <w:r>
        <w:rPr>
          <w:rFonts w:ascii="Arial" w:cs="Arial" w:eastAsia="Arial" w:hAnsi="Arial"/>
          <w:sz w:val="13"/>
          <w:szCs w:val="13"/>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For each of the six month periods ended March 31, 2015 and 2014, we did not issue shares of common stock in connection with an equity offering. Any decision to sell shares below the then current net asset value per share of our common stock is subject to stockholder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75"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March 31, 2015.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77"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As of March 31, 2015 and September 30, 2014, our SBIC Funds had $225.0 million in debt commitments and $150.0 million was drawn for each period. Both SBA debentures’ upfront fees of 3.43% consist of a commitment fee of 1.00% and an issuance discount of 2.43%, which are being amortized. Our fixed-rate SBA debentures as of March 31, 2015 and September 30, 2014 were as follows:</w:t>
      </w:r>
    </w:p>
    <w:p>
      <w:pPr>
        <w:spacing w:after="0" w:line="210" w:lineRule="exact"/>
        <w:rPr>
          <w:sz w:val="20"/>
          <w:szCs w:val="20"/>
          <w:color w:val="auto"/>
        </w:rPr>
      </w:pPr>
    </w:p>
    <w:tbl>
      <w:tblPr>
        <w:tblLayout w:type="fixed"/>
        <w:tblInd w:w="1360" w:type="dxa"/>
        <w:tblCellMar>
          <w:top w:w="0" w:type="dxa"/>
          <w:left w:w="0" w:type="dxa"/>
          <w:bottom w:w="0" w:type="dxa"/>
          <w:right w:w="0" w:type="dxa"/>
        </w:tblCellMar>
      </w:tblPr>
      <w:tr>
        <w:trPr>
          <w:trHeight w:val="164"/>
        </w:trPr>
        <w:tc>
          <w:tcPr>
            <w:tcW w:w="2180" w:type="dxa"/>
            <w:vAlign w:val="bottom"/>
            <w:vMerge w:val="restart"/>
          </w:tcPr>
          <w:p>
            <w:pPr>
              <w:jc w:val="right"/>
              <w:ind w:right="630"/>
              <w:spacing w:after="0"/>
              <w:rPr>
                <w:sz w:val="20"/>
                <w:szCs w:val="20"/>
                <w:color w:val="auto"/>
              </w:rPr>
            </w:pPr>
            <w:r>
              <w:rPr>
                <w:rFonts w:ascii="Arial" w:cs="Arial" w:eastAsia="Arial" w:hAnsi="Arial"/>
                <w:sz w:val="13"/>
                <w:szCs w:val="13"/>
                <w:b w:val="1"/>
                <w:bCs w:val="1"/>
                <w:color w:val="auto"/>
              </w:rPr>
              <w:t>Issuance Dates</w:t>
            </w:r>
          </w:p>
        </w:tc>
        <w:tc>
          <w:tcPr>
            <w:tcW w:w="500" w:type="dxa"/>
            <w:vAlign w:val="bottom"/>
            <w:vMerge w:val="restart"/>
          </w:tcPr>
          <w:p>
            <w:pPr>
              <w:spacing w:after="0"/>
              <w:rPr>
                <w:sz w:val="14"/>
                <w:szCs w:val="14"/>
                <w:color w:val="auto"/>
              </w:rPr>
            </w:pPr>
          </w:p>
        </w:tc>
        <w:tc>
          <w:tcPr>
            <w:tcW w:w="1820" w:type="dxa"/>
            <w:vAlign w:val="bottom"/>
            <w:gridSpan w:val="2"/>
          </w:tcPr>
          <w:p>
            <w:pPr>
              <w:ind w:left="500"/>
              <w:spacing w:after="0"/>
              <w:rPr>
                <w:sz w:val="20"/>
                <w:szCs w:val="20"/>
                <w:color w:val="auto"/>
              </w:rPr>
            </w:pPr>
            <w:r>
              <w:rPr>
                <w:rFonts w:ascii="Arial" w:cs="Arial" w:eastAsia="Arial" w:hAnsi="Arial"/>
                <w:sz w:val="13"/>
                <w:szCs w:val="13"/>
                <w:b w:val="1"/>
                <w:bCs w:val="1"/>
                <w:color w:val="auto"/>
              </w:rPr>
              <w:t>Maturity</w:t>
            </w:r>
          </w:p>
        </w:tc>
        <w:tc>
          <w:tcPr>
            <w:tcW w:w="192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99"/>
              </w:rPr>
              <w:t xml:space="preserve">Fixed All-in Coupon Rate </w:t>
            </w:r>
            <w:r>
              <w:rPr>
                <w:rFonts w:ascii="Arial" w:cs="Arial" w:eastAsia="Arial" w:hAnsi="Arial"/>
                <w:sz w:val="10"/>
                <w:szCs w:val="10"/>
                <w:b w:val="1"/>
                <w:bCs w:val="1"/>
                <w:color w:val="auto"/>
                <w:w w:val="99"/>
              </w:rPr>
              <w:t>(1)</w:t>
            </w:r>
          </w:p>
        </w:tc>
        <w:tc>
          <w:tcPr>
            <w:tcW w:w="6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w w:val="90"/>
              </w:rPr>
              <w:t>Principal Balance</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18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CCEEFF"/>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92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September 22, 2010</w:t>
            </w: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September 1, 2020</w:t>
            </w:r>
          </w:p>
        </w:tc>
        <w:tc>
          <w:tcPr>
            <w:tcW w:w="580" w:type="dxa"/>
            <w:vAlign w:val="bottom"/>
            <w:shd w:val="clear" w:color="auto" w:fill="CCEEFF"/>
          </w:tcPr>
          <w:p>
            <w:pPr>
              <w:spacing w:after="0"/>
              <w:rPr>
                <w:sz w:val="12"/>
                <w:szCs w:val="12"/>
                <w:color w:val="auto"/>
              </w:rPr>
            </w:pPr>
          </w:p>
        </w:tc>
        <w:tc>
          <w:tcPr>
            <w:tcW w:w="2580" w:type="dxa"/>
            <w:vAlign w:val="bottom"/>
            <w:gridSpan w:val="2"/>
            <w:shd w:val="clear" w:color="auto" w:fill="CCEEFF"/>
          </w:tcPr>
          <w:p>
            <w:pPr>
              <w:ind w:left="168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March 29, 2011</w:t>
            </w:r>
          </w:p>
        </w:tc>
        <w:tc>
          <w:tcPr>
            <w:tcW w:w="18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March 1, 2021</w:t>
            </w:r>
          </w:p>
        </w:tc>
        <w:tc>
          <w:tcPr>
            <w:tcW w:w="2580" w:type="dxa"/>
            <w:vAlign w:val="bottom"/>
            <w:gridSpan w:val="2"/>
          </w:tcPr>
          <w:p>
            <w:pPr>
              <w:ind w:left="1680"/>
              <w:spacing w:after="0" w:line="149" w:lineRule="exact"/>
              <w:rPr>
                <w:sz w:val="20"/>
                <w:szCs w:val="20"/>
                <w:color w:val="auto"/>
              </w:rPr>
            </w:pPr>
            <w:r>
              <w:rPr>
                <w:rFonts w:ascii="Arial" w:cs="Arial" w:eastAsia="Arial" w:hAnsi="Arial"/>
                <w:sz w:val="14"/>
                <w:szCs w:val="14"/>
                <w:color w:val="auto"/>
              </w:rPr>
              <w:t>4.46</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September 21, 2011</w:t>
            </w:r>
          </w:p>
        </w:tc>
        <w:tc>
          <w:tcPr>
            <w:tcW w:w="18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w w:val="97"/>
              </w:rPr>
              <w:t>September 1, 2021</w:t>
            </w:r>
          </w:p>
        </w:tc>
        <w:tc>
          <w:tcPr>
            <w:tcW w:w="2580" w:type="dxa"/>
            <w:vAlign w:val="bottom"/>
            <w:gridSpan w:val="2"/>
            <w:shd w:val="clear" w:color="auto" w:fill="CCEEFF"/>
          </w:tcPr>
          <w:p>
            <w:pPr>
              <w:ind w:left="1680"/>
              <w:spacing w:after="0" w:line="149" w:lineRule="exact"/>
              <w:rPr>
                <w:sz w:val="20"/>
                <w:szCs w:val="20"/>
                <w:color w:val="auto"/>
              </w:rPr>
            </w:pPr>
            <w:r>
              <w:rPr>
                <w:rFonts w:ascii="Arial" w:cs="Arial" w:eastAsia="Arial" w:hAnsi="Arial"/>
                <w:sz w:val="14"/>
                <w:szCs w:val="14"/>
                <w:color w:val="auto"/>
              </w:rPr>
              <w:t>3.38</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jc w:val="right"/>
              <w:ind w:right="580"/>
              <w:spacing w:after="0"/>
              <w:rPr>
                <w:sz w:val="20"/>
                <w:szCs w:val="20"/>
                <w:color w:val="auto"/>
              </w:rPr>
            </w:pPr>
            <w:r>
              <w:rPr>
                <w:rFonts w:ascii="Arial" w:cs="Arial" w:eastAsia="Arial" w:hAnsi="Arial"/>
                <w:sz w:val="14"/>
                <w:szCs w:val="14"/>
                <w:color w:val="auto"/>
              </w:rPr>
              <w:t>Weighted Average Rate / Total</w:t>
            </w: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8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3.70%</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600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85"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Excluding 3.43% of upfront fees.</w:t>
      </w:r>
    </w:p>
    <w:p>
      <w:pPr>
        <w:spacing w:after="0" w:line="96"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2015, our SBIC Funds were in compliance with their regulatory requirements.</w:t>
      </w:r>
    </w:p>
    <w:p>
      <w:pPr>
        <w:spacing w:after="0" w:line="76"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March 31, 2015 and September 30, 2014,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At March 31, 2015 and September 30, 2014, we had cash and cash equivalents of $62.8 million and $66.5 million, respectively, available for investing and general corporate purposes.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liquidity and capital resources are sufficient to take advantage of market opportunities.</w:t>
      </w:r>
    </w:p>
    <w:p>
      <w:pPr>
        <w:spacing w:after="0" w:line="84"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Our operating activities used cash of $5.5 million for the six months ended March 31, 2015, primarily for net purchases of investments. Our financing activities provided cash of $1.9 million for the same period, primarily from net borrowings under our Credit Facility.</w:t>
      </w:r>
    </w:p>
    <w:p>
      <w:pPr>
        <w:spacing w:after="0" w:line="6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Our operating activities used cash of $133.2 million for the six months ended March 31, 2014, primarily for net purchases of investments. Our financing activities provided cash of $131.1 million for the same period, primarily from net borrowings under our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March 31, 2015, including borrowings under our various debt facilities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10"/>
          </w:tcPr>
          <w:p>
            <w:pPr>
              <w:ind w:left="260"/>
              <w:spacing w:after="0"/>
              <w:rPr>
                <w:sz w:val="20"/>
                <w:szCs w:val="20"/>
                <w:color w:val="auto"/>
              </w:rPr>
            </w:pPr>
            <w:r>
              <w:rPr>
                <w:rFonts w:ascii="Arial" w:cs="Arial" w:eastAsia="Arial" w:hAnsi="Arial"/>
                <w:sz w:val="13"/>
                <w:szCs w:val="13"/>
                <w:b w:val="1"/>
                <w:bCs w:val="1"/>
                <w:color w:val="auto"/>
              </w:rPr>
              <w:t>Payments due by period (in millions)</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38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980" w:type="dxa"/>
            <w:vAlign w:val="bottom"/>
            <w:gridSpan w:val="3"/>
          </w:tcPr>
          <w:p>
            <w:pPr>
              <w:jc w:val="right"/>
              <w:ind w:right="80"/>
              <w:spacing w:after="0" w:line="129" w:lineRule="exact"/>
              <w:rPr>
                <w:sz w:val="20"/>
                <w:szCs w:val="20"/>
                <w:color w:val="auto"/>
              </w:rPr>
            </w:pPr>
            <w:r>
              <w:rPr>
                <w:rFonts w:ascii="Arial" w:cs="Arial" w:eastAsia="Arial" w:hAnsi="Arial"/>
                <w:sz w:val="13"/>
                <w:szCs w:val="13"/>
                <w:b w:val="1"/>
                <w:bCs w:val="1"/>
                <w:color w:val="auto"/>
                <w:w w:val="86"/>
              </w:rPr>
              <w:t>Less than 1 year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92"/>
              </w:rPr>
              <w:t>1-3 years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3-5 years</w:t>
            </w:r>
          </w:p>
        </w:tc>
        <w:tc>
          <w:tcPr>
            <w:tcW w:w="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6"/>
              </w:rPr>
              <w:t>More than 5 years</w:t>
            </w:r>
          </w:p>
        </w:tc>
        <w:tc>
          <w:tcPr>
            <w:tcW w:w="80" w:type="dxa"/>
            <w:vAlign w:val="bottom"/>
          </w:tcPr>
          <w:p>
            <w:pPr>
              <w:spacing w:after="0"/>
              <w:rPr>
                <w:sz w:val="11"/>
                <w:szCs w:val="1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2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93"/>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w:t>
            </w: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27"/>
        </w:trPr>
        <w:tc>
          <w:tcPr>
            <w:tcW w:w="3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570.5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221.3</w:t>
            </w: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r>
      <w:tr>
        <w:trPr>
          <w:trHeight w:val="27"/>
        </w:trPr>
        <w:tc>
          <w:tcPr>
            <w:tcW w:w="3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615.9</w:t>
            </w:r>
          </w:p>
        </w:tc>
        <w:tc>
          <w:tcPr>
            <w:tcW w:w="420" w:type="dxa"/>
            <w:vAlign w:val="bottom"/>
            <w:gridSpan w:val="2"/>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368.0</w:t>
            </w:r>
          </w:p>
        </w:tc>
        <w:tc>
          <w:tcPr>
            <w:tcW w:w="4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222.9</w:t>
            </w: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600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4" w:lineRule="exact"/>
        <w:rPr>
          <w:sz w:val="20"/>
          <w:szCs w:val="20"/>
          <w:color w:val="auto"/>
        </w:rPr>
      </w:pPr>
    </w:p>
    <w:p>
      <w:pPr>
        <w:ind w:left="560" w:right="40" w:hanging="552"/>
        <w:spacing w:after="0" w:line="230" w:lineRule="auto"/>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March 31, 2015, excluding debt issuance costs, was 4.18% exclusive of the fee on the undrawn commitment of 0.375% on the Credit Facility and 3.43% of upfront fees on SBA debentures.</w:t>
      </w:r>
    </w:p>
    <w:p>
      <w:pPr>
        <w:ind w:left="560" w:hanging="552"/>
        <w:spacing w:after="0"/>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w:t>
      </w:r>
    </w:p>
    <w:p>
      <w:pPr>
        <w:spacing w:after="0" w:line="84"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2015,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77" w:lineRule="exact"/>
        <w:rPr>
          <w:sz w:val="20"/>
          <w:szCs w:val="20"/>
          <w:color w:val="auto"/>
        </w:rPr>
      </w:pPr>
    </w:p>
    <w:p>
      <w:pPr>
        <w:ind w:right="180" w:firstLine="562"/>
        <w:spacing w:after="0" w:line="228"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2015,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March 31, 2015, our maximum guaranty was $9.5 million. Based on SPH’s and the industry historical loss rates we believe the risk of loss is remote, thus, we have not recorded a liability associated with the guaranties. The current guaranties will decline over time.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9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On May 6, 2015, the Company announced a share repurchase plan to purchase common stock in the open market in an amount up to $35 million. Unless extended, the program, which may be implemented at the discretion of management, will expire on the earlier of May 6, 2016 and the repurchase of $35 million of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capital gain net income (i.e. the excess, if any, of our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 As a RIC, we are generally not subject to tax on income and have elected to retain a portion of our calendar year income.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During the three and six months ended March 31, 2015, we declared to stockholders distributions of $0.28 and $0.56 per share, respectively, for total distributions of $21.0 million and $42.1 million, respectively. For the same periods in the prior year, we declared distributions of $0.28 and $0.56 per share, respectively, for total distributions of $18.6 million and $37.3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2015, our debt portfolio consisted of 68% variable-rate investments (including 61% with a LIBOR or prime floor) and 32%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76"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48"/>
        </w:trPr>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Net Of Interest Expense</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81"/>
        </w:trPr>
        <w:tc>
          <w:tcPr>
            <w:tcW w:w="24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Change In Interest Rates</w:t>
            </w: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480" w:type="dxa"/>
            <w:vAlign w:val="bottom"/>
          </w:tcPr>
          <w:p>
            <w:pPr>
              <w:spacing w:after="0"/>
              <w:rPr>
                <w:sz w:val="15"/>
                <w:szCs w:val="15"/>
                <w:color w:val="auto"/>
              </w:rPr>
            </w:pPr>
          </w:p>
        </w:tc>
        <w:tc>
          <w:tcPr>
            <w:tcW w:w="1640" w:type="dxa"/>
            <w:vAlign w:val="bottom"/>
          </w:tcPr>
          <w:p>
            <w:pPr>
              <w:jc w:val="right"/>
              <w:ind w:right="708"/>
              <w:spacing w:after="0"/>
              <w:rPr>
                <w:sz w:val="20"/>
                <w:szCs w:val="20"/>
                <w:color w:val="auto"/>
              </w:rPr>
            </w:pPr>
            <w:r>
              <w:rPr>
                <w:rFonts w:ascii="Arial" w:cs="Arial" w:eastAsia="Arial" w:hAnsi="Arial"/>
                <w:sz w:val="14"/>
                <w:szCs w:val="14"/>
                <w:color w:val="auto"/>
              </w:rPr>
              <w:t>Per Share</w:t>
            </w:r>
          </w:p>
        </w:tc>
      </w:tr>
      <w:tr>
        <w:trPr>
          <w:trHeight w:val="142"/>
        </w:trPr>
        <w:tc>
          <w:tcPr>
            <w:tcW w:w="2140" w:type="dxa"/>
            <w:vAlign w:val="bottom"/>
            <w:tcBorders>
              <w:top w:val="single" w:sz="8" w:color="auto"/>
            </w:tcBorders>
            <w:shd w:val="clear" w:color="auto" w:fill="CEEF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320" w:type="dxa"/>
            <w:vAlign w:val="bottom"/>
            <w:tcBorders>
              <w:top w:val="single" w:sz="8" w:color="CEEFFF"/>
            </w:tcBorders>
            <w:shd w:val="clear" w:color="auto" w:fill="CEEFFF"/>
          </w:tcPr>
          <w:p>
            <w:pPr>
              <w:spacing w:after="0"/>
              <w:rPr>
                <w:sz w:val="12"/>
                <w:szCs w:val="12"/>
                <w:color w:val="auto"/>
              </w:rPr>
            </w:pPr>
          </w:p>
        </w:tc>
        <w:tc>
          <w:tcPr>
            <w:tcW w:w="980" w:type="dxa"/>
            <w:vAlign w:val="bottom"/>
            <w:tcBorders>
              <w:top w:val="single" w:sz="8" w:color="auto"/>
            </w:tcBorders>
            <w:shd w:val="clear" w:color="auto" w:fill="CEEF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EEFFF"/>
          </w:tcPr>
          <w:p>
            <w:pPr>
              <w:jc w:val="right"/>
              <w:ind w:right="568"/>
              <w:spacing w:after="0" w:line="142" w:lineRule="exact"/>
              <w:rPr>
                <w:sz w:val="20"/>
                <w:szCs w:val="20"/>
                <w:color w:val="auto"/>
              </w:rPr>
            </w:pPr>
            <w:r>
              <w:rPr>
                <w:rFonts w:ascii="Arial" w:cs="Arial" w:eastAsia="Arial" w:hAnsi="Arial"/>
                <w:sz w:val="14"/>
                <w:szCs w:val="14"/>
                <w:color w:val="auto"/>
              </w:rPr>
              <w:t>552</w:t>
            </w:r>
          </w:p>
        </w:tc>
        <w:tc>
          <w:tcPr>
            <w:tcW w:w="280" w:type="dxa"/>
            <w:vAlign w:val="bottom"/>
            <w:tcBorders>
              <w:top w:val="single" w:sz="8" w:color="CEEFFF"/>
            </w:tcBorders>
            <w:shd w:val="clear" w:color="auto" w:fill="CEEFFF"/>
          </w:tcPr>
          <w:p>
            <w:pPr>
              <w:spacing w:after="0"/>
              <w:rPr>
                <w:sz w:val="12"/>
                <w:szCs w:val="12"/>
                <w:color w:val="auto"/>
              </w:rPr>
            </w:pPr>
          </w:p>
        </w:tc>
        <w:tc>
          <w:tcPr>
            <w:tcW w:w="480" w:type="dxa"/>
            <w:vAlign w:val="bottom"/>
            <w:tcBorders>
              <w:top w:val="single" w:sz="8" w:color="auto"/>
            </w:tcBorders>
            <w:shd w:val="clear" w:color="auto" w:fill="CEEF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EEFFF"/>
          </w:tcPr>
          <w:p>
            <w:pPr>
              <w:jc w:val="right"/>
              <w:ind w:right="708"/>
              <w:spacing w:after="0" w:line="142" w:lineRule="exact"/>
              <w:rPr>
                <w:sz w:val="20"/>
                <w:szCs w:val="20"/>
                <w:color w:val="auto"/>
              </w:rPr>
            </w:pPr>
            <w:r>
              <w:rPr>
                <w:rFonts w:ascii="Arial" w:cs="Arial" w:eastAsia="Arial" w:hAnsi="Arial"/>
                <w:sz w:val="14"/>
                <w:szCs w:val="14"/>
                <w:color w:val="auto"/>
              </w:rPr>
              <w:t>0.01</w:t>
            </w:r>
          </w:p>
        </w:tc>
      </w:tr>
      <w:tr>
        <w:trPr>
          <w:trHeight w:val="148"/>
        </w:trPr>
        <w:tc>
          <w:tcPr>
            <w:tcW w:w="24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Up 2%</w:t>
            </w:r>
          </w:p>
        </w:tc>
        <w:tc>
          <w:tcPr>
            <w:tcW w:w="9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7,979</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0.11</w:t>
            </w:r>
          </w:p>
        </w:tc>
      </w:tr>
      <w:tr>
        <w:trPr>
          <w:trHeight w:val="148"/>
        </w:trPr>
        <w:tc>
          <w:tcPr>
            <w:tcW w:w="2460" w:type="dxa"/>
            <w:vAlign w:val="bottom"/>
            <w:gridSpan w:val="2"/>
            <w:shd w:val="clear" w:color="auto" w:fill="CEEFFF"/>
          </w:tcPr>
          <w:p>
            <w:pPr>
              <w:jc w:val="center"/>
              <w:ind w:right="320"/>
              <w:spacing w:after="0" w:line="149" w:lineRule="exact"/>
              <w:rPr>
                <w:sz w:val="20"/>
                <w:szCs w:val="20"/>
                <w:color w:val="auto"/>
              </w:rPr>
            </w:pPr>
            <w:r>
              <w:rPr>
                <w:rFonts w:ascii="Arial" w:cs="Arial" w:eastAsia="Arial" w:hAnsi="Arial"/>
                <w:sz w:val="14"/>
                <w:szCs w:val="14"/>
                <w:color w:val="auto"/>
                <w:w w:val="99"/>
              </w:rPr>
              <w:t>Up 3%</w:t>
            </w:r>
          </w:p>
        </w:tc>
        <w:tc>
          <w:tcPr>
            <w:tcW w:w="980" w:type="dxa"/>
            <w:vAlign w:val="bottom"/>
            <w:shd w:val="clear" w:color="auto" w:fill="CEEF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EEFFF"/>
          </w:tcPr>
          <w:p>
            <w:pPr>
              <w:jc w:val="right"/>
              <w:ind w:right="608"/>
              <w:spacing w:after="0" w:line="149" w:lineRule="exact"/>
              <w:rPr>
                <w:sz w:val="20"/>
                <w:szCs w:val="20"/>
                <w:color w:val="auto"/>
              </w:rPr>
            </w:pPr>
            <w:r>
              <w:rPr>
                <w:rFonts w:ascii="Arial" w:cs="Arial" w:eastAsia="Arial" w:hAnsi="Arial"/>
                <w:sz w:val="14"/>
                <w:szCs w:val="14"/>
                <w:color w:val="auto"/>
              </w:rPr>
              <w:t>15,405</w:t>
            </w:r>
          </w:p>
        </w:tc>
        <w:tc>
          <w:tcPr>
            <w:tcW w:w="280" w:type="dxa"/>
            <w:vAlign w:val="bottom"/>
            <w:shd w:val="clear" w:color="auto" w:fill="CEEFFF"/>
          </w:tcPr>
          <w:p>
            <w:pPr>
              <w:spacing w:after="0"/>
              <w:rPr>
                <w:sz w:val="12"/>
                <w:szCs w:val="12"/>
                <w:color w:val="auto"/>
              </w:rPr>
            </w:pPr>
          </w:p>
        </w:tc>
        <w:tc>
          <w:tcPr>
            <w:tcW w:w="480" w:type="dxa"/>
            <w:vAlign w:val="bottom"/>
            <w:shd w:val="clear" w:color="auto" w:fill="CEEF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EEFFF"/>
          </w:tcPr>
          <w:p>
            <w:pPr>
              <w:jc w:val="right"/>
              <w:ind w:right="708"/>
              <w:spacing w:after="0" w:line="149" w:lineRule="exact"/>
              <w:rPr>
                <w:sz w:val="20"/>
                <w:szCs w:val="20"/>
                <w:color w:val="auto"/>
              </w:rPr>
            </w:pPr>
            <w:r>
              <w:rPr>
                <w:rFonts w:ascii="Arial" w:cs="Arial" w:eastAsia="Arial" w:hAnsi="Arial"/>
                <w:sz w:val="14"/>
                <w:szCs w:val="14"/>
                <w:color w:val="auto"/>
              </w:rPr>
              <w:t>0.21</w:t>
            </w:r>
          </w:p>
        </w:tc>
      </w:tr>
      <w:tr>
        <w:trPr>
          <w:trHeight w:val="182"/>
        </w:trPr>
        <w:tc>
          <w:tcPr>
            <w:tcW w:w="24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Up 4%</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rPr>
                <w:sz w:val="20"/>
                <w:szCs w:val="20"/>
                <w:color w:val="auto"/>
              </w:rPr>
            </w:pPr>
            <w:r>
              <w:rPr>
                <w:rFonts w:ascii="Arial" w:cs="Arial" w:eastAsia="Arial" w:hAnsi="Arial"/>
                <w:sz w:val="14"/>
                <w:szCs w:val="14"/>
                <w:color w:val="auto"/>
              </w:rPr>
              <w:t>22,831</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rPr>
                <w:sz w:val="20"/>
                <w:szCs w:val="20"/>
                <w:color w:val="auto"/>
              </w:rPr>
            </w:pPr>
            <w:r>
              <w:rPr>
                <w:rFonts w:ascii="Arial" w:cs="Arial" w:eastAsia="Arial" w:hAnsi="Arial"/>
                <w:sz w:val="14"/>
                <w:szCs w:val="14"/>
                <w:color w:val="auto"/>
              </w:rPr>
              <w:t>0.30</w:t>
            </w:r>
          </w:p>
        </w:tc>
      </w:tr>
    </w:tbl>
    <w:p>
      <w:pPr>
        <w:spacing w:after="0" w:line="5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During the periods covered by this Report, we did not engage in interest rate hedging activities.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2015 that have materially affected, or are reasonably likely to materially affect, our internal control over financial reporting.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jc w:val="both"/>
        <w:ind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2014,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52" w:lineRule="exact"/>
        <w:rPr>
          <w:sz w:val="20"/>
          <w:szCs w:val="20"/>
          <w:color w:val="auto"/>
        </w:rPr>
      </w:pPr>
    </w:p>
    <w:p>
      <w:pPr>
        <w:ind w:left="680" w:right="2159" w:hanging="602"/>
        <w:spacing w:after="0" w:line="253" w:lineRule="auto"/>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Incorporation (Incorporated by reference to Exhibit 99(a) to the Registrant’s Pre-Effective Amendment No. 3 to the Registration Statement on Form N-2/A (File No. 333-140092), filed on April 5, 2007).</w:t>
      </w:r>
    </w:p>
    <w:p>
      <w:pPr>
        <w:spacing w:after="0" w:line="147" w:lineRule="exact"/>
        <w:rPr>
          <w:sz w:val="20"/>
          <w:szCs w:val="20"/>
          <w:color w:val="auto"/>
        </w:rPr>
      </w:pPr>
    </w:p>
    <w:p>
      <w:pPr>
        <w:ind w:left="680" w:right="2719" w:hanging="602"/>
        <w:spacing w:after="0" w:line="253" w:lineRule="auto"/>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Amended and Restated Bylaws of the Registrant (Incorporated by reference to Exhibit 3.2 to the Registrant’s Annual Report on Form 10-K (File No. 814-00736), filed on November 13, 2013).</w:t>
      </w:r>
    </w:p>
    <w:p>
      <w:pPr>
        <w:spacing w:after="0" w:line="147" w:lineRule="exact"/>
        <w:rPr>
          <w:sz w:val="20"/>
          <w:szCs w:val="20"/>
          <w:color w:val="auto"/>
        </w:rPr>
      </w:pPr>
    </w:p>
    <w:p>
      <w:pPr>
        <w:ind w:left="680" w:right="2679" w:hanging="602"/>
        <w:spacing w:after="0" w:line="253" w:lineRule="auto"/>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Exhibit 99(d)(1) to the Registrant’s Registration Statement on Form N-2 (File No. 333-150033), filed on April 2, 2008).</w:t>
      </w:r>
    </w:p>
    <w:p>
      <w:pPr>
        <w:spacing w:after="0" w:line="147"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63" w:lineRule="exact"/>
        <w:rPr>
          <w:sz w:val="20"/>
          <w:szCs w:val="20"/>
          <w:color w:val="auto"/>
        </w:rPr>
      </w:pPr>
    </w:p>
    <w:p>
      <w:pPr>
        <w:ind w:left="680" w:right="1019" w:hanging="674"/>
        <w:spacing w:after="0" w:line="253" w:lineRule="auto"/>
        <w:tabs>
          <w:tab w:leader="none" w:pos="6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color w:val="auto"/>
        </w:rPr>
        <w:t>Privacy Policy of the Registrant (Incorporated by reference to Exhibit 99.1 to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259080</wp:posOffset>
            </wp:positionV>
            <wp:extent cx="8001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139"/>
          </w:cols>
          <w:pgMar w:left="32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20" w:type="dxa"/>
            <w:vAlign w:val="bottom"/>
          </w:tcPr>
          <w:p>
            <w:pPr>
              <w:ind w:left="740"/>
              <w:spacing w:after="0"/>
              <w:rPr>
                <w:sz w:val="20"/>
                <w:szCs w:val="20"/>
                <w:color w:val="auto"/>
              </w:rPr>
            </w:pPr>
            <w:r>
              <w:rPr>
                <w:rFonts w:ascii="Arial" w:cs="Arial" w:eastAsia="Arial" w:hAnsi="Arial"/>
                <w:sz w:val="14"/>
                <w:szCs w:val="14"/>
                <w:color w:val="auto"/>
              </w:rPr>
              <w:t>PENNANTPARK INVESTMENT CORPORATION</w:t>
            </w:r>
          </w:p>
        </w:tc>
      </w:tr>
      <w:tr>
        <w:trPr>
          <w:trHeight w:val="350"/>
        </w:trPr>
        <w:tc>
          <w:tcPr>
            <w:tcW w:w="3200" w:type="dxa"/>
            <w:vAlign w:val="bottom"/>
          </w:tcPr>
          <w:p>
            <w:pPr>
              <w:spacing w:after="0"/>
              <w:rPr>
                <w:sz w:val="20"/>
                <w:szCs w:val="20"/>
                <w:color w:val="auto"/>
              </w:rPr>
            </w:pPr>
            <w:r>
              <w:rPr>
                <w:rFonts w:ascii="Arial" w:cs="Arial" w:eastAsia="Arial" w:hAnsi="Arial"/>
                <w:sz w:val="14"/>
                <w:szCs w:val="14"/>
                <w:color w:val="auto"/>
              </w:rPr>
              <w:t>Date: May 6, 2015</w:t>
            </w:r>
          </w:p>
        </w:tc>
        <w:tc>
          <w:tcPr>
            <w:tcW w:w="2340" w:type="dxa"/>
            <w:vAlign w:val="bottom"/>
          </w:tcPr>
          <w:p>
            <w:pPr>
              <w:ind w:left="2120"/>
              <w:spacing w:after="0"/>
              <w:rPr>
                <w:sz w:val="20"/>
                <w:szCs w:val="20"/>
                <w:color w:val="auto"/>
              </w:rPr>
            </w:pPr>
            <w:r>
              <w:rPr>
                <w:rFonts w:ascii="Arial" w:cs="Arial" w:eastAsia="Arial" w:hAnsi="Arial"/>
                <w:sz w:val="14"/>
                <w:szCs w:val="14"/>
                <w:color w:val="auto"/>
                <w:w w:val="98"/>
              </w:rPr>
              <w:t>By:</w:t>
            </w:r>
          </w:p>
        </w:tc>
        <w:tc>
          <w:tcPr>
            <w:tcW w:w="480" w:type="dxa"/>
            <w:vAlign w:val="bottom"/>
          </w:tcPr>
          <w:p>
            <w:pPr>
              <w:spacing w:after="0"/>
              <w:rPr>
                <w:sz w:val="24"/>
                <w:szCs w:val="24"/>
                <w:color w:val="auto"/>
              </w:rPr>
            </w:pPr>
          </w:p>
        </w:tc>
        <w:tc>
          <w:tcPr>
            <w:tcW w:w="52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5"/>
              </w:rPr>
              <w:t>/s/ Arthur H. Penn</w:t>
            </w:r>
          </w:p>
        </w:tc>
      </w:tr>
      <w:tr>
        <w:trPr>
          <w:trHeight w:val="133"/>
        </w:trPr>
        <w:tc>
          <w:tcPr>
            <w:tcW w:w="32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3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 and Chairman of the Board of Directors</w:t>
            </w:r>
          </w:p>
        </w:tc>
      </w:tr>
      <w:tr>
        <w:trPr>
          <w:trHeight w:val="186"/>
        </w:trPr>
        <w:tc>
          <w:tcPr>
            <w:tcW w:w="3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63"/>
        </w:trPr>
        <w:tc>
          <w:tcPr>
            <w:tcW w:w="3200" w:type="dxa"/>
            <w:vAlign w:val="bottom"/>
          </w:tcPr>
          <w:p>
            <w:pPr>
              <w:spacing w:after="0"/>
              <w:rPr>
                <w:sz w:val="20"/>
                <w:szCs w:val="20"/>
                <w:color w:val="auto"/>
              </w:rPr>
            </w:pPr>
            <w:r>
              <w:rPr>
                <w:rFonts w:ascii="Arial" w:cs="Arial" w:eastAsia="Arial" w:hAnsi="Arial"/>
                <w:sz w:val="14"/>
                <w:szCs w:val="14"/>
                <w:color w:val="auto"/>
              </w:rPr>
              <w:t>Date: May 6, 2015</w:t>
            </w:r>
          </w:p>
        </w:tc>
        <w:tc>
          <w:tcPr>
            <w:tcW w:w="2340" w:type="dxa"/>
            <w:vAlign w:val="bottom"/>
          </w:tcPr>
          <w:p>
            <w:pPr>
              <w:ind w:left="2120"/>
              <w:spacing w:after="0"/>
              <w:rPr>
                <w:sz w:val="20"/>
                <w:szCs w:val="20"/>
                <w:color w:val="auto"/>
              </w:rPr>
            </w:pPr>
            <w:r>
              <w:rPr>
                <w:rFonts w:ascii="Arial" w:cs="Arial" w:eastAsia="Arial" w:hAnsi="Arial"/>
                <w:sz w:val="14"/>
                <w:szCs w:val="14"/>
                <w:color w:val="auto"/>
                <w:w w:val="98"/>
              </w:rPr>
              <w:t>By:</w:t>
            </w:r>
          </w:p>
        </w:tc>
        <w:tc>
          <w:tcPr>
            <w:tcW w:w="480" w:type="dxa"/>
            <w:vAlign w:val="bottom"/>
          </w:tcPr>
          <w:p>
            <w:pPr>
              <w:spacing w:after="0"/>
              <w:rPr>
                <w:sz w:val="24"/>
                <w:szCs w:val="24"/>
                <w:color w:val="auto"/>
              </w:rPr>
            </w:pPr>
          </w:p>
        </w:tc>
        <w:tc>
          <w:tcPr>
            <w:tcW w:w="52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9"/>
              </w:rPr>
              <w:t>/s/ Aviv Efrat</w:t>
            </w:r>
          </w:p>
        </w:tc>
      </w:tr>
      <w:tr>
        <w:trPr>
          <w:trHeight w:val="180"/>
        </w:trPr>
        <w:tc>
          <w:tcPr>
            <w:tcW w:w="3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r>
      <w:tr>
        <w:trPr>
          <w:trHeight w:val="169"/>
        </w:trPr>
        <w:tc>
          <w:tcPr>
            <w:tcW w:w="3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 and Treasurer</w:t>
            </w:r>
          </w:p>
        </w:tc>
      </w:tr>
      <w:tr>
        <w:trPr>
          <w:trHeight w:val="186"/>
        </w:trPr>
        <w:tc>
          <w:tcPr>
            <w:tcW w:w="3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310"/>
        </w:trPr>
        <w:tc>
          <w:tcPr>
            <w:tcW w:w="3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w w:val="89"/>
              </w:rPr>
              <w:t>37</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7" w:name="page38"/>
    <w:bookmarkEnd w:id="37"/>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May 6,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38" w:name="page39"/>
    <w:bookmarkEnd w:id="38"/>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May 6,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32.1</w:t>
      </w:r>
    </w:p>
    <w:p>
      <w:pPr>
        <w:spacing w:after="0" w:line="316" w:lineRule="exact"/>
        <w:rPr>
          <w:sz w:val="20"/>
          <w:szCs w:val="20"/>
          <w:color w:val="auto"/>
        </w:rPr>
      </w:pPr>
    </w:p>
    <w:p>
      <w:pPr>
        <w:jc w:val="both"/>
        <w:ind w:left="12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2015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May 6, 2015</w:t>
      </w:r>
    </w:p>
    <w:p>
      <w:pPr>
        <w:sectPr>
          <w:pgSz w:w="11900" w:h="16838" w:orient="portrait"/>
          <w:cols w:equalWidth="0" w:num="1">
            <w:col w:w="11240"/>
          </w:cols>
          <w:pgMar w:left="320" w:top="11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32.2</w:t>
      </w:r>
    </w:p>
    <w:p>
      <w:pPr>
        <w:spacing w:after="0" w:line="316" w:lineRule="exact"/>
        <w:rPr>
          <w:sz w:val="20"/>
          <w:szCs w:val="20"/>
          <w:color w:val="auto"/>
        </w:rPr>
      </w:pPr>
    </w:p>
    <w:p>
      <w:pPr>
        <w:jc w:val="both"/>
        <w:ind w:left="120" w:firstLine="556"/>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2015 (the “Report”) of PennantPark Investment Corporation (the “Registrant”), as filed with the Securities and Exchange Commission on the date hereof, I, Aviv Efrat, Chief Financial Officer of the Registrant, hereby certify, to the best of my knowledge, that:</w:t>
      </w:r>
    </w:p>
    <w:p>
      <w:pPr>
        <w:spacing w:after="0" w:line="66" w:lineRule="exact"/>
        <w:rPr>
          <w:sz w:val="20"/>
          <w:szCs w:val="20"/>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May 6, 2015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2020-05-05T15:11:48Z</dcterms:created>
  <dcterms:modified xsi:type="dcterms:W3CDTF">2020-05-05T15:11:48Z</dcterms:modified>
</cp:coreProperties>
</file>