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PennantPark Investment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708062104</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2220" w:hanging="1213"/>
        <w:spacing w:after="0"/>
        <w:tabs>
          <w:tab w:leader="none" w:pos="2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2220" w:hanging="1213"/>
        <w:spacing w:after="0"/>
        <w:tabs>
          <w:tab w:leader="none" w:pos="2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sz w:val="24"/>
          <w:szCs w:val="24"/>
          <w:color w:val="auto"/>
        </w:rPr>
      </w:pPr>
    </w:p>
    <w:p>
      <w:pPr>
        <w:ind w:left="2220" w:hanging="1213"/>
        <w:spacing w:after="0"/>
        <w:tabs>
          <w:tab w:leader="none" w:pos="2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 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p>
      <w:pPr>
        <w:ind w:left="60"/>
        <w:spacing w:after="0"/>
        <w:tabs>
          <w:tab w:leader="none" w:pos="80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708062104</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hanging="60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Ares Income Opportunity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6008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99" w:lineRule="exact"/>
        <w:rPr>
          <w:sz w:val="20"/>
          <w:szCs w:val="20"/>
          <w:color w:val="auto"/>
        </w:rPr>
      </w:pPr>
    </w:p>
    <w:p>
      <w:pPr>
        <w:ind w:left="900" w:hanging="60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0" w:lineRule="exact"/>
        <w:rPr>
          <w:sz w:val="20"/>
          <w:szCs w:val="20"/>
          <w:color w:val="auto"/>
        </w:rPr>
      </w:pPr>
    </w:p>
    <w:tbl>
      <w:tblPr>
        <w:tblLayout w:type="fixed"/>
        <w:tblInd w:w="900" w:type="dxa"/>
        <w:tblCellMar>
          <w:top w:w="0" w:type="dxa"/>
          <w:left w:w="0" w:type="dxa"/>
          <w:bottom w:w="0" w:type="dxa"/>
          <w:right w:w="0" w:type="dxa"/>
        </w:tblCellMar>
      </w:tblP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w:t>
            </w:r>
          </w:p>
        </w:tc>
      </w:tr>
    </w:tbl>
    <w:p>
      <w:pPr>
        <w:spacing w:after="0" w:line="296" w:lineRule="exact"/>
        <w:rPr>
          <w:sz w:val="20"/>
          <w:szCs w:val="20"/>
          <w:color w:val="auto"/>
        </w:rPr>
      </w:pPr>
    </w:p>
    <w:p>
      <w:pPr>
        <w:ind w:left="900" w:hanging="60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600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6600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580" w:type="dxa"/>
            <w:vAlign w:val="bottom"/>
          </w:tcPr>
          <w:p>
            <w:pPr>
              <w:spacing w:after="0"/>
              <w:rPr>
                <w:sz w:val="20"/>
                <w:szCs w:val="20"/>
                <w:color w:val="auto"/>
              </w:rPr>
            </w:pPr>
            <w:r>
              <w:rPr>
                <w:rFonts w:ascii="Arial" w:cs="Arial" w:eastAsia="Arial" w:hAnsi="Arial"/>
                <w:sz w:val="18"/>
                <w:szCs w:val="18"/>
                <w:color w:val="auto"/>
              </w:rPr>
              <w:t>Number of</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661,283</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r>
              <w:rPr>
                <w:rFonts w:ascii="Arial" w:cs="Arial" w:eastAsia="Arial" w:hAnsi="Arial"/>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Each</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8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661,283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960" w:right="5480" w:hanging="583"/>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661,283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6566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26" w:lineRule="exact"/>
        <w:rPr>
          <w:sz w:val="20"/>
          <w:szCs w:val="20"/>
          <w:color w:val="auto"/>
        </w:rPr>
      </w:pPr>
    </w:p>
    <w:p>
      <w:pPr>
        <w:ind w:left="960" w:right="5140" w:hanging="583"/>
        <w:spacing w:after="0" w:line="239" w:lineRule="exact"/>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w:t>
      </w:r>
    </w:p>
    <w:p>
      <w:pPr>
        <w:spacing w:after="0" w:line="310" w:lineRule="exact"/>
        <w:rPr>
          <w:rFonts w:ascii="Arial" w:cs="Arial" w:eastAsia="Arial" w:hAnsi="Arial"/>
          <w:sz w:val="18"/>
          <w:szCs w:val="18"/>
          <w:color w:val="auto"/>
        </w:rPr>
      </w:pPr>
    </w:p>
    <w:p>
      <w:pPr>
        <w:ind w:left="960" w:right="6620" w:hanging="583"/>
        <w:spacing w:after="0" w:line="277"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w:t>
      </w:r>
    </w:p>
    <w:p>
      <w:pPr>
        <w:spacing w:after="0" w:line="278" w:lineRule="exact"/>
        <w:rPr>
          <w:rFonts w:ascii="Arial" w:cs="Arial" w:eastAsia="Arial" w:hAnsi="Arial"/>
          <w:sz w:val="18"/>
          <w:szCs w:val="18"/>
          <w:color w:val="auto"/>
        </w:rPr>
      </w:pPr>
    </w:p>
    <w:p>
      <w:pPr>
        <w:ind w:left="960" w:hanging="583"/>
        <w:spacing w:after="0"/>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24" w:lineRule="exact"/>
        <w:rPr>
          <w:rFonts w:ascii="Arial" w:cs="Arial" w:eastAsia="Arial" w:hAnsi="Arial"/>
          <w:sz w:val="18"/>
          <w:szCs w:val="18"/>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65,224,500 shares of Common Stock (as defined below) outstanding as of December 22, 2022, as disclosed by the Issuer (as defined below) in its Amendment No. 1 to its Annual Report on Form 10-K/A, filed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on December 23, 2022 (“</w:t>
      </w:r>
      <w:r>
        <w:rPr>
          <w:rFonts w:ascii="Arial" w:cs="Arial" w:eastAsia="Arial" w:hAnsi="Arial"/>
          <w:sz w:val="18"/>
          <w:szCs w:val="18"/>
          <w:u w:val="single" w:color="auto"/>
          <w:color w:val="auto"/>
        </w:rPr>
        <w:t>10-K/A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-568325</wp:posOffset>
            </wp:positionV>
            <wp:extent cx="6566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-1048385</wp:posOffset>
            </wp:positionV>
            <wp:extent cx="65665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-1528445</wp:posOffset>
            </wp:positionV>
            <wp:extent cx="65665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 w:name="page3"/>
    <w:bookmarkEnd w:id="2"/>
    <w:p>
      <w:pPr>
        <w:ind w:left="60"/>
        <w:spacing w:after="0"/>
        <w:tabs>
          <w:tab w:leader="none" w:pos="80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708062104</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hanging="60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Ares Multi-Asset Credit Strategies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6008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99" w:lineRule="exact"/>
        <w:rPr>
          <w:sz w:val="20"/>
          <w:szCs w:val="20"/>
          <w:color w:val="auto"/>
        </w:rPr>
      </w:pPr>
    </w:p>
    <w:p>
      <w:pPr>
        <w:ind w:left="900" w:hanging="60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0" w:lineRule="exact"/>
        <w:rPr>
          <w:sz w:val="20"/>
          <w:szCs w:val="20"/>
          <w:color w:val="auto"/>
        </w:rPr>
      </w:pPr>
    </w:p>
    <w:tbl>
      <w:tblPr>
        <w:tblLayout w:type="fixed"/>
        <w:tblInd w:w="900" w:type="dxa"/>
        <w:tblCellMar>
          <w:top w:w="0" w:type="dxa"/>
          <w:left w:w="0" w:type="dxa"/>
          <w:bottom w:w="0" w:type="dxa"/>
          <w:right w:w="0" w:type="dxa"/>
        </w:tblCellMar>
      </w:tblP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64"/>
        </w:trPr>
        <w:tc>
          <w:tcPr>
            <w:tcW w:w="5300" w:type="dxa"/>
            <w:vAlign w:val="bottom"/>
          </w:tcPr>
          <w:p>
            <w:pPr>
              <w:spacing w:after="0"/>
              <w:rPr>
                <w:sz w:val="20"/>
                <w:szCs w:val="20"/>
                <w:color w:val="auto"/>
              </w:rPr>
            </w:pPr>
            <w:r>
              <w:rPr>
                <w:rFonts w:ascii="Arial" w:cs="Arial" w:eastAsia="Arial" w:hAnsi="Arial"/>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w:t>
            </w:r>
          </w:p>
        </w:tc>
      </w:tr>
    </w:tbl>
    <w:p>
      <w:pPr>
        <w:spacing w:after="0" w:line="296" w:lineRule="exact"/>
        <w:rPr>
          <w:sz w:val="20"/>
          <w:szCs w:val="20"/>
          <w:color w:val="auto"/>
        </w:rPr>
      </w:pPr>
    </w:p>
    <w:p>
      <w:pPr>
        <w:ind w:left="900" w:hanging="60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600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30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Citizen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-34290</wp:posOffset>
            </wp:positionV>
            <wp:extent cx="66008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580" w:type="dxa"/>
            <w:vAlign w:val="bottom"/>
          </w:tcPr>
          <w:p>
            <w:pPr>
              <w:spacing w:after="0"/>
              <w:rPr>
                <w:sz w:val="20"/>
                <w:szCs w:val="20"/>
                <w:color w:val="auto"/>
              </w:rPr>
            </w:pPr>
            <w:r>
              <w:rPr>
                <w:rFonts w:ascii="Arial" w:cs="Arial" w:eastAsia="Arial" w:hAnsi="Arial"/>
                <w:sz w:val="18"/>
                <w:szCs w:val="18"/>
                <w:color w:val="auto"/>
              </w:rPr>
              <w:t>Number of</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519,194</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r>
              <w:rPr>
                <w:rFonts w:ascii="Arial" w:cs="Arial" w:eastAsia="Arial" w:hAnsi="Arial"/>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Each</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8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519,194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960" w:right="5480" w:hanging="583"/>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519,194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65665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26" w:lineRule="exact"/>
        <w:rPr>
          <w:sz w:val="20"/>
          <w:szCs w:val="20"/>
          <w:color w:val="auto"/>
        </w:rPr>
      </w:pPr>
    </w:p>
    <w:p>
      <w:pPr>
        <w:ind w:left="960" w:right="5140" w:hanging="583"/>
        <w:spacing w:after="0" w:line="239" w:lineRule="exact"/>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w:t>
      </w:r>
    </w:p>
    <w:p>
      <w:pPr>
        <w:spacing w:after="0" w:line="310" w:lineRule="exact"/>
        <w:rPr>
          <w:rFonts w:ascii="Arial" w:cs="Arial" w:eastAsia="Arial" w:hAnsi="Arial"/>
          <w:sz w:val="18"/>
          <w:szCs w:val="18"/>
          <w:color w:val="auto"/>
        </w:rPr>
      </w:pPr>
    </w:p>
    <w:p>
      <w:pPr>
        <w:ind w:left="960" w:right="6620" w:hanging="583"/>
        <w:spacing w:after="0" w:line="277"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0.8%*</w:t>
      </w:r>
    </w:p>
    <w:p>
      <w:pPr>
        <w:spacing w:after="0" w:line="278" w:lineRule="exact"/>
        <w:rPr>
          <w:rFonts w:ascii="Arial" w:cs="Arial" w:eastAsia="Arial" w:hAnsi="Arial"/>
          <w:sz w:val="18"/>
          <w:szCs w:val="18"/>
          <w:color w:val="auto"/>
        </w:rPr>
      </w:pPr>
    </w:p>
    <w:p>
      <w:pPr>
        <w:ind w:left="960" w:hanging="583"/>
        <w:spacing w:after="0"/>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FI</w:t>
      </w:r>
    </w:p>
    <w:p>
      <w:pPr>
        <w:spacing w:after="0" w:line="224" w:lineRule="exact"/>
        <w:rPr>
          <w:rFonts w:ascii="Arial" w:cs="Arial" w:eastAsia="Arial" w:hAnsi="Arial"/>
          <w:sz w:val="18"/>
          <w:szCs w:val="18"/>
          <w:color w:val="auto"/>
        </w:rPr>
      </w:pPr>
    </w:p>
    <w:p>
      <w:pPr>
        <w:ind w:right="2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65,224,500 shares of Common Stock outstanding as of December 23,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-439420</wp:posOffset>
            </wp:positionV>
            <wp:extent cx="65665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-919480</wp:posOffset>
            </wp:positionV>
            <wp:extent cx="65665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-1399540</wp:posOffset>
            </wp:positionV>
            <wp:extent cx="6566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 w:name="page4"/>
    <w:bookmarkEnd w:id="3"/>
    <w:p>
      <w:pPr>
        <w:ind w:left="60"/>
        <w:spacing w:after="0"/>
        <w:tabs>
          <w:tab w:leader="none" w:pos="80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708062104</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hanging="60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Ares Capital Management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6008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99" w:lineRule="exact"/>
        <w:rPr>
          <w:sz w:val="20"/>
          <w:szCs w:val="20"/>
          <w:color w:val="auto"/>
        </w:rPr>
      </w:pPr>
    </w:p>
    <w:p>
      <w:pPr>
        <w:ind w:left="900" w:hanging="60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0" w:lineRule="exact"/>
        <w:rPr>
          <w:sz w:val="20"/>
          <w:szCs w:val="20"/>
          <w:color w:val="auto"/>
        </w:rPr>
      </w:pPr>
    </w:p>
    <w:tbl>
      <w:tblPr>
        <w:tblLayout w:type="fixed"/>
        <w:tblInd w:w="900" w:type="dxa"/>
        <w:tblCellMar>
          <w:top w:w="0" w:type="dxa"/>
          <w:left w:w="0" w:type="dxa"/>
          <w:bottom w:w="0" w:type="dxa"/>
          <w:right w:w="0" w:type="dxa"/>
        </w:tblCellMar>
      </w:tblP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w:t>
            </w:r>
          </w:p>
        </w:tc>
      </w:tr>
    </w:tbl>
    <w:p>
      <w:pPr>
        <w:spacing w:after="0" w:line="296" w:lineRule="exact"/>
        <w:rPr>
          <w:sz w:val="20"/>
          <w:szCs w:val="20"/>
          <w:color w:val="auto"/>
        </w:rPr>
      </w:pPr>
    </w:p>
    <w:p>
      <w:pPr>
        <w:ind w:left="900" w:hanging="60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6008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66008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580" w:type="dxa"/>
            <w:vAlign w:val="bottom"/>
          </w:tcPr>
          <w:p>
            <w:pPr>
              <w:spacing w:after="0"/>
              <w:rPr>
                <w:sz w:val="20"/>
                <w:szCs w:val="20"/>
                <w:color w:val="auto"/>
              </w:rPr>
            </w:pPr>
            <w:r>
              <w:rPr>
                <w:rFonts w:ascii="Arial" w:cs="Arial" w:eastAsia="Arial" w:hAnsi="Arial"/>
                <w:sz w:val="18"/>
                <w:szCs w:val="18"/>
                <w:color w:val="auto"/>
              </w:rPr>
              <w:t>Number of</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1,658,347</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r>
              <w:rPr>
                <w:rFonts w:ascii="Arial" w:cs="Arial" w:eastAsia="Arial" w:hAnsi="Arial"/>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Each</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8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1,658,347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960" w:right="5480" w:hanging="583"/>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1,658,347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65665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26" w:lineRule="exact"/>
        <w:rPr>
          <w:sz w:val="20"/>
          <w:szCs w:val="20"/>
          <w:color w:val="auto"/>
        </w:rPr>
      </w:pPr>
    </w:p>
    <w:p>
      <w:pPr>
        <w:ind w:left="960" w:right="5140" w:hanging="583"/>
        <w:spacing w:after="0" w:line="239" w:lineRule="exact"/>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w:t>
      </w:r>
    </w:p>
    <w:p>
      <w:pPr>
        <w:spacing w:after="0" w:line="310" w:lineRule="exact"/>
        <w:rPr>
          <w:rFonts w:ascii="Arial" w:cs="Arial" w:eastAsia="Arial" w:hAnsi="Arial"/>
          <w:sz w:val="18"/>
          <w:szCs w:val="18"/>
          <w:color w:val="auto"/>
        </w:rPr>
      </w:pPr>
    </w:p>
    <w:p>
      <w:pPr>
        <w:ind w:left="960" w:right="6620" w:hanging="583"/>
        <w:spacing w:after="0" w:line="277"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2.5%*</w:t>
      </w:r>
    </w:p>
    <w:p>
      <w:pPr>
        <w:spacing w:after="0" w:line="278" w:lineRule="exact"/>
        <w:rPr>
          <w:rFonts w:ascii="Arial" w:cs="Arial" w:eastAsia="Arial" w:hAnsi="Arial"/>
          <w:sz w:val="18"/>
          <w:szCs w:val="18"/>
          <w:color w:val="auto"/>
        </w:rPr>
      </w:pPr>
    </w:p>
    <w:p>
      <w:pPr>
        <w:ind w:left="960" w:hanging="583"/>
        <w:spacing w:after="0"/>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4" w:lineRule="exact"/>
        <w:rPr>
          <w:rFonts w:ascii="Arial" w:cs="Arial" w:eastAsia="Arial" w:hAnsi="Arial"/>
          <w:sz w:val="18"/>
          <w:szCs w:val="18"/>
          <w:color w:val="auto"/>
        </w:rPr>
      </w:pPr>
    </w:p>
    <w:p>
      <w:pPr>
        <w:ind w:right="2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65,224,500 shares of Common Stock outstanding as of December 23,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-439420</wp:posOffset>
            </wp:positionV>
            <wp:extent cx="65665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-919480</wp:posOffset>
            </wp:positionV>
            <wp:extent cx="6566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-1399540</wp:posOffset>
            </wp:positionV>
            <wp:extent cx="65665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4" w:name="page5"/>
    <w:bookmarkEnd w:id="4"/>
    <w:p>
      <w:pPr>
        <w:ind w:left="60"/>
        <w:spacing w:after="0"/>
        <w:tabs>
          <w:tab w:leader="none" w:pos="80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708062104</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hanging="60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Ares Enhanced Credit Opportunities Master Fund II,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6008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99" w:lineRule="exact"/>
        <w:rPr>
          <w:sz w:val="20"/>
          <w:szCs w:val="20"/>
          <w:color w:val="auto"/>
        </w:rPr>
      </w:pPr>
    </w:p>
    <w:p>
      <w:pPr>
        <w:ind w:left="900" w:hanging="60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0" w:lineRule="exact"/>
        <w:rPr>
          <w:sz w:val="20"/>
          <w:szCs w:val="20"/>
          <w:color w:val="auto"/>
        </w:rPr>
      </w:pPr>
    </w:p>
    <w:tbl>
      <w:tblPr>
        <w:tblLayout w:type="fixed"/>
        <w:tblInd w:w="900" w:type="dxa"/>
        <w:tblCellMar>
          <w:top w:w="0" w:type="dxa"/>
          <w:left w:w="0" w:type="dxa"/>
          <w:bottom w:w="0" w:type="dxa"/>
          <w:right w:w="0" w:type="dxa"/>
        </w:tblCellMar>
      </w:tblP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64"/>
        </w:trPr>
        <w:tc>
          <w:tcPr>
            <w:tcW w:w="5300" w:type="dxa"/>
            <w:vAlign w:val="bottom"/>
          </w:tcPr>
          <w:p>
            <w:pPr>
              <w:spacing w:after="0"/>
              <w:rPr>
                <w:sz w:val="20"/>
                <w:szCs w:val="20"/>
                <w:color w:val="auto"/>
              </w:rPr>
            </w:pPr>
            <w:r>
              <w:rPr>
                <w:rFonts w:ascii="Arial" w:cs="Arial" w:eastAsia="Arial" w:hAnsi="Arial"/>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w:t>
            </w:r>
          </w:p>
        </w:tc>
      </w:tr>
    </w:tbl>
    <w:p>
      <w:pPr>
        <w:spacing w:after="0" w:line="296" w:lineRule="exact"/>
        <w:rPr>
          <w:sz w:val="20"/>
          <w:szCs w:val="20"/>
          <w:color w:val="auto"/>
        </w:rPr>
      </w:pPr>
    </w:p>
    <w:p>
      <w:pPr>
        <w:ind w:left="900" w:hanging="60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6008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Citizen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-34290</wp:posOffset>
            </wp:positionV>
            <wp:extent cx="66008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580" w:type="dxa"/>
            <w:vAlign w:val="bottom"/>
          </w:tcPr>
          <w:p>
            <w:pPr>
              <w:spacing w:after="0"/>
              <w:rPr>
                <w:sz w:val="20"/>
                <w:szCs w:val="20"/>
                <w:color w:val="auto"/>
              </w:rPr>
            </w:pPr>
            <w:r>
              <w:rPr>
                <w:rFonts w:ascii="Arial" w:cs="Arial" w:eastAsia="Arial" w:hAnsi="Arial"/>
                <w:sz w:val="18"/>
                <w:szCs w:val="18"/>
                <w:color w:val="auto"/>
              </w:rPr>
              <w:t>Number of</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1,043,266</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r>
              <w:rPr>
                <w:rFonts w:ascii="Arial" w:cs="Arial" w:eastAsia="Arial" w:hAnsi="Arial"/>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Each</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8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1,043,266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960" w:right="5480" w:hanging="583"/>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1,043,266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65665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26" w:lineRule="exact"/>
        <w:rPr>
          <w:sz w:val="20"/>
          <w:szCs w:val="20"/>
          <w:color w:val="auto"/>
        </w:rPr>
      </w:pPr>
    </w:p>
    <w:p>
      <w:pPr>
        <w:ind w:left="960" w:right="5140" w:hanging="583"/>
        <w:spacing w:after="0" w:line="239" w:lineRule="exact"/>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w:t>
      </w:r>
    </w:p>
    <w:p>
      <w:pPr>
        <w:spacing w:after="0" w:line="310" w:lineRule="exact"/>
        <w:rPr>
          <w:rFonts w:ascii="Arial" w:cs="Arial" w:eastAsia="Arial" w:hAnsi="Arial"/>
          <w:sz w:val="18"/>
          <w:szCs w:val="18"/>
          <w:color w:val="auto"/>
        </w:rPr>
      </w:pPr>
    </w:p>
    <w:p>
      <w:pPr>
        <w:ind w:left="960" w:right="6620" w:hanging="583"/>
        <w:spacing w:after="0" w:line="277" w:lineRule="auto"/>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w:t>
      </w:r>
    </w:p>
    <w:p>
      <w:pPr>
        <w:spacing w:after="0" w:line="278" w:lineRule="exact"/>
        <w:rPr>
          <w:rFonts w:ascii="Arial" w:cs="Arial" w:eastAsia="Arial" w:hAnsi="Arial"/>
          <w:sz w:val="18"/>
          <w:szCs w:val="18"/>
          <w:color w:val="auto"/>
        </w:rPr>
      </w:pPr>
    </w:p>
    <w:p>
      <w:pPr>
        <w:ind w:left="960" w:hanging="583"/>
        <w:spacing w:after="0"/>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FI</w:t>
      </w:r>
    </w:p>
    <w:p>
      <w:pPr>
        <w:spacing w:after="0" w:line="224" w:lineRule="exact"/>
        <w:rPr>
          <w:rFonts w:ascii="Arial" w:cs="Arial" w:eastAsia="Arial" w:hAnsi="Arial"/>
          <w:sz w:val="18"/>
          <w:szCs w:val="18"/>
          <w:color w:val="auto"/>
        </w:rPr>
      </w:pPr>
    </w:p>
    <w:p>
      <w:pPr>
        <w:ind w:right="2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65,224,500 shares of Common Stock outstanding as of December 23,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-439420</wp:posOffset>
            </wp:positionV>
            <wp:extent cx="65665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-919480</wp:posOffset>
            </wp:positionV>
            <wp:extent cx="65665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-1399540</wp:posOffset>
            </wp:positionV>
            <wp:extent cx="6566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5" w:name="page6"/>
    <w:bookmarkEnd w:id="5"/>
    <w:p>
      <w:pPr>
        <w:ind w:left="60"/>
        <w:spacing w:after="0"/>
        <w:tabs>
          <w:tab w:leader="none" w:pos="80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708062104</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hanging="60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Ares Enhanced Credit Opportunities Investment Management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6008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99" w:lineRule="exact"/>
        <w:rPr>
          <w:sz w:val="20"/>
          <w:szCs w:val="20"/>
          <w:color w:val="auto"/>
        </w:rPr>
      </w:pPr>
    </w:p>
    <w:p>
      <w:pPr>
        <w:ind w:left="900" w:hanging="60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0" w:lineRule="exact"/>
        <w:rPr>
          <w:sz w:val="20"/>
          <w:szCs w:val="20"/>
          <w:color w:val="auto"/>
        </w:rPr>
      </w:pPr>
    </w:p>
    <w:tbl>
      <w:tblPr>
        <w:tblLayout w:type="fixed"/>
        <w:tblInd w:w="900" w:type="dxa"/>
        <w:tblCellMar>
          <w:top w:w="0" w:type="dxa"/>
          <w:left w:w="0" w:type="dxa"/>
          <w:bottom w:w="0" w:type="dxa"/>
          <w:right w:w="0" w:type="dxa"/>
        </w:tblCellMar>
      </w:tblP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64"/>
        </w:trPr>
        <w:tc>
          <w:tcPr>
            <w:tcW w:w="5300" w:type="dxa"/>
            <w:vAlign w:val="bottom"/>
          </w:tcPr>
          <w:p>
            <w:pPr>
              <w:spacing w:after="0"/>
              <w:rPr>
                <w:sz w:val="20"/>
                <w:szCs w:val="20"/>
                <w:color w:val="auto"/>
              </w:rPr>
            </w:pPr>
            <w:r>
              <w:rPr>
                <w:rFonts w:ascii="Arial" w:cs="Arial" w:eastAsia="Arial" w:hAnsi="Arial"/>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w:t>
            </w:r>
          </w:p>
        </w:tc>
      </w:tr>
    </w:tbl>
    <w:p>
      <w:pPr>
        <w:spacing w:after="0" w:line="296" w:lineRule="exact"/>
        <w:rPr>
          <w:sz w:val="20"/>
          <w:szCs w:val="20"/>
          <w:color w:val="auto"/>
        </w:rPr>
      </w:pPr>
    </w:p>
    <w:p>
      <w:pPr>
        <w:ind w:left="900" w:hanging="60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6008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66008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580" w:type="dxa"/>
            <w:vAlign w:val="bottom"/>
          </w:tcPr>
          <w:p>
            <w:pPr>
              <w:spacing w:after="0"/>
              <w:rPr>
                <w:sz w:val="20"/>
                <w:szCs w:val="20"/>
                <w:color w:val="auto"/>
              </w:rPr>
            </w:pPr>
            <w:r>
              <w:rPr>
                <w:rFonts w:ascii="Arial" w:cs="Arial" w:eastAsia="Arial" w:hAnsi="Arial"/>
                <w:sz w:val="18"/>
                <w:szCs w:val="18"/>
                <w:color w:val="auto"/>
              </w:rPr>
              <w:t>Number of</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1,043,266</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r>
              <w:rPr>
                <w:rFonts w:ascii="Arial" w:cs="Arial" w:eastAsia="Arial" w:hAnsi="Arial"/>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Each</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8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1,043,266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960" w:right="5480" w:hanging="583"/>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1,043,266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65665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26" w:lineRule="exact"/>
        <w:rPr>
          <w:sz w:val="20"/>
          <w:szCs w:val="20"/>
          <w:color w:val="auto"/>
        </w:rPr>
      </w:pPr>
    </w:p>
    <w:p>
      <w:pPr>
        <w:ind w:left="960" w:right="5140" w:hanging="583"/>
        <w:spacing w:after="0" w:line="239" w:lineRule="exact"/>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w:t>
      </w:r>
    </w:p>
    <w:p>
      <w:pPr>
        <w:spacing w:after="0" w:line="310" w:lineRule="exact"/>
        <w:rPr>
          <w:rFonts w:ascii="Arial" w:cs="Arial" w:eastAsia="Arial" w:hAnsi="Arial"/>
          <w:sz w:val="18"/>
          <w:szCs w:val="18"/>
          <w:color w:val="auto"/>
        </w:rPr>
      </w:pPr>
    </w:p>
    <w:p>
      <w:pPr>
        <w:ind w:left="960" w:right="6620" w:hanging="583"/>
        <w:spacing w:after="0" w:line="277" w:lineRule="auto"/>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w:t>
      </w:r>
    </w:p>
    <w:p>
      <w:pPr>
        <w:spacing w:after="0" w:line="278" w:lineRule="exact"/>
        <w:rPr>
          <w:rFonts w:ascii="Arial" w:cs="Arial" w:eastAsia="Arial" w:hAnsi="Arial"/>
          <w:sz w:val="18"/>
          <w:szCs w:val="18"/>
          <w:color w:val="auto"/>
        </w:rPr>
      </w:pPr>
    </w:p>
    <w:p>
      <w:pPr>
        <w:ind w:left="960" w:hanging="583"/>
        <w:spacing w:after="0"/>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4" w:lineRule="exact"/>
        <w:rPr>
          <w:rFonts w:ascii="Arial" w:cs="Arial" w:eastAsia="Arial" w:hAnsi="Arial"/>
          <w:sz w:val="18"/>
          <w:szCs w:val="18"/>
          <w:color w:val="auto"/>
        </w:rPr>
      </w:pPr>
    </w:p>
    <w:p>
      <w:pPr>
        <w:ind w:right="2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65,224,500 shares of Common Stock outstanding as of December 23,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-439420</wp:posOffset>
            </wp:positionV>
            <wp:extent cx="65665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-919480</wp:posOffset>
            </wp:positionV>
            <wp:extent cx="65665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-1399540</wp:posOffset>
            </wp:positionV>
            <wp:extent cx="6566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6" w:name="page7"/>
    <w:bookmarkEnd w:id="6"/>
    <w:p>
      <w:pPr>
        <w:ind w:left="60"/>
        <w:spacing w:after="0"/>
        <w:tabs>
          <w:tab w:leader="none" w:pos="80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708062104</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hanging="604"/>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Ares Enhanced Loan Investment Strategy Advisor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6008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99" w:lineRule="exact"/>
        <w:rPr>
          <w:sz w:val="20"/>
          <w:szCs w:val="20"/>
          <w:color w:val="auto"/>
        </w:rPr>
      </w:pPr>
    </w:p>
    <w:p>
      <w:pPr>
        <w:ind w:left="900" w:hanging="604"/>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0" w:lineRule="exact"/>
        <w:rPr>
          <w:sz w:val="20"/>
          <w:szCs w:val="20"/>
          <w:color w:val="auto"/>
        </w:rPr>
      </w:pPr>
    </w:p>
    <w:tbl>
      <w:tblPr>
        <w:tblLayout w:type="fixed"/>
        <w:tblInd w:w="900" w:type="dxa"/>
        <w:tblCellMar>
          <w:top w:w="0" w:type="dxa"/>
          <w:left w:w="0" w:type="dxa"/>
          <w:bottom w:w="0" w:type="dxa"/>
          <w:right w:w="0" w:type="dxa"/>
        </w:tblCellMar>
      </w:tblP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64"/>
        </w:trPr>
        <w:tc>
          <w:tcPr>
            <w:tcW w:w="5300" w:type="dxa"/>
            <w:vAlign w:val="bottom"/>
          </w:tcPr>
          <w:p>
            <w:pPr>
              <w:spacing w:after="0"/>
              <w:rPr>
                <w:sz w:val="20"/>
                <w:szCs w:val="20"/>
                <w:color w:val="auto"/>
              </w:rPr>
            </w:pPr>
            <w:r>
              <w:rPr>
                <w:rFonts w:ascii="Arial" w:cs="Arial" w:eastAsia="Arial" w:hAnsi="Arial"/>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w:t>
            </w:r>
          </w:p>
        </w:tc>
      </w:tr>
    </w:tbl>
    <w:p>
      <w:pPr>
        <w:spacing w:after="0" w:line="296" w:lineRule="exact"/>
        <w:rPr>
          <w:sz w:val="20"/>
          <w:szCs w:val="20"/>
          <w:color w:val="auto"/>
        </w:rPr>
      </w:pPr>
    </w:p>
    <w:p>
      <w:pPr>
        <w:ind w:left="900" w:hanging="60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6008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66008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580" w:type="dxa"/>
            <w:vAlign w:val="bottom"/>
          </w:tcPr>
          <w:p>
            <w:pPr>
              <w:spacing w:after="0"/>
              <w:rPr>
                <w:sz w:val="20"/>
                <w:szCs w:val="20"/>
                <w:color w:val="auto"/>
              </w:rPr>
            </w:pPr>
            <w:r>
              <w:rPr>
                <w:rFonts w:ascii="Arial" w:cs="Arial" w:eastAsia="Arial" w:hAnsi="Arial"/>
                <w:sz w:val="18"/>
                <w:szCs w:val="18"/>
                <w:color w:val="auto"/>
              </w:rPr>
              <w:t>Number of</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2,141,497</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r>
              <w:rPr>
                <w:rFonts w:ascii="Arial" w:cs="Arial" w:eastAsia="Arial" w:hAnsi="Arial"/>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Each</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8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2,141,497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960" w:right="5480" w:hanging="583"/>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2,141,497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65665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26" w:lineRule="exact"/>
        <w:rPr>
          <w:sz w:val="20"/>
          <w:szCs w:val="20"/>
          <w:color w:val="auto"/>
        </w:rPr>
      </w:pPr>
    </w:p>
    <w:p>
      <w:pPr>
        <w:ind w:left="960" w:right="5140" w:hanging="583"/>
        <w:spacing w:after="0" w:line="239" w:lineRule="exact"/>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w:t>
      </w:r>
    </w:p>
    <w:p>
      <w:pPr>
        <w:spacing w:after="0" w:line="310" w:lineRule="exact"/>
        <w:rPr>
          <w:rFonts w:ascii="Arial" w:cs="Arial" w:eastAsia="Arial" w:hAnsi="Arial"/>
          <w:sz w:val="18"/>
          <w:szCs w:val="18"/>
          <w:color w:val="auto"/>
        </w:rPr>
      </w:pPr>
    </w:p>
    <w:p>
      <w:pPr>
        <w:ind w:left="960" w:right="6620" w:hanging="583"/>
        <w:spacing w:after="0" w:line="277" w:lineRule="auto"/>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9 3.3%*</w:t>
      </w:r>
    </w:p>
    <w:p>
      <w:pPr>
        <w:spacing w:after="0" w:line="278" w:lineRule="exact"/>
        <w:rPr>
          <w:rFonts w:ascii="Arial" w:cs="Arial" w:eastAsia="Arial" w:hAnsi="Arial"/>
          <w:sz w:val="18"/>
          <w:szCs w:val="18"/>
          <w:color w:val="auto"/>
        </w:rPr>
      </w:pPr>
    </w:p>
    <w:p>
      <w:pPr>
        <w:ind w:left="960" w:hanging="583"/>
        <w:spacing w:after="0"/>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24" w:lineRule="exact"/>
        <w:rPr>
          <w:rFonts w:ascii="Arial" w:cs="Arial" w:eastAsia="Arial" w:hAnsi="Arial"/>
          <w:sz w:val="18"/>
          <w:szCs w:val="18"/>
          <w:color w:val="auto"/>
        </w:rPr>
      </w:pPr>
    </w:p>
    <w:p>
      <w:pPr>
        <w:ind w:right="2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65,224,500 shares of Common Stock outstanding as of December 23,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-439420</wp:posOffset>
            </wp:positionV>
            <wp:extent cx="65665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-919480</wp:posOffset>
            </wp:positionV>
            <wp:extent cx="65665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-1399540</wp:posOffset>
            </wp:positionV>
            <wp:extent cx="65665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7" w:name="page8"/>
    <w:bookmarkEnd w:id="7"/>
    <w:p>
      <w:pPr>
        <w:ind w:left="60"/>
        <w:spacing w:after="0"/>
        <w:tabs>
          <w:tab w:leader="none" w:pos="80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708062104</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hanging="604"/>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Ares Enhanced Loan Investment Strategy Advisor IV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6008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99" w:lineRule="exact"/>
        <w:rPr>
          <w:sz w:val="20"/>
          <w:szCs w:val="20"/>
          <w:color w:val="auto"/>
        </w:rPr>
      </w:pPr>
    </w:p>
    <w:p>
      <w:pPr>
        <w:ind w:left="900" w:hanging="60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0" w:lineRule="exact"/>
        <w:rPr>
          <w:sz w:val="20"/>
          <w:szCs w:val="20"/>
          <w:color w:val="auto"/>
        </w:rPr>
      </w:pPr>
    </w:p>
    <w:tbl>
      <w:tblPr>
        <w:tblLayout w:type="fixed"/>
        <w:tblInd w:w="900" w:type="dxa"/>
        <w:tblCellMar>
          <w:top w:w="0" w:type="dxa"/>
          <w:left w:w="0" w:type="dxa"/>
          <w:bottom w:w="0" w:type="dxa"/>
          <w:right w:w="0" w:type="dxa"/>
        </w:tblCellMar>
      </w:tblP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64"/>
        </w:trPr>
        <w:tc>
          <w:tcPr>
            <w:tcW w:w="5300" w:type="dxa"/>
            <w:vAlign w:val="bottom"/>
          </w:tcPr>
          <w:p>
            <w:pPr>
              <w:spacing w:after="0"/>
              <w:rPr>
                <w:sz w:val="20"/>
                <w:szCs w:val="20"/>
                <w:color w:val="auto"/>
              </w:rPr>
            </w:pPr>
            <w:r>
              <w:rPr>
                <w:rFonts w:ascii="Arial" w:cs="Arial" w:eastAsia="Arial" w:hAnsi="Arial"/>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w:t>
            </w:r>
          </w:p>
        </w:tc>
      </w:tr>
    </w:tbl>
    <w:p>
      <w:pPr>
        <w:spacing w:after="0" w:line="296" w:lineRule="exact"/>
        <w:rPr>
          <w:sz w:val="20"/>
          <w:szCs w:val="20"/>
          <w:color w:val="auto"/>
        </w:rPr>
      </w:pPr>
    </w:p>
    <w:p>
      <w:pPr>
        <w:ind w:left="900" w:hanging="604"/>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6008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66008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580" w:type="dxa"/>
            <w:vAlign w:val="bottom"/>
          </w:tcPr>
          <w:p>
            <w:pPr>
              <w:spacing w:after="0"/>
              <w:rPr>
                <w:sz w:val="20"/>
                <w:szCs w:val="20"/>
                <w:color w:val="auto"/>
              </w:rPr>
            </w:pPr>
            <w:r>
              <w:rPr>
                <w:rFonts w:ascii="Arial" w:cs="Arial" w:eastAsia="Arial" w:hAnsi="Arial"/>
                <w:sz w:val="18"/>
                <w:szCs w:val="18"/>
                <w:color w:val="auto"/>
              </w:rPr>
              <w:t>Number of</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2,141,497</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r>
              <w:rPr>
                <w:rFonts w:ascii="Arial" w:cs="Arial" w:eastAsia="Arial" w:hAnsi="Arial"/>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Each</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8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2,141,497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960" w:right="5480" w:hanging="583"/>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2,141,497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65665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26" w:lineRule="exact"/>
        <w:rPr>
          <w:sz w:val="20"/>
          <w:szCs w:val="20"/>
          <w:color w:val="auto"/>
        </w:rPr>
      </w:pPr>
    </w:p>
    <w:p>
      <w:pPr>
        <w:ind w:left="960" w:right="5140" w:hanging="583"/>
        <w:spacing w:after="0" w:line="239" w:lineRule="exact"/>
        <w:tabs>
          <w:tab w:leader="none" w:pos="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w:t>
      </w:r>
    </w:p>
    <w:p>
      <w:pPr>
        <w:spacing w:after="0" w:line="310" w:lineRule="exact"/>
        <w:rPr>
          <w:rFonts w:ascii="Arial" w:cs="Arial" w:eastAsia="Arial" w:hAnsi="Arial"/>
          <w:sz w:val="18"/>
          <w:szCs w:val="18"/>
          <w:color w:val="auto"/>
        </w:rPr>
      </w:pPr>
    </w:p>
    <w:p>
      <w:pPr>
        <w:ind w:left="960" w:right="6620" w:hanging="583"/>
        <w:spacing w:after="0" w:line="277" w:lineRule="auto"/>
        <w:tabs>
          <w:tab w:leader="none" w:pos="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9 3.3%*</w:t>
      </w:r>
    </w:p>
    <w:p>
      <w:pPr>
        <w:spacing w:after="0" w:line="278" w:lineRule="exact"/>
        <w:rPr>
          <w:rFonts w:ascii="Arial" w:cs="Arial" w:eastAsia="Arial" w:hAnsi="Arial"/>
          <w:sz w:val="18"/>
          <w:szCs w:val="18"/>
          <w:color w:val="auto"/>
        </w:rPr>
      </w:pPr>
    </w:p>
    <w:p>
      <w:pPr>
        <w:ind w:left="960" w:hanging="583"/>
        <w:spacing w:after="0"/>
        <w:tabs>
          <w:tab w:leader="none" w:pos="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4" w:lineRule="exact"/>
        <w:rPr>
          <w:rFonts w:ascii="Arial" w:cs="Arial" w:eastAsia="Arial" w:hAnsi="Arial"/>
          <w:sz w:val="18"/>
          <w:szCs w:val="18"/>
          <w:color w:val="auto"/>
        </w:rPr>
      </w:pPr>
    </w:p>
    <w:p>
      <w:pPr>
        <w:ind w:right="2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65,224,500 shares of Common Stock outstanding as of December 23,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-439420</wp:posOffset>
            </wp:positionV>
            <wp:extent cx="65665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-919480</wp:posOffset>
            </wp:positionV>
            <wp:extent cx="65665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-1399540</wp:posOffset>
            </wp:positionV>
            <wp:extent cx="65665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8" w:name="page9"/>
    <w:bookmarkEnd w:id="8"/>
    <w:p>
      <w:pPr>
        <w:ind w:left="60"/>
        <w:spacing w:after="0"/>
        <w:tabs>
          <w:tab w:leader="none" w:pos="80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708062104</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right="8280" w:hanging="604"/>
        <w:spacing w:after="0" w:line="34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Names of Reporting Persons 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-48895</wp:posOffset>
            </wp:positionV>
            <wp:extent cx="66008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12" w:lineRule="exact"/>
        <w:rPr>
          <w:sz w:val="20"/>
          <w:szCs w:val="20"/>
          <w:color w:val="auto"/>
        </w:rPr>
      </w:pPr>
    </w:p>
    <w:p>
      <w:pPr>
        <w:ind w:left="900" w:hanging="604"/>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0" w:lineRule="exact"/>
        <w:rPr>
          <w:sz w:val="20"/>
          <w:szCs w:val="20"/>
          <w:color w:val="auto"/>
        </w:rPr>
      </w:pPr>
    </w:p>
    <w:tbl>
      <w:tblPr>
        <w:tblLayout w:type="fixed"/>
        <w:tblInd w:w="900" w:type="dxa"/>
        <w:tblCellMar>
          <w:top w:w="0" w:type="dxa"/>
          <w:left w:w="0" w:type="dxa"/>
          <w:bottom w:w="0" w:type="dxa"/>
          <w:right w:w="0" w:type="dxa"/>
        </w:tblCellMar>
      </w:tblP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64"/>
        </w:trPr>
        <w:tc>
          <w:tcPr>
            <w:tcW w:w="5300" w:type="dxa"/>
            <w:vAlign w:val="bottom"/>
          </w:tcPr>
          <w:p>
            <w:pPr>
              <w:spacing w:after="0"/>
              <w:rPr>
                <w:sz w:val="20"/>
                <w:szCs w:val="20"/>
                <w:color w:val="auto"/>
              </w:rPr>
            </w:pPr>
            <w:r>
              <w:rPr>
                <w:rFonts w:ascii="Arial" w:cs="Arial" w:eastAsia="Arial" w:hAnsi="Arial"/>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w:t>
            </w:r>
          </w:p>
        </w:tc>
      </w:tr>
    </w:tbl>
    <w:p>
      <w:pPr>
        <w:spacing w:after="0" w:line="296" w:lineRule="exact"/>
        <w:rPr>
          <w:sz w:val="20"/>
          <w:szCs w:val="20"/>
          <w:color w:val="auto"/>
        </w:rPr>
      </w:pPr>
    </w:p>
    <w:p>
      <w:pPr>
        <w:ind w:left="900" w:hanging="604"/>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6008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66008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580" w:type="dxa"/>
            <w:vAlign w:val="bottom"/>
          </w:tcPr>
          <w:p>
            <w:pPr>
              <w:spacing w:after="0"/>
              <w:rPr>
                <w:sz w:val="20"/>
                <w:szCs w:val="20"/>
                <w:color w:val="auto"/>
              </w:rPr>
            </w:pPr>
            <w:r>
              <w:rPr>
                <w:rFonts w:ascii="Arial" w:cs="Arial" w:eastAsia="Arial" w:hAnsi="Arial"/>
                <w:sz w:val="18"/>
                <w:szCs w:val="18"/>
                <w:color w:val="auto"/>
              </w:rPr>
              <w:t>Number of</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4,843,110</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r>
              <w:rPr>
                <w:rFonts w:ascii="Arial" w:cs="Arial" w:eastAsia="Arial" w:hAnsi="Arial"/>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Each</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8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4,843,110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960" w:right="5480" w:hanging="583"/>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4,843,110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65665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26" w:lineRule="exact"/>
        <w:rPr>
          <w:sz w:val="20"/>
          <w:szCs w:val="20"/>
          <w:color w:val="auto"/>
        </w:rPr>
      </w:pPr>
    </w:p>
    <w:p>
      <w:pPr>
        <w:ind w:left="960" w:right="5140" w:hanging="583"/>
        <w:spacing w:after="0" w:line="239" w:lineRule="exact"/>
        <w:tabs>
          <w:tab w:leader="none" w:pos="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w:t>
      </w:r>
    </w:p>
    <w:p>
      <w:pPr>
        <w:spacing w:after="0" w:line="310" w:lineRule="exact"/>
        <w:rPr>
          <w:rFonts w:ascii="Arial" w:cs="Arial" w:eastAsia="Arial" w:hAnsi="Arial"/>
          <w:sz w:val="18"/>
          <w:szCs w:val="18"/>
          <w:color w:val="auto"/>
        </w:rPr>
      </w:pPr>
    </w:p>
    <w:p>
      <w:pPr>
        <w:ind w:left="960" w:right="6620" w:hanging="583"/>
        <w:spacing w:after="0" w:line="277" w:lineRule="auto"/>
        <w:tabs>
          <w:tab w:leader="none" w:pos="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Percent of Class Represented by Amount in Row 9 7.4%*</w:t>
      </w:r>
    </w:p>
    <w:p>
      <w:pPr>
        <w:spacing w:after="0" w:line="278" w:lineRule="exact"/>
        <w:rPr>
          <w:rFonts w:ascii="Arial" w:cs="Arial" w:eastAsia="Arial" w:hAnsi="Arial"/>
          <w:sz w:val="18"/>
          <w:szCs w:val="18"/>
          <w:color w:val="auto"/>
        </w:rPr>
      </w:pPr>
    </w:p>
    <w:p>
      <w:pPr>
        <w:ind w:left="960" w:hanging="583"/>
        <w:spacing w:after="0"/>
        <w:tabs>
          <w:tab w:leader="none" w:pos="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4" w:lineRule="exact"/>
        <w:rPr>
          <w:rFonts w:ascii="Arial" w:cs="Arial" w:eastAsia="Arial" w:hAnsi="Arial"/>
          <w:sz w:val="18"/>
          <w:szCs w:val="18"/>
          <w:color w:val="auto"/>
        </w:rPr>
      </w:pPr>
    </w:p>
    <w:p>
      <w:pPr>
        <w:ind w:right="2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65,224,500 shares of Common Stock outstanding as of December 23,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-439420</wp:posOffset>
            </wp:positionV>
            <wp:extent cx="65665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-919480</wp:posOffset>
            </wp:positionV>
            <wp:extent cx="65665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-1399540</wp:posOffset>
            </wp:positionV>
            <wp:extent cx="65665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9" w:name="page10"/>
    <w:bookmarkEnd w:id="9"/>
    <w:p>
      <w:pPr>
        <w:ind w:left="60"/>
        <w:spacing w:after="0"/>
        <w:tabs>
          <w:tab w:leader="none" w:pos="80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708062104</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right="7980" w:hanging="604"/>
        <w:spacing w:after="0" w:line="34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Names of Reporting Persons Ares Management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-48895</wp:posOffset>
            </wp:positionV>
            <wp:extent cx="66008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12" w:lineRule="exact"/>
        <w:rPr>
          <w:sz w:val="20"/>
          <w:szCs w:val="20"/>
          <w:color w:val="auto"/>
        </w:rPr>
      </w:pPr>
    </w:p>
    <w:p>
      <w:pPr>
        <w:ind w:left="900" w:hanging="604"/>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0" w:lineRule="exact"/>
        <w:rPr>
          <w:sz w:val="20"/>
          <w:szCs w:val="20"/>
          <w:color w:val="auto"/>
        </w:rPr>
      </w:pPr>
    </w:p>
    <w:tbl>
      <w:tblPr>
        <w:tblLayout w:type="fixed"/>
        <w:tblInd w:w="900" w:type="dxa"/>
        <w:tblCellMar>
          <w:top w:w="0" w:type="dxa"/>
          <w:left w:w="0" w:type="dxa"/>
          <w:bottom w:w="0" w:type="dxa"/>
          <w:right w:w="0" w:type="dxa"/>
        </w:tblCellMar>
      </w:tblP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w:t>
            </w:r>
          </w:p>
        </w:tc>
      </w:tr>
    </w:tbl>
    <w:p>
      <w:pPr>
        <w:spacing w:after="0" w:line="296" w:lineRule="exact"/>
        <w:rPr>
          <w:sz w:val="20"/>
          <w:szCs w:val="20"/>
          <w:color w:val="auto"/>
        </w:rPr>
      </w:pPr>
    </w:p>
    <w:p>
      <w:pPr>
        <w:ind w:left="900" w:hanging="604"/>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6008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66008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580" w:type="dxa"/>
            <w:vAlign w:val="bottom"/>
          </w:tcPr>
          <w:p>
            <w:pPr>
              <w:spacing w:after="0"/>
              <w:rPr>
                <w:sz w:val="20"/>
                <w:szCs w:val="20"/>
                <w:color w:val="auto"/>
              </w:rPr>
            </w:pPr>
            <w:r>
              <w:rPr>
                <w:rFonts w:ascii="Arial" w:cs="Arial" w:eastAsia="Arial" w:hAnsi="Arial"/>
                <w:sz w:val="18"/>
                <w:szCs w:val="18"/>
                <w:color w:val="auto"/>
              </w:rPr>
              <w:t>Number of</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4,843,110</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r>
              <w:rPr>
                <w:rFonts w:ascii="Arial" w:cs="Arial" w:eastAsia="Arial" w:hAnsi="Arial"/>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Each</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8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4,843,110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960" w:right="5480" w:hanging="583"/>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4,843,110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65665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26" w:lineRule="exact"/>
        <w:rPr>
          <w:sz w:val="20"/>
          <w:szCs w:val="20"/>
          <w:color w:val="auto"/>
        </w:rPr>
      </w:pPr>
    </w:p>
    <w:p>
      <w:pPr>
        <w:ind w:left="960" w:right="5140" w:hanging="583"/>
        <w:spacing w:after="0" w:line="239" w:lineRule="exact"/>
        <w:tabs>
          <w:tab w:leader="none" w:pos="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w:t>
      </w:r>
    </w:p>
    <w:p>
      <w:pPr>
        <w:spacing w:after="0" w:line="310" w:lineRule="exact"/>
        <w:rPr>
          <w:rFonts w:ascii="Arial" w:cs="Arial" w:eastAsia="Arial" w:hAnsi="Arial"/>
          <w:sz w:val="18"/>
          <w:szCs w:val="18"/>
          <w:color w:val="auto"/>
        </w:rPr>
      </w:pPr>
    </w:p>
    <w:p>
      <w:pPr>
        <w:ind w:left="960" w:right="6620" w:hanging="583"/>
        <w:spacing w:after="0" w:line="277" w:lineRule="auto"/>
        <w:tabs>
          <w:tab w:leader="none" w:pos="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Percent of Class Represented by Amount in Row 9 7.4%*</w:t>
      </w:r>
    </w:p>
    <w:p>
      <w:pPr>
        <w:spacing w:after="0" w:line="278" w:lineRule="exact"/>
        <w:rPr>
          <w:rFonts w:ascii="Arial" w:cs="Arial" w:eastAsia="Arial" w:hAnsi="Arial"/>
          <w:sz w:val="18"/>
          <w:szCs w:val="18"/>
          <w:color w:val="auto"/>
        </w:rPr>
      </w:pPr>
    </w:p>
    <w:p>
      <w:pPr>
        <w:ind w:left="960" w:hanging="583"/>
        <w:spacing w:after="0"/>
        <w:tabs>
          <w:tab w:leader="none" w:pos="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24" w:lineRule="exact"/>
        <w:rPr>
          <w:rFonts w:ascii="Arial" w:cs="Arial" w:eastAsia="Arial" w:hAnsi="Arial"/>
          <w:sz w:val="18"/>
          <w:szCs w:val="18"/>
          <w:color w:val="auto"/>
        </w:rPr>
      </w:pPr>
    </w:p>
    <w:p>
      <w:pPr>
        <w:ind w:right="2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65,224,500 shares of Common Stock outstanding as of December 23,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-439420</wp:posOffset>
            </wp:positionV>
            <wp:extent cx="65665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-919480</wp:posOffset>
            </wp:positionV>
            <wp:extent cx="65665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-1399540</wp:posOffset>
            </wp:positionV>
            <wp:extent cx="65665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0" w:name="page11"/>
    <w:bookmarkEnd w:id="10"/>
    <w:p>
      <w:pPr>
        <w:ind w:left="60"/>
        <w:spacing w:after="0"/>
        <w:tabs>
          <w:tab w:leader="none" w:pos="80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708062104</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right="8280" w:hanging="604"/>
        <w:spacing w:after="0" w:line="308"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Names of Reporting Persons Ares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-34290</wp:posOffset>
            </wp:positionV>
            <wp:extent cx="66008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34" w:lineRule="exact"/>
        <w:rPr>
          <w:sz w:val="20"/>
          <w:szCs w:val="20"/>
          <w:color w:val="auto"/>
        </w:rPr>
      </w:pPr>
    </w:p>
    <w:p>
      <w:pPr>
        <w:ind w:left="900" w:hanging="604"/>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0" w:lineRule="exact"/>
        <w:rPr>
          <w:sz w:val="20"/>
          <w:szCs w:val="20"/>
          <w:color w:val="auto"/>
        </w:rPr>
      </w:pPr>
    </w:p>
    <w:tbl>
      <w:tblPr>
        <w:tblLayout w:type="fixed"/>
        <w:tblInd w:w="900" w:type="dxa"/>
        <w:tblCellMar>
          <w:top w:w="0" w:type="dxa"/>
          <w:left w:w="0" w:type="dxa"/>
          <w:bottom w:w="0" w:type="dxa"/>
          <w:right w:w="0" w:type="dxa"/>
        </w:tblCellMar>
      </w:tblP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w:t>
            </w:r>
          </w:p>
        </w:tc>
      </w:tr>
    </w:tbl>
    <w:p>
      <w:pPr>
        <w:spacing w:after="0" w:line="296" w:lineRule="exact"/>
        <w:rPr>
          <w:sz w:val="20"/>
          <w:szCs w:val="20"/>
          <w:color w:val="auto"/>
        </w:rPr>
      </w:pPr>
    </w:p>
    <w:p>
      <w:pPr>
        <w:ind w:left="900" w:hanging="604"/>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6008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66008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580" w:type="dxa"/>
            <w:vAlign w:val="bottom"/>
          </w:tcPr>
          <w:p>
            <w:pPr>
              <w:spacing w:after="0"/>
              <w:rPr>
                <w:sz w:val="20"/>
                <w:szCs w:val="20"/>
                <w:color w:val="auto"/>
              </w:rPr>
            </w:pPr>
            <w:r>
              <w:rPr>
                <w:rFonts w:ascii="Arial" w:cs="Arial" w:eastAsia="Arial" w:hAnsi="Arial"/>
                <w:sz w:val="18"/>
                <w:szCs w:val="18"/>
                <w:color w:val="auto"/>
              </w:rPr>
              <w:t>Number of</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4,843,110</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r>
              <w:rPr>
                <w:rFonts w:ascii="Arial" w:cs="Arial" w:eastAsia="Arial" w:hAnsi="Arial"/>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Each</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8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4,843,110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960" w:right="5480" w:hanging="583"/>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4,843,110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65665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26" w:lineRule="exact"/>
        <w:rPr>
          <w:sz w:val="20"/>
          <w:szCs w:val="20"/>
          <w:color w:val="auto"/>
        </w:rPr>
      </w:pPr>
    </w:p>
    <w:p>
      <w:pPr>
        <w:ind w:left="960" w:right="5140" w:hanging="583"/>
        <w:spacing w:after="0" w:line="239" w:lineRule="exact"/>
        <w:tabs>
          <w:tab w:leader="none" w:pos="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w:t>
      </w:r>
    </w:p>
    <w:p>
      <w:pPr>
        <w:spacing w:after="0" w:line="310" w:lineRule="exact"/>
        <w:rPr>
          <w:rFonts w:ascii="Arial" w:cs="Arial" w:eastAsia="Arial" w:hAnsi="Arial"/>
          <w:sz w:val="18"/>
          <w:szCs w:val="18"/>
          <w:color w:val="auto"/>
        </w:rPr>
      </w:pPr>
    </w:p>
    <w:p>
      <w:pPr>
        <w:ind w:left="960" w:right="6620" w:hanging="583"/>
        <w:spacing w:after="0" w:line="277" w:lineRule="auto"/>
        <w:tabs>
          <w:tab w:leader="none" w:pos="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Percent of Class Represented by Amount in Row 9 7.4%*</w:t>
      </w:r>
    </w:p>
    <w:p>
      <w:pPr>
        <w:spacing w:after="0" w:line="278" w:lineRule="exact"/>
        <w:rPr>
          <w:rFonts w:ascii="Arial" w:cs="Arial" w:eastAsia="Arial" w:hAnsi="Arial"/>
          <w:sz w:val="18"/>
          <w:szCs w:val="18"/>
          <w:color w:val="auto"/>
        </w:rPr>
      </w:pPr>
    </w:p>
    <w:p>
      <w:pPr>
        <w:ind w:left="960" w:hanging="583"/>
        <w:spacing w:after="0"/>
        <w:tabs>
          <w:tab w:leader="none" w:pos="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4" w:lineRule="exact"/>
        <w:rPr>
          <w:rFonts w:ascii="Arial" w:cs="Arial" w:eastAsia="Arial" w:hAnsi="Arial"/>
          <w:sz w:val="18"/>
          <w:szCs w:val="18"/>
          <w:color w:val="auto"/>
        </w:rPr>
      </w:pPr>
    </w:p>
    <w:p>
      <w:pPr>
        <w:ind w:right="2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65,224,500 shares of Common Stock outstanding as of December 23,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-439420</wp:posOffset>
            </wp:positionV>
            <wp:extent cx="65665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-919480</wp:posOffset>
            </wp:positionV>
            <wp:extent cx="65665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-1399540</wp:posOffset>
            </wp:positionV>
            <wp:extent cx="65665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1" w:name="page12"/>
    <w:bookmarkEnd w:id="11"/>
    <w:p>
      <w:pPr>
        <w:ind w:left="60"/>
        <w:spacing w:after="0"/>
        <w:tabs>
          <w:tab w:leader="none" w:pos="80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708062104</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right="8100" w:hanging="604"/>
        <w:spacing w:after="0" w:line="34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Names of Reporting Persons Ares Management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-48895</wp:posOffset>
            </wp:positionV>
            <wp:extent cx="66008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12" w:lineRule="exact"/>
        <w:rPr>
          <w:sz w:val="20"/>
          <w:szCs w:val="20"/>
          <w:color w:val="auto"/>
        </w:rPr>
      </w:pPr>
    </w:p>
    <w:p>
      <w:pPr>
        <w:ind w:left="900" w:hanging="604"/>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0" w:lineRule="exact"/>
        <w:rPr>
          <w:sz w:val="20"/>
          <w:szCs w:val="20"/>
          <w:color w:val="auto"/>
        </w:rPr>
      </w:pPr>
    </w:p>
    <w:tbl>
      <w:tblPr>
        <w:tblLayout w:type="fixed"/>
        <w:tblInd w:w="900" w:type="dxa"/>
        <w:tblCellMar>
          <w:top w:w="0" w:type="dxa"/>
          <w:left w:w="0" w:type="dxa"/>
          <w:bottom w:w="0" w:type="dxa"/>
          <w:right w:w="0" w:type="dxa"/>
        </w:tblCellMar>
      </w:tblP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64"/>
        </w:trPr>
        <w:tc>
          <w:tcPr>
            <w:tcW w:w="5300" w:type="dxa"/>
            <w:vAlign w:val="bottom"/>
          </w:tcPr>
          <w:p>
            <w:pPr>
              <w:spacing w:after="0"/>
              <w:rPr>
                <w:sz w:val="20"/>
                <w:szCs w:val="20"/>
                <w:color w:val="auto"/>
              </w:rPr>
            </w:pPr>
            <w:r>
              <w:rPr>
                <w:rFonts w:ascii="Arial" w:cs="Arial" w:eastAsia="Arial" w:hAnsi="Arial"/>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w:t>
            </w:r>
          </w:p>
        </w:tc>
      </w:tr>
    </w:tbl>
    <w:p>
      <w:pPr>
        <w:spacing w:after="0" w:line="296" w:lineRule="exact"/>
        <w:rPr>
          <w:sz w:val="20"/>
          <w:szCs w:val="20"/>
          <w:color w:val="auto"/>
        </w:rPr>
      </w:pPr>
    </w:p>
    <w:p>
      <w:pPr>
        <w:ind w:left="900" w:hanging="604"/>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6008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66008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580" w:type="dxa"/>
            <w:vAlign w:val="bottom"/>
          </w:tcPr>
          <w:p>
            <w:pPr>
              <w:spacing w:after="0"/>
              <w:rPr>
                <w:sz w:val="20"/>
                <w:szCs w:val="20"/>
                <w:color w:val="auto"/>
              </w:rPr>
            </w:pPr>
            <w:r>
              <w:rPr>
                <w:rFonts w:ascii="Arial" w:cs="Arial" w:eastAsia="Arial" w:hAnsi="Arial"/>
                <w:sz w:val="18"/>
                <w:szCs w:val="18"/>
                <w:color w:val="auto"/>
              </w:rPr>
              <w:t>Number of</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4,843,110</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r>
              <w:rPr>
                <w:rFonts w:ascii="Arial" w:cs="Arial" w:eastAsia="Arial" w:hAnsi="Arial"/>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Each</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8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4,843,110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960" w:right="5480" w:hanging="583"/>
        <w:spacing w:after="0" w:line="277"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4,843,110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65665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26" w:lineRule="exact"/>
        <w:rPr>
          <w:sz w:val="20"/>
          <w:szCs w:val="20"/>
          <w:color w:val="auto"/>
        </w:rPr>
      </w:pPr>
    </w:p>
    <w:p>
      <w:pPr>
        <w:ind w:left="960" w:right="5140" w:hanging="583"/>
        <w:spacing w:after="0" w:line="239" w:lineRule="exact"/>
        <w:tabs>
          <w:tab w:leader="none" w:pos="9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w:t>
      </w:r>
    </w:p>
    <w:p>
      <w:pPr>
        <w:spacing w:after="0" w:line="310" w:lineRule="exact"/>
        <w:rPr>
          <w:rFonts w:ascii="Arial" w:cs="Arial" w:eastAsia="Arial" w:hAnsi="Arial"/>
          <w:sz w:val="18"/>
          <w:szCs w:val="18"/>
          <w:color w:val="auto"/>
        </w:rPr>
      </w:pPr>
    </w:p>
    <w:p>
      <w:pPr>
        <w:ind w:left="960" w:right="6620" w:hanging="583"/>
        <w:spacing w:after="0" w:line="277" w:lineRule="auto"/>
        <w:tabs>
          <w:tab w:leader="none" w:pos="9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Percent of Class Represented by Amount in Row 9 7.4%*</w:t>
      </w:r>
    </w:p>
    <w:p>
      <w:pPr>
        <w:spacing w:after="0" w:line="278" w:lineRule="exact"/>
        <w:rPr>
          <w:rFonts w:ascii="Arial" w:cs="Arial" w:eastAsia="Arial" w:hAnsi="Arial"/>
          <w:sz w:val="18"/>
          <w:szCs w:val="18"/>
          <w:color w:val="auto"/>
        </w:rPr>
      </w:pPr>
    </w:p>
    <w:p>
      <w:pPr>
        <w:ind w:left="960" w:hanging="583"/>
        <w:spacing w:after="0"/>
        <w:tabs>
          <w:tab w:leader="none" w:pos="9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24" w:lineRule="exact"/>
        <w:rPr>
          <w:rFonts w:ascii="Arial" w:cs="Arial" w:eastAsia="Arial" w:hAnsi="Arial"/>
          <w:sz w:val="18"/>
          <w:szCs w:val="18"/>
          <w:color w:val="auto"/>
        </w:rPr>
      </w:pPr>
    </w:p>
    <w:p>
      <w:pPr>
        <w:ind w:right="2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65,224,500 shares of Common Stock outstanding as of December 23,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-439420</wp:posOffset>
            </wp:positionV>
            <wp:extent cx="65665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-919480</wp:posOffset>
            </wp:positionV>
            <wp:extent cx="65665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-1399540</wp:posOffset>
            </wp:positionV>
            <wp:extent cx="65665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2" w:name="page13"/>
    <w:bookmarkEnd w:id="12"/>
    <w:p>
      <w:pPr>
        <w:ind w:left="60"/>
        <w:spacing w:after="0"/>
        <w:tabs>
          <w:tab w:leader="none" w:pos="80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708062104</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right="8280" w:hanging="604"/>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Names of Reporting Persons Ares Voting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66008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58" w:lineRule="exact"/>
        <w:rPr>
          <w:sz w:val="20"/>
          <w:szCs w:val="20"/>
          <w:color w:val="auto"/>
        </w:rPr>
      </w:pPr>
    </w:p>
    <w:p>
      <w:pPr>
        <w:ind w:left="900" w:hanging="604"/>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0" w:lineRule="exact"/>
        <w:rPr>
          <w:sz w:val="20"/>
          <w:szCs w:val="20"/>
          <w:color w:val="auto"/>
        </w:rPr>
      </w:pPr>
    </w:p>
    <w:tbl>
      <w:tblPr>
        <w:tblLayout w:type="fixed"/>
        <w:tblInd w:w="900" w:type="dxa"/>
        <w:tblCellMar>
          <w:top w:w="0" w:type="dxa"/>
          <w:left w:w="0" w:type="dxa"/>
          <w:bottom w:w="0" w:type="dxa"/>
          <w:right w:w="0" w:type="dxa"/>
        </w:tblCellMar>
      </w:tblP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64"/>
        </w:trPr>
        <w:tc>
          <w:tcPr>
            <w:tcW w:w="5300" w:type="dxa"/>
            <w:vAlign w:val="bottom"/>
          </w:tcPr>
          <w:p>
            <w:pPr>
              <w:spacing w:after="0"/>
              <w:rPr>
                <w:sz w:val="20"/>
                <w:szCs w:val="20"/>
                <w:color w:val="auto"/>
              </w:rPr>
            </w:pPr>
            <w:r>
              <w:rPr>
                <w:rFonts w:ascii="Arial" w:cs="Arial" w:eastAsia="Arial" w:hAnsi="Arial"/>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w:t>
            </w:r>
          </w:p>
        </w:tc>
      </w:tr>
    </w:tbl>
    <w:p>
      <w:pPr>
        <w:spacing w:after="0" w:line="296" w:lineRule="exact"/>
        <w:rPr>
          <w:sz w:val="20"/>
          <w:szCs w:val="20"/>
          <w:color w:val="auto"/>
        </w:rPr>
      </w:pPr>
    </w:p>
    <w:p>
      <w:pPr>
        <w:ind w:left="900" w:hanging="604"/>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6008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66008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580" w:type="dxa"/>
            <w:vAlign w:val="bottom"/>
          </w:tcPr>
          <w:p>
            <w:pPr>
              <w:spacing w:after="0"/>
              <w:rPr>
                <w:sz w:val="20"/>
                <w:szCs w:val="20"/>
                <w:color w:val="auto"/>
              </w:rPr>
            </w:pPr>
            <w:r>
              <w:rPr>
                <w:rFonts w:ascii="Arial" w:cs="Arial" w:eastAsia="Arial" w:hAnsi="Arial"/>
                <w:sz w:val="18"/>
                <w:szCs w:val="18"/>
                <w:color w:val="auto"/>
              </w:rPr>
              <w:t>Number of</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4,843,110</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r>
              <w:rPr>
                <w:rFonts w:ascii="Arial" w:cs="Arial" w:eastAsia="Arial" w:hAnsi="Arial"/>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Each</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8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4,843,110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960" w:right="5480" w:hanging="583"/>
        <w:spacing w:after="0" w:line="277"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4,843,110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65665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26" w:lineRule="exact"/>
        <w:rPr>
          <w:sz w:val="20"/>
          <w:szCs w:val="20"/>
          <w:color w:val="auto"/>
        </w:rPr>
      </w:pPr>
    </w:p>
    <w:p>
      <w:pPr>
        <w:ind w:left="960" w:right="5140" w:hanging="583"/>
        <w:spacing w:after="0" w:line="239" w:lineRule="exact"/>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w:t>
      </w:r>
    </w:p>
    <w:p>
      <w:pPr>
        <w:spacing w:after="0" w:line="310" w:lineRule="exact"/>
        <w:rPr>
          <w:rFonts w:ascii="Arial" w:cs="Arial" w:eastAsia="Arial" w:hAnsi="Arial"/>
          <w:sz w:val="18"/>
          <w:szCs w:val="18"/>
          <w:color w:val="auto"/>
        </w:rPr>
      </w:pPr>
    </w:p>
    <w:p>
      <w:pPr>
        <w:ind w:left="960" w:right="6620" w:hanging="583"/>
        <w:spacing w:after="0" w:line="277" w:lineRule="auto"/>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Percent of Class Represented by Amount in Row 9 7.4%*</w:t>
      </w:r>
    </w:p>
    <w:p>
      <w:pPr>
        <w:spacing w:after="0" w:line="278" w:lineRule="exact"/>
        <w:rPr>
          <w:rFonts w:ascii="Arial" w:cs="Arial" w:eastAsia="Arial" w:hAnsi="Arial"/>
          <w:sz w:val="18"/>
          <w:szCs w:val="18"/>
          <w:color w:val="auto"/>
        </w:rPr>
      </w:pPr>
    </w:p>
    <w:p>
      <w:pPr>
        <w:ind w:left="960" w:hanging="583"/>
        <w:spacing w:after="0"/>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4" w:lineRule="exact"/>
        <w:rPr>
          <w:rFonts w:ascii="Arial" w:cs="Arial" w:eastAsia="Arial" w:hAnsi="Arial"/>
          <w:sz w:val="18"/>
          <w:szCs w:val="18"/>
          <w:color w:val="auto"/>
        </w:rPr>
      </w:pPr>
    </w:p>
    <w:p>
      <w:pPr>
        <w:ind w:right="2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65,224,500 shares of Common Stock outstanding as of December 23,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-439420</wp:posOffset>
            </wp:positionV>
            <wp:extent cx="65665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-919480</wp:posOffset>
            </wp:positionV>
            <wp:extent cx="65665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-1399540</wp:posOffset>
            </wp:positionV>
            <wp:extent cx="65665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3" w:name="page14"/>
    <w:bookmarkEnd w:id="13"/>
    <w:p>
      <w:pPr>
        <w:ind w:left="60"/>
        <w:spacing w:after="0"/>
        <w:tabs>
          <w:tab w:leader="none" w:pos="80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708062104</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right="8280" w:hanging="604"/>
        <w:spacing w:after="0" w:line="34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Names of Reporting Persons Ares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-48895</wp:posOffset>
            </wp:positionV>
            <wp:extent cx="66008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12" w:lineRule="exact"/>
        <w:rPr>
          <w:sz w:val="20"/>
          <w:szCs w:val="20"/>
          <w:color w:val="auto"/>
        </w:rPr>
      </w:pPr>
    </w:p>
    <w:p>
      <w:pPr>
        <w:ind w:left="900" w:hanging="604"/>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0" w:lineRule="exact"/>
        <w:rPr>
          <w:sz w:val="20"/>
          <w:szCs w:val="20"/>
          <w:color w:val="auto"/>
        </w:rPr>
      </w:pPr>
    </w:p>
    <w:tbl>
      <w:tblPr>
        <w:tblLayout w:type="fixed"/>
        <w:tblInd w:w="900" w:type="dxa"/>
        <w:tblCellMar>
          <w:top w:w="0" w:type="dxa"/>
          <w:left w:w="0" w:type="dxa"/>
          <w:bottom w:w="0" w:type="dxa"/>
          <w:right w:w="0" w:type="dxa"/>
        </w:tblCellMar>
      </w:tblP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64"/>
        </w:trPr>
        <w:tc>
          <w:tcPr>
            <w:tcW w:w="5300" w:type="dxa"/>
            <w:vAlign w:val="bottom"/>
          </w:tcPr>
          <w:p>
            <w:pPr>
              <w:spacing w:after="0"/>
              <w:rPr>
                <w:sz w:val="20"/>
                <w:szCs w:val="20"/>
                <w:color w:val="auto"/>
              </w:rPr>
            </w:pPr>
            <w:r>
              <w:rPr>
                <w:rFonts w:ascii="Arial" w:cs="Arial" w:eastAsia="Arial" w:hAnsi="Arial"/>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w:t>
            </w:r>
          </w:p>
        </w:tc>
      </w:tr>
    </w:tbl>
    <w:p>
      <w:pPr>
        <w:spacing w:after="0" w:line="296" w:lineRule="exact"/>
        <w:rPr>
          <w:sz w:val="20"/>
          <w:szCs w:val="20"/>
          <w:color w:val="auto"/>
        </w:rPr>
      </w:pPr>
    </w:p>
    <w:p>
      <w:pPr>
        <w:ind w:left="900" w:hanging="604"/>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6008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66008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580" w:type="dxa"/>
            <w:vAlign w:val="bottom"/>
          </w:tcPr>
          <w:p>
            <w:pPr>
              <w:spacing w:after="0"/>
              <w:rPr>
                <w:sz w:val="20"/>
                <w:szCs w:val="20"/>
                <w:color w:val="auto"/>
              </w:rPr>
            </w:pPr>
            <w:r>
              <w:rPr>
                <w:rFonts w:ascii="Arial" w:cs="Arial" w:eastAsia="Arial" w:hAnsi="Arial"/>
                <w:sz w:val="18"/>
                <w:szCs w:val="18"/>
                <w:color w:val="auto"/>
              </w:rPr>
              <w:t>Number of</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4,843,110</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r>
              <w:rPr>
                <w:rFonts w:ascii="Arial" w:cs="Arial" w:eastAsia="Arial" w:hAnsi="Arial"/>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Each</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8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4,843,110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960" w:right="5480" w:hanging="583"/>
        <w:spacing w:after="0" w:line="277"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4,843,110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65665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26" w:lineRule="exact"/>
        <w:rPr>
          <w:sz w:val="20"/>
          <w:szCs w:val="20"/>
          <w:color w:val="auto"/>
        </w:rPr>
      </w:pPr>
    </w:p>
    <w:p>
      <w:pPr>
        <w:ind w:left="960" w:right="5140" w:hanging="583"/>
        <w:spacing w:after="0" w:line="239" w:lineRule="exact"/>
        <w:tabs>
          <w:tab w:leader="none" w:pos="9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w:t>
      </w:r>
    </w:p>
    <w:p>
      <w:pPr>
        <w:spacing w:after="0" w:line="310" w:lineRule="exact"/>
        <w:rPr>
          <w:rFonts w:ascii="Arial" w:cs="Arial" w:eastAsia="Arial" w:hAnsi="Arial"/>
          <w:sz w:val="18"/>
          <w:szCs w:val="18"/>
          <w:color w:val="auto"/>
        </w:rPr>
      </w:pPr>
    </w:p>
    <w:p>
      <w:pPr>
        <w:ind w:left="960" w:right="6620" w:hanging="583"/>
        <w:spacing w:after="0" w:line="277" w:lineRule="auto"/>
        <w:tabs>
          <w:tab w:leader="none" w:pos="9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Percent of Class Represented by Amount in Row 9 7.4%*</w:t>
      </w:r>
    </w:p>
    <w:p>
      <w:pPr>
        <w:spacing w:after="0" w:line="278" w:lineRule="exact"/>
        <w:rPr>
          <w:rFonts w:ascii="Arial" w:cs="Arial" w:eastAsia="Arial" w:hAnsi="Arial"/>
          <w:sz w:val="18"/>
          <w:szCs w:val="18"/>
          <w:color w:val="auto"/>
        </w:rPr>
      </w:pPr>
    </w:p>
    <w:p>
      <w:pPr>
        <w:ind w:left="960" w:hanging="583"/>
        <w:spacing w:after="0"/>
        <w:tabs>
          <w:tab w:leader="none" w:pos="9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4" w:lineRule="exact"/>
        <w:rPr>
          <w:rFonts w:ascii="Arial" w:cs="Arial" w:eastAsia="Arial" w:hAnsi="Arial"/>
          <w:sz w:val="18"/>
          <w:szCs w:val="18"/>
          <w:color w:val="auto"/>
        </w:rPr>
      </w:pPr>
    </w:p>
    <w:p>
      <w:pPr>
        <w:ind w:right="2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65,224,500 shares of Common Stock outstanding as of December 23,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-439420</wp:posOffset>
            </wp:positionV>
            <wp:extent cx="65665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-919480</wp:posOffset>
            </wp:positionV>
            <wp:extent cx="65665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-1399540</wp:posOffset>
            </wp:positionV>
            <wp:extent cx="65665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4" w:name="page15"/>
    <w:bookmarkEnd w:id="14"/>
    <w:p>
      <w:pPr>
        <w:ind w:left="60"/>
        <w:spacing w:after="0"/>
        <w:tabs>
          <w:tab w:leader="none" w:pos="80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708062104</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right="8280" w:hanging="604"/>
        <w:spacing w:after="0" w:line="34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Names of Reporting Persons 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-48895</wp:posOffset>
            </wp:positionV>
            <wp:extent cx="66008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12" w:lineRule="exact"/>
        <w:rPr>
          <w:sz w:val="20"/>
          <w:szCs w:val="20"/>
          <w:color w:val="auto"/>
        </w:rPr>
      </w:pPr>
    </w:p>
    <w:p>
      <w:pPr>
        <w:ind w:left="900" w:hanging="604"/>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0" w:lineRule="exact"/>
        <w:rPr>
          <w:sz w:val="20"/>
          <w:szCs w:val="20"/>
          <w:color w:val="auto"/>
        </w:rPr>
      </w:pPr>
    </w:p>
    <w:tbl>
      <w:tblPr>
        <w:tblLayout w:type="fixed"/>
        <w:tblInd w:w="900" w:type="dxa"/>
        <w:tblCellMar>
          <w:top w:w="0" w:type="dxa"/>
          <w:left w:w="0" w:type="dxa"/>
          <w:bottom w:w="0" w:type="dxa"/>
          <w:right w:w="0" w:type="dxa"/>
        </w:tblCellMar>
      </w:tblPr>
      <w:tr>
        <w:trPr>
          <w:trHeight w:val="263"/>
        </w:trPr>
        <w:tc>
          <w:tcPr>
            <w:tcW w:w="5300" w:type="dxa"/>
            <w:vAlign w:val="bottom"/>
          </w:tcPr>
          <w:p>
            <w:pPr>
              <w:spacing w:after="0"/>
              <w:rPr>
                <w:sz w:val="20"/>
                <w:szCs w:val="20"/>
                <w:color w:val="auto"/>
              </w:rPr>
            </w:pPr>
            <w:r>
              <w:rPr>
                <w:rFonts w:ascii="Arial" w:cs="Arial" w:eastAsia="Arial" w:hAnsi="Arial"/>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64"/>
        </w:trPr>
        <w:tc>
          <w:tcPr>
            <w:tcW w:w="5300" w:type="dxa"/>
            <w:vAlign w:val="bottom"/>
          </w:tcPr>
          <w:p>
            <w:pPr>
              <w:spacing w:after="0"/>
              <w:rPr>
                <w:sz w:val="20"/>
                <w:szCs w:val="20"/>
                <w:color w:val="auto"/>
              </w:rPr>
            </w:pPr>
            <w:r>
              <w:rPr>
                <w:rFonts w:ascii="Arial" w:cs="Arial" w:eastAsia="Arial" w:hAnsi="Arial"/>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w:t>
            </w:r>
          </w:p>
        </w:tc>
      </w:tr>
    </w:tbl>
    <w:p>
      <w:pPr>
        <w:spacing w:after="0" w:line="296" w:lineRule="exact"/>
        <w:rPr>
          <w:sz w:val="20"/>
          <w:szCs w:val="20"/>
          <w:color w:val="auto"/>
        </w:rPr>
      </w:pPr>
    </w:p>
    <w:p>
      <w:pPr>
        <w:ind w:left="900" w:hanging="604"/>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6008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66008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580" w:type="dxa"/>
            <w:vAlign w:val="bottom"/>
          </w:tcPr>
          <w:p>
            <w:pPr>
              <w:spacing w:after="0"/>
              <w:rPr>
                <w:sz w:val="20"/>
                <w:szCs w:val="20"/>
                <w:color w:val="auto"/>
              </w:rPr>
            </w:pPr>
            <w:r>
              <w:rPr>
                <w:rFonts w:ascii="Arial" w:cs="Arial" w:eastAsia="Arial" w:hAnsi="Arial"/>
                <w:sz w:val="18"/>
                <w:szCs w:val="18"/>
                <w:color w:val="auto"/>
              </w:rPr>
              <w:t>Number of</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4,843,110</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r>
              <w:rPr>
                <w:rFonts w:ascii="Arial" w:cs="Arial" w:eastAsia="Arial" w:hAnsi="Arial"/>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Each</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8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5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4,843,110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960" w:right="5480" w:hanging="583"/>
        <w:spacing w:after="0" w:line="277"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4,843,110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wp:posOffset>
            </wp:positionV>
            <wp:extent cx="65665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26" w:lineRule="exact"/>
        <w:rPr>
          <w:sz w:val="20"/>
          <w:szCs w:val="20"/>
          <w:color w:val="auto"/>
        </w:rPr>
      </w:pPr>
    </w:p>
    <w:p>
      <w:pPr>
        <w:ind w:left="960" w:right="5140" w:hanging="583"/>
        <w:spacing w:after="0" w:line="239" w:lineRule="exact"/>
        <w:tabs>
          <w:tab w:leader="none" w:pos="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w:t>
      </w:r>
    </w:p>
    <w:p>
      <w:pPr>
        <w:spacing w:after="0" w:line="310" w:lineRule="exact"/>
        <w:rPr>
          <w:rFonts w:ascii="Arial" w:cs="Arial" w:eastAsia="Arial" w:hAnsi="Arial"/>
          <w:sz w:val="18"/>
          <w:szCs w:val="18"/>
          <w:color w:val="auto"/>
        </w:rPr>
      </w:pPr>
    </w:p>
    <w:p>
      <w:pPr>
        <w:ind w:left="960" w:right="6620" w:hanging="583"/>
        <w:spacing w:after="0" w:line="277" w:lineRule="auto"/>
        <w:tabs>
          <w:tab w:leader="none" w:pos="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Percent of Class Represented by Amount in Row 9 7.4%*</w:t>
      </w:r>
    </w:p>
    <w:p>
      <w:pPr>
        <w:spacing w:after="0" w:line="278" w:lineRule="exact"/>
        <w:rPr>
          <w:rFonts w:ascii="Arial" w:cs="Arial" w:eastAsia="Arial" w:hAnsi="Arial"/>
          <w:sz w:val="18"/>
          <w:szCs w:val="18"/>
          <w:color w:val="auto"/>
        </w:rPr>
      </w:pPr>
    </w:p>
    <w:p>
      <w:pPr>
        <w:ind w:left="960" w:hanging="583"/>
        <w:spacing w:after="0"/>
        <w:tabs>
          <w:tab w:leader="none" w:pos="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4" w:lineRule="exact"/>
        <w:rPr>
          <w:rFonts w:ascii="Arial" w:cs="Arial" w:eastAsia="Arial" w:hAnsi="Arial"/>
          <w:sz w:val="18"/>
          <w:szCs w:val="18"/>
          <w:color w:val="auto"/>
        </w:rPr>
      </w:pPr>
    </w:p>
    <w:p>
      <w:pPr>
        <w:ind w:right="2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65,224,500 shares of Common Stock outstanding as of December 23,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-439420</wp:posOffset>
            </wp:positionV>
            <wp:extent cx="65665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-919480</wp:posOffset>
            </wp:positionV>
            <wp:extent cx="65665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-1399540</wp:posOffset>
            </wp:positionV>
            <wp:extent cx="65665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140" w:hanging="457"/>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PennantPark Investment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1140" w:hanging="457"/>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40640</wp:posOffset>
            </wp:positionV>
            <wp:extent cx="64122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-430530</wp:posOffset>
            </wp:positionV>
            <wp:extent cx="64122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140" w:hanging="457"/>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jc w:val="both"/>
        <w:ind w:left="1140"/>
        <w:spacing w:after="0" w:line="271" w:lineRule="auto"/>
        <w:rPr>
          <w:rFonts w:ascii="Arial" w:cs="Arial" w:eastAsia="Arial" w:hAnsi="Arial"/>
          <w:sz w:val="18"/>
          <w:szCs w:val="18"/>
          <w:color w:val="auto"/>
        </w:rPr>
      </w:pPr>
      <w:r>
        <w:rPr>
          <w:rFonts w:ascii="Arial" w:cs="Arial" w:eastAsia="Arial" w:hAnsi="Arial"/>
          <w:sz w:val="17"/>
          <w:szCs w:val="17"/>
          <w:color w:val="auto"/>
        </w:rPr>
        <w:t>Each of the following is hereinafter individually referred to as a “</w:t>
      </w:r>
      <w:r>
        <w:rPr>
          <w:rFonts w:ascii="Arial" w:cs="Arial" w:eastAsia="Arial" w:hAnsi="Arial"/>
          <w:sz w:val="17"/>
          <w:szCs w:val="17"/>
          <w:u w:val="single" w:color="auto"/>
          <w:color w:val="auto"/>
        </w:rPr>
        <w:t>Reporting Person</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This statement is filed on behalf of: Ares Income Opportunity Fund, L.P. (“</w:t>
      </w:r>
      <w:r>
        <w:rPr>
          <w:rFonts w:ascii="Arial" w:cs="Arial" w:eastAsia="Arial" w:hAnsi="Arial"/>
          <w:sz w:val="17"/>
          <w:szCs w:val="17"/>
          <w:u w:val="single" w:color="auto"/>
          <w:color w:val="auto"/>
        </w:rPr>
        <w:t>AIOF</w:t>
      </w:r>
      <w:r>
        <w:rPr>
          <w:rFonts w:ascii="Arial" w:cs="Arial" w:eastAsia="Arial" w:hAnsi="Arial"/>
          <w:sz w:val="17"/>
          <w:szCs w:val="17"/>
          <w:color w:val="auto"/>
        </w:rPr>
        <w:t>”); Ares Multi-Asset Credit Strategies Fund LP (“</w:t>
      </w:r>
      <w:r>
        <w:rPr>
          <w:rFonts w:ascii="Arial" w:cs="Arial" w:eastAsia="Arial" w:hAnsi="Arial"/>
          <w:sz w:val="17"/>
          <w:szCs w:val="17"/>
          <w:u w:val="single" w:color="auto"/>
          <w:color w:val="auto"/>
        </w:rPr>
        <w:t>Ares Multi-Asset Credit</w:t>
      </w:r>
      <w:r>
        <w:rPr>
          <w:rFonts w:ascii="Arial" w:cs="Arial" w:eastAsia="Arial" w:hAnsi="Arial"/>
          <w:sz w:val="17"/>
          <w:szCs w:val="17"/>
          <w:color w:val="auto"/>
        </w:rPr>
        <w:t>”); Ares Capital Management III LLC (“</w:t>
      </w:r>
      <w:r>
        <w:rPr>
          <w:rFonts w:ascii="Arial" w:cs="Arial" w:eastAsia="Arial" w:hAnsi="Arial"/>
          <w:sz w:val="17"/>
          <w:szCs w:val="17"/>
          <w:u w:val="single" w:color="auto"/>
          <w:color w:val="auto"/>
        </w:rPr>
        <w:t>Ares Capital Management III</w:t>
      </w:r>
      <w:r>
        <w:rPr>
          <w:rFonts w:ascii="Arial" w:cs="Arial" w:eastAsia="Arial" w:hAnsi="Arial"/>
          <w:sz w:val="17"/>
          <w:szCs w:val="17"/>
          <w:color w:val="auto"/>
        </w:rPr>
        <w:t>”); Ares Enhanced Credit Opportunities Master Fund II, Ltd. (“</w:t>
      </w:r>
      <w:r>
        <w:rPr>
          <w:rFonts w:ascii="Arial" w:cs="Arial" w:eastAsia="Arial" w:hAnsi="Arial"/>
          <w:sz w:val="17"/>
          <w:szCs w:val="17"/>
          <w:u w:val="single" w:color="auto"/>
          <w:color w:val="auto"/>
        </w:rPr>
        <w:t>Ares ECO</w:t>
      </w:r>
      <w:r>
        <w:rPr>
          <w:rFonts w:ascii="Arial" w:cs="Arial" w:eastAsia="Arial" w:hAnsi="Arial"/>
          <w:sz w:val="17"/>
          <w:szCs w:val="17"/>
          <w:color w:val="auto"/>
        </w:rPr>
        <w:t>”); Ares Enhanced Credit Opportunities Investment Management II, LLC (“</w:t>
      </w:r>
      <w:r>
        <w:rPr>
          <w:rFonts w:ascii="Arial" w:cs="Arial" w:eastAsia="Arial" w:hAnsi="Arial"/>
          <w:sz w:val="17"/>
          <w:szCs w:val="17"/>
          <w:u w:val="single" w:color="auto"/>
          <w:color w:val="auto"/>
        </w:rPr>
        <w:t>Ares ECO Management</w:t>
      </w:r>
      <w:r>
        <w:rPr>
          <w:rFonts w:ascii="Arial" w:cs="Arial" w:eastAsia="Arial" w:hAnsi="Arial"/>
          <w:sz w:val="17"/>
          <w:szCs w:val="17"/>
          <w:color w:val="auto"/>
        </w:rPr>
        <w:t>”); Ares Enhanced Loan Investment Strategy Advisor IV, L.P. (“</w:t>
      </w:r>
      <w:r>
        <w:rPr>
          <w:rFonts w:ascii="Arial" w:cs="Arial" w:eastAsia="Arial" w:hAnsi="Arial"/>
          <w:sz w:val="17"/>
          <w:szCs w:val="17"/>
          <w:u w:val="single" w:color="auto"/>
          <w:color w:val="auto"/>
        </w:rPr>
        <w:t>Ares Enhanced Loan</w:t>
      </w:r>
      <w:r>
        <w:rPr>
          <w:rFonts w:ascii="Arial" w:cs="Arial" w:eastAsia="Arial" w:hAnsi="Arial"/>
          <w:sz w:val="17"/>
          <w:szCs w:val="17"/>
          <w:color w:val="auto"/>
        </w:rPr>
        <w:t>”); Ares Enhanced Loan Investment Strategy Advisor IV GP, LLC (“</w:t>
      </w:r>
      <w:r>
        <w:rPr>
          <w:rFonts w:ascii="Arial" w:cs="Arial" w:eastAsia="Arial" w:hAnsi="Arial"/>
          <w:sz w:val="17"/>
          <w:szCs w:val="17"/>
          <w:u w:val="single" w:color="auto"/>
          <w:color w:val="auto"/>
        </w:rPr>
        <w:t>Ares</w:t>
      </w:r>
      <w:r>
        <w:rPr>
          <w:rFonts w:ascii="Arial" w:cs="Arial" w:eastAsia="Arial" w:hAnsi="Arial"/>
          <w:sz w:val="17"/>
          <w:szCs w:val="17"/>
          <w:color w:val="auto"/>
        </w:rPr>
        <w:t xml:space="preserve"> </w:t>
      </w:r>
      <w:r>
        <w:rPr>
          <w:rFonts w:ascii="Arial" w:cs="Arial" w:eastAsia="Arial" w:hAnsi="Arial"/>
          <w:sz w:val="17"/>
          <w:szCs w:val="17"/>
          <w:u w:val="single" w:color="auto"/>
          <w:color w:val="auto"/>
        </w:rPr>
        <w:t>Enhanced Loan GP</w:t>
      </w:r>
      <w:r>
        <w:rPr>
          <w:rFonts w:ascii="Arial" w:cs="Arial" w:eastAsia="Arial" w:hAnsi="Arial"/>
          <w:sz w:val="17"/>
          <w:szCs w:val="17"/>
          <w:color w:val="auto"/>
        </w:rPr>
        <w:t>”); Ares Management LLC; Ares Management Holdings L.P. (“</w:t>
      </w:r>
      <w:r>
        <w:rPr>
          <w:rFonts w:ascii="Arial" w:cs="Arial" w:eastAsia="Arial" w:hAnsi="Arial"/>
          <w:sz w:val="17"/>
          <w:szCs w:val="17"/>
          <w:u w:val="single" w:color="auto"/>
          <w:color w:val="auto"/>
        </w:rPr>
        <w:t>Ares Management Holdings</w:t>
      </w:r>
      <w:r>
        <w:rPr>
          <w:rFonts w:ascii="Arial" w:cs="Arial" w:eastAsia="Arial" w:hAnsi="Arial"/>
          <w:sz w:val="17"/>
          <w:szCs w:val="17"/>
          <w:color w:val="auto"/>
        </w:rPr>
        <w:t>”); Ares Holdco LLC (“</w:t>
      </w:r>
      <w:r>
        <w:rPr>
          <w:rFonts w:ascii="Arial" w:cs="Arial" w:eastAsia="Arial" w:hAnsi="Arial"/>
          <w:sz w:val="17"/>
          <w:szCs w:val="17"/>
          <w:u w:val="single" w:color="auto"/>
          <w:color w:val="auto"/>
        </w:rPr>
        <w:t>Ares</w:t>
      </w:r>
      <w:r>
        <w:rPr>
          <w:rFonts w:ascii="Arial" w:cs="Arial" w:eastAsia="Arial" w:hAnsi="Arial"/>
          <w:sz w:val="17"/>
          <w:szCs w:val="17"/>
          <w:color w:val="auto"/>
        </w:rPr>
        <w:t xml:space="preserve"> </w:t>
      </w:r>
      <w:r>
        <w:rPr>
          <w:rFonts w:ascii="Arial" w:cs="Arial" w:eastAsia="Arial" w:hAnsi="Arial"/>
          <w:sz w:val="17"/>
          <w:szCs w:val="17"/>
          <w:u w:val="single" w:color="auto"/>
          <w:color w:val="auto"/>
        </w:rPr>
        <w:t>Holdco</w:t>
      </w:r>
      <w:r>
        <w:rPr>
          <w:rFonts w:ascii="Arial" w:cs="Arial" w:eastAsia="Arial" w:hAnsi="Arial"/>
          <w:sz w:val="17"/>
          <w:szCs w:val="17"/>
          <w:color w:val="auto"/>
        </w:rPr>
        <w:t>”); Ares Management Corporation (“</w:t>
      </w:r>
      <w:r>
        <w:rPr>
          <w:rFonts w:ascii="Arial" w:cs="Arial" w:eastAsia="Arial" w:hAnsi="Arial"/>
          <w:sz w:val="17"/>
          <w:szCs w:val="17"/>
          <w:u w:val="single" w:color="auto"/>
          <w:color w:val="auto"/>
        </w:rPr>
        <w:t>Ares Management</w:t>
      </w:r>
      <w:r>
        <w:rPr>
          <w:rFonts w:ascii="Arial" w:cs="Arial" w:eastAsia="Arial" w:hAnsi="Arial"/>
          <w:sz w:val="17"/>
          <w:szCs w:val="17"/>
          <w:color w:val="auto"/>
        </w:rPr>
        <w:t>”); Ares Management GP LLC (“</w:t>
      </w:r>
      <w:r>
        <w:rPr>
          <w:rFonts w:ascii="Arial" w:cs="Arial" w:eastAsia="Arial" w:hAnsi="Arial"/>
          <w:sz w:val="17"/>
          <w:szCs w:val="17"/>
          <w:u w:val="single" w:color="auto"/>
          <w:color w:val="auto"/>
        </w:rPr>
        <w:t>Ares Management GP</w:t>
      </w:r>
      <w:r>
        <w:rPr>
          <w:rFonts w:ascii="Arial" w:cs="Arial" w:eastAsia="Arial" w:hAnsi="Arial"/>
          <w:sz w:val="17"/>
          <w:szCs w:val="17"/>
          <w:color w:val="auto"/>
        </w:rPr>
        <w:t>”); Ares Voting LLC (“</w:t>
      </w:r>
      <w:r>
        <w:rPr>
          <w:rFonts w:ascii="Arial" w:cs="Arial" w:eastAsia="Arial" w:hAnsi="Arial"/>
          <w:sz w:val="17"/>
          <w:szCs w:val="17"/>
          <w:u w:val="single" w:color="auto"/>
          <w:color w:val="auto"/>
        </w:rPr>
        <w:t>Ares Voting</w:t>
      </w:r>
      <w:r>
        <w:rPr>
          <w:rFonts w:ascii="Arial" w:cs="Arial" w:eastAsia="Arial" w:hAnsi="Arial"/>
          <w:sz w:val="17"/>
          <w:szCs w:val="17"/>
          <w:color w:val="auto"/>
        </w:rPr>
        <w:t>”); and Ares Partners Holdco LLC (“</w:t>
      </w:r>
      <w:r>
        <w:rPr>
          <w:rFonts w:ascii="Arial" w:cs="Arial" w:eastAsia="Arial" w:hAnsi="Arial"/>
          <w:sz w:val="17"/>
          <w:szCs w:val="17"/>
          <w:u w:val="single" w:color="auto"/>
          <w:color w:val="auto"/>
        </w:rPr>
        <w:t>Ares Partners</w:t>
      </w:r>
      <w:r>
        <w:rPr>
          <w:rFonts w:ascii="Arial" w:cs="Arial" w:eastAsia="Arial" w:hAnsi="Arial"/>
          <w:sz w:val="17"/>
          <w:szCs w:val="17"/>
          <w:color w:val="auto"/>
        </w:rPr>
        <w:t>”).</w:t>
      </w:r>
    </w:p>
    <w:p>
      <w:pPr>
        <w:spacing w:after="0" w:line="16" w:lineRule="exact"/>
        <w:rPr>
          <w:rFonts w:ascii="Arial" w:cs="Arial" w:eastAsia="Arial" w:hAnsi="Arial"/>
          <w:sz w:val="18"/>
          <w:szCs w:val="18"/>
          <w:color w:val="auto"/>
        </w:rPr>
      </w:pPr>
    </w:p>
    <w:p>
      <w:pPr>
        <w:ind w:left="1140" w:hanging="457"/>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Address or Principal Business Office:</w:t>
      </w:r>
    </w:p>
    <w:p>
      <w:pPr>
        <w:spacing w:after="0" w:line="225" w:lineRule="exact"/>
        <w:rPr>
          <w:rFonts w:ascii="Arial" w:cs="Arial" w:eastAsia="Arial" w:hAnsi="Arial"/>
          <w:sz w:val="18"/>
          <w:szCs w:val="18"/>
          <w:color w:val="auto"/>
        </w:rPr>
      </w:pPr>
    </w:p>
    <w:p>
      <w:pPr>
        <w:ind w:left="1140"/>
        <w:spacing w:after="0" w:line="277" w:lineRule="auto"/>
        <w:rPr>
          <w:rFonts w:ascii="Arial" w:cs="Arial" w:eastAsia="Arial" w:hAnsi="Arial"/>
          <w:sz w:val="18"/>
          <w:szCs w:val="18"/>
          <w:color w:val="auto"/>
        </w:rPr>
      </w:pPr>
      <w:r>
        <w:rPr>
          <w:rFonts w:ascii="Arial" w:cs="Arial" w:eastAsia="Arial" w:hAnsi="Arial"/>
          <w:sz w:val="18"/>
          <w:szCs w:val="18"/>
          <w:color w:val="auto"/>
        </w:rPr>
        <w:t>The business address of each Reporting Person is c/o Ares Management LLC, 2000 Avenue of the Stars, 12th Floor, Los Angeles, California 90067.</w:t>
      </w:r>
    </w:p>
    <w:p>
      <w:pPr>
        <w:spacing w:after="0" w:line="48" w:lineRule="exact"/>
        <w:rPr>
          <w:rFonts w:ascii="Arial" w:cs="Arial" w:eastAsia="Arial" w:hAnsi="Arial"/>
          <w:sz w:val="18"/>
          <w:szCs w:val="18"/>
          <w:color w:val="auto"/>
        </w:rPr>
      </w:pPr>
    </w:p>
    <w:p>
      <w:pPr>
        <w:ind w:left="1140" w:hanging="457"/>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Citizenship of each Reporting Person is:</w:t>
      </w:r>
    </w:p>
    <w:p>
      <w:pPr>
        <w:spacing w:after="0" w:line="225" w:lineRule="exact"/>
        <w:rPr>
          <w:rFonts w:ascii="Arial" w:cs="Arial" w:eastAsia="Arial" w:hAnsi="Arial"/>
          <w:sz w:val="18"/>
          <w:szCs w:val="18"/>
          <w:color w:val="auto"/>
        </w:rPr>
      </w:pPr>
    </w:p>
    <w:p>
      <w:pPr>
        <w:ind w:left="1140"/>
        <w:spacing w:after="0" w:line="277" w:lineRule="auto"/>
        <w:rPr>
          <w:rFonts w:ascii="Arial" w:cs="Arial" w:eastAsia="Arial" w:hAnsi="Arial"/>
          <w:sz w:val="18"/>
          <w:szCs w:val="18"/>
          <w:color w:val="auto"/>
        </w:rPr>
      </w:pPr>
      <w:r>
        <w:rPr>
          <w:rFonts w:ascii="Arial" w:cs="Arial" w:eastAsia="Arial" w:hAnsi="Arial"/>
          <w:sz w:val="18"/>
          <w:szCs w:val="18"/>
          <w:color w:val="auto"/>
        </w:rPr>
        <w:t>Ares ECO and Ares Multi-Asset Credit are organized under the laws of the Cayman Islands. Each of the other Reporting Persons is organized under the laws of the State of Delaware.</w:t>
      </w:r>
    </w:p>
    <w:p>
      <w:pPr>
        <w:spacing w:after="0" w:line="48" w:lineRule="exact"/>
        <w:rPr>
          <w:rFonts w:ascii="Arial" w:cs="Arial" w:eastAsia="Arial" w:hAnsi="Arial"/>
          <w:sz w:val="18"/>
          <w:szCs w:val="18"/>
          <w:color w:val="auto"/>
        </w:rPr>
      </w:pPr>
    </w:p>
    <w:p>
      <w:pPr>
        <w:ind w:left="1140" w:hanging="457"/>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Issuer’s common stock, $0.001 par value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140" w:right="8900" w:hanging="457"/>
        <w:spacing w:after="0" w:line="587" w:lineRule="auto"/>
        <w:tabs>
          <w:tab w:leader="none" w:pos="11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CUSIP Number: 708062104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-124460</wp:posOffset>
            </wp:positionV>
            <wp:extent cx="64122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-596265</wp:posOffset>
            </wp:positionV>
            <wp:extent cx="64122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-1067435</wp:posOffset>
            </wp:positionV>
            <wp:extent cx="64122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-1676400</wp:posOffset>
            </wp:positionV>
            <wp:extent cx="64122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-2284730</wp:posOffset>
            </wp:positionV>
            <wp:extent cx="64122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4.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(a-b)</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ownership information presented in this Amendment No. 1 to Schedule 13G (this “</w:t>
      </w:r>
      <w:r>
        <w:rPr>
          <w:rFonts w:ascii="Arial" w:cs="Arial" w:eastAsia="Arial" w:hAnsi="Arial"/>
          <w:sz w:val="17"/>
          <w:szCs w:val="17"/>
          <w:u w:val="single" w:color="auto"/>
          <w:color w:val="auto"/>
        </w:rPr>
        <w:t>Amendment No. 1</w:t>
      </w:r>
      <w:r>
        <w:rPr>
          <w:rFonts w:ascii="Arial" w:cs="Arial" w:eastAsia="Arial" w:hAnsi="Arial"/>
          <w:sz w:val="17"/>
          <w:szCs w:val="17"/>
          <w:color w:val="auto"/>
        </w:rPr>
        <w:t>”) to the statement on Schedule 13G filed by the Reporting Persons on April 14, 2022 (the “</w:t>
      </w:r>
      <w:r>
        <w:rPr>
          <w:rFonts w:ascii="Arial" w:cs="Arial" w:eastAsia="Arial" w:hAnsi="Arial"/>
          <w:sz w:val="17"/>
          <w:szCs w:val="17"/>
          <w:u w:val="single" w:color="auto"/>
          <w:color w:val="auto"/>
        </w:rPr>
        <w:t>Original 13G</w:t>
      </w:r>
      <w:r>
        <w:rPr>
          <w:rFonts w:ascii="Arial" w:cs="Arial" w:eastAsia="Arial" w:hAnsi="Arial"/>
          <w:sz w:val="17"/>
          <w:szCs w:val="17"/>
          <w:color w:val="auto"/>
        </w:rPr>
        <w:t>” and, together with this Amendment No. 1, the “</w:t>
      </w:r>
      <w:r>
        <w:rPr>
          <w:rFonts w:ascii="Arial" w:cs="Arial" w:eastAsia="Arial" w:hAnsi="Arial"/>
          <w:sz w:val="17"/>
          <w:szCs w:val="17"/>
          <w:u w:val="single" w:color="auto"/>
          <w:color w:val="auto"/>
        </w:rPr>
        <w:t>Schedule 13G</w:t>
      </w:r>
      <w:r>
        <w:rPr>
          <w:rFonts w:ascii="Arial" w:cs="Arial" w:eastAsia="Arial" w:hAnsi="Arial"/>
          <w:sz w:val="17"/>
          <w:szCs w:val="17"/>
          <w:color w:val="auto"/>
        </w:rPr>
        <w:t>”) is based upon 65,224,500 shares of Common Stock outstanding as of December 23, 2022, as reported by the Issuer in its 10-K/A. As of the date that this Schedule 13G is filed: (i) AIOF may be deemed to directly beneficially own 661,283 shares of Common Stock; (ii) Ares Multi-Asset Credit may be deemed to directly beneficially own 519,194 shares of Common Stock; (iii) Ares Capital Management III may be deemed to directly beneficially own 477,870 shares of Common Stock pursuant to an Investment Management Agreement that grants Ares Capital Management III investment discretion with respect to 477,870 shares of Common Stock beneficially owned by an unaffiliated third party; (iv) Ares ECO may be deemed to directly beneficially own 1,043,266 shares of Common Stock; and (v) Ares Enhanced Loan may be deemed to directly beneficially own 2,141,497 shares of Common Stock pursuant to certain Investment Management Agreements that grant Ares Enhanced Loan investment discretion with respect to 2,141,497 shares of Common Stock beneficially owned by unaffiliated third parties. The Reporting Persons, as a result of the relationships described below, may be deemed to directly or indirectly beneficially own the shares of Common Stock held by AIOF, Ares Multi-Asset Credit, Ares Capital Management III, Ares ECO and Ares Enhanced Loan. See Items 9 and 11 of the cover pages to this Schedule 13G for the aggregate number of Common Stock and the percentage of Common Stock beneficially owned by each of the Reporting Persons.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Reporting Persons are either holding companies without operations, or are principally engaged in the business of investment management or making, purchasing, selling and holding investments. Ares Partners is the sole member of each of Ares Management GP and Ares Voting, which are respectively the sole holders of the Class B and Class C common stock of Ares Management, which common stock allows them, collectively, to generally have the majority of the votes on any matter submitted to the stockholders of Ares Management if certain conditions are met. Ares Management is the sole member of Ares Holdco, which is the general partner of Ares Management Holdings, which is the sole member of Ares Management LLC. Ares Management LLC is: (a) the sole member of Ares Capital Management III, which is the manager of AIOF and Ares Multi-Asset Credit; (b) the sole member of Ares ECO Management, which is the manager of Ares ECO; and (c) the sole member of Ares Enhanced Loan GP, which is the general partner of Ares Enhanced Loan. Ares Partners is managed by a board of managers, which is composed of Michael J Arougheti, Ryan Berry, R. Kipp deVeer, David B. Kaplan, Antony P. Ressler and Bennett Rosenthal (collectively, the “</w:t>
      </w:r>
      <w:r>
        <w:rPr>
          <w:rFonts w:ascii="Arial" w:cs="Arial" w:eastAsia="Arial" w:hAnsi="Arial"/>
          <w:sz w:val="18"/>
          <w:szCs w:val="18"/>
          <w:u w:val="single" w:color="auto"/>
          <w:color w:val="auto"/>
        </w:rPr>
        <w:t>Board Members</w:t>
      </w:r>
      <w:r>
        <w:rPr>
          <w:rFonts w:ascii="Arial" w:cs="Arial" w:eastAsia="Arial" w:hAnsi="Arial"/>
          <w:sz w:val="18"/>
          <w:szCs w:val="18"/>
          <w:color w:val="auto"/>
        </w:rPr>
        <w:t>”). Mr. Ressler generally has veto authority over decisions by the Board Members.</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of the Reporting Persons (other than AIOF, Ares Multi-Asset Credit, Ares Capital Management III, Ares ECO and Ares Enhanced Loan, in each case, solely with respect to the shares of Common Stock held directly by each such Reporting Person), the Board Members and the other directors, officers, partners, stockholders, members and managers of the Reporting Persons expressly disclaims beneficial ownership of the shares of Common Stock reported in this Schedule 13G for purposes of Section 13(d) of the Act and the rules under Section 13(d) of the Act.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The information contained on the cover pages to this Schedule 13G is incorporated in this statement by reference.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10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Ares Income Opportunity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Ares Capital Management III LLC, its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Joshua Bloomstein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Ares Multi-Asset Credit Strategies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Ares Capital Management III LLC, its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Joshua Bloomstein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Ares Capital Management III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Joshua Bloomstein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Ares Enhanced Credit Opportunities Master Fund II,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Ares Enhanced Credit Opportunities Investment Management II, LLC,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Joshua Bloomstein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Ares Enhanced Loan Investment Strategy Advisor IV, L.P.</w:t>
      </w:r>
    </w:p>
    <w:p>
      <w:pPr>
        <w:spacing w:after="0" w:line="27" w:lineRule="exact"/>
        <w:rPr>
          <w:sz w:val="20"/>
          <w:szCs w:val="20"/>
          <w:color w:val="auto"/>
        </w:rPr>
      </w:pPr>
    </w:p>
    <w:p>
      <w:pPr>
        <w:ind w:left="340" w:right="4999" w:hanging="336"/>
        <w:spacing w:after="0" w:line="260" w:lineRule="auto"/>
        <w:rPr>
          <w:sz w:val="20"/>
          <w:szCs w:val="20"/>
          <w:color w:val="auto"/>
        </w:rPr>
      </w:pPr>
      <w:r>
        <w:rPr>
          <w:rFonts w:ascii="Arial" w:cs="Arial" w:eastAsia="Arial" w:hAnsi="Arial"/>
          <w:sz w:val="18"/>
          <w:szCs w:val="18"/>
          <w:color w:val="auto"/>
        </w:rPr>
        <w:t>By: Ares Enhanced Loan Investment Strategy Advisor IV GP, LLC, its general partner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Joshua Bloomstein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Ares Enhanced Credit Opportunities Investment Management II,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Joshua Bloomstein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Ares Enhanced Loan Investment Strategy Advisor IV 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Joshua Bloomstein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Anton Feingold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Ares Management Holdings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Ares Holdco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Anton Feingold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Anton Feingold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Anton Feingold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Anton Feingold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Ares Voting LLC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By: Ares Partners Holdco LLC, its sole member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Anton Feingold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Anton Feingold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ind w:left="3460"/>
              <w:spacing w:after="0"/>
              <w:rPr>
                <w:sz w:val="20"/>
                <w:szCs w:val="20"/>
                <w:color w:val="auto"/>
              </w:rPr>
            </w:pPr>
            <w:r>
              <w:rPr>
                <w:rFonts w:ascii="Arial" w:cs="Arial" w:eastAsia="Arial" w:hAnsi="Arial"/>
                <w:sz w:val="18"/>
                <w:szCs w:val="18"/>
                <w:b w:val="1"/>
                <w:bCs w:val="1"/>
                <w:color w:val="auto"/>
              </w:rPr>
              <w:t>LIST OF EXHIBITS</w:t>
            </w:r>
          </w:p>
        </w:tc>
      </w:tr>
      <w:tr>
        <w:trPr>
          <w:trHeight w:val="432"/>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2"/>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EE"/>
              </w:rPr>
              <w:t>Joint Filing Agreement, dated as of February 9, 2023, by and among the Reporting Persons.</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0" w:type="dxa"/>
            <w:vAlign w:val="bottom"/>
            <w:tcBorders>
              <w:top w:val="single" w:sz="8" w:color="0000EE"/>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agree that they are filing this statement on Schedule 13G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Rule 13d-1(k)(1) promulgated under the Securities Exchange Act of 1934, as amended, the undersigned hereby agree to the joint filing with each other on behalf of each of them of such a statement on Schedule 13G with respect to the Common Stock of PennantPark Investment Corporation beneficially owned by each of them. This Joint Filing Agreement shall be included as an exhibit to such Schedule 13G.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hereby execute this Joint Filing Agreement as of February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2023</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Ares Income Opportunity Fund, L.P.</w:t>
      </w:r>
    </w:p>
    <w:p>
      <w:pPr>
        <w:spacing w:after="0" w:line="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Ares Capital Management III LLC, its manager</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401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Joshua Bloomstein</w:t>
      </w:r>
    </w:p>
    <w:p>
      <w:pPr>
        <w:spacing w:after="0" w:line="36"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Its:</w:t>
        <w:tab/>
        <w:t>Authorized Signatory</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Ares Multi-Asset Credit Strategies Fund LP</w:t>
      </w:r>
    </w:p>
    <w:p>
      <w:pPr>
        <w:spacing w:after="0" w:line="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Ares Capital Management III LLC, its manager</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401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Joshua Bloomstein</w:t>
      </w:r>
    </w:p>
    <w:p>
      <w:pPr>
        <w:spacing w:after="0" w:line="36"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Its:</w:t>
        <w:tab/>
        <w:t>Authorized Signatory</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Ares Capital Management III LLC</w:t>
      </w: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401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Joshua Bloomstein</w:t>
      </w:r>
    </w:p>
    <w:p>
      <w:pPr>
        <w:spacing w:after="0" w:line="36"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Its:</w:t>
        <w:tab/>
        <w:t>Authorized Signatory</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Ares Enhanced Credit Opportunities Master Fund II, Ltd.</w:t>
      </w:r>
    </w:p>
    <w:p>
      <w:pPr>
        <w:spacing w:after="0" w:line="4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 Ares Enhanced Credit Opportunities Investment Management II, LLC,</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401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Joshua Bloomstein</w:t>
      </w:r>
    </w:p>
    <w:p>
      <w:pPr>
        <w:spacing w:after="0" w:line="36"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Its:</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b w:val="1"/>
          <w:bCs w:val="1"/>
          <w:color w:val="auto"/>
        </w:rPr>
        <w:t>Ares Enhanced Loan Investment Strategy Advisor IV, L.P.</w:t>
      </w:r>
    </w:p>
    <w:p>
      <w:pPr>
        <w:spacing w:after="0" w:line="40" w:lineRule="exact"/>
        <w:rPr>
          <w:sz w:val="20"/>
          <w:szCs w:val="20"/>
          <w:color w:val="auto"/>
        </w:rPr>
      </w:pPr>
    </w:p>
    <w:p>
      <w:pPr>
        <w:ind w:left="4520" w:right="340"/>
        <w:spacing w:after="0" w:line="277" w:lineRule="auto"/>
        <w:rPr>
          <w:sz w:val="20"/>
          <w:szCs w:val="20"/>
          <w:color w:val="auto"/>
        </w:rPr>
      </w:pPr>
      <w:r>
        <w:rPr>
          <w:rFonts w:ascii="Arial" w:cs="Arial" w:eastAsia="Arial" w:hAnsi="Arial"/>
          <w:sz w:val="18"/>
          <w:szCs w:val="18"/>
          <w:color w:val="auto"/>
        </w:rPr>
        <w:t>By: Ares Enhanced Loan Investment Strategy Advisor IV GP, LLC, its general partner</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401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Joshua Bloomstein</w:t>
      </w:r>
    </w:p>
    <w:p>
      <w:pPr>
        <w:spacing w:after="0" w:line="36"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Authorized Signatory</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Ares Enhanced Credit Opportunities Investment Management II, LLC</w:t>
      </w:r>
    </w:p>
    <w:p>
      <w:pPr>
        <w:spacing w:after="0" w:line="30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401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Joshua Bloomstein</w:t>
      </w:r>
    </w:p>
    <w:p>
      <w:pPr>
        <w:spacing w:after="0" w:line="36"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Authorized Signatory</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Enhanced Loan Investment Strategy Advisor IV GP, LLC</w:t>
      </w:r>
    </w:p>
    <w:p>
      <w:pPr>
        <w:spacing w:after="0" w:line="28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40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Joshua Bloomstein</w:t>
      </w:r>
    </w:p>
    <w:p>
      <w:pPr>
        <w:spacing w:after="0" w:line="36"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Authorized Signatory</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8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40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Anton Feingold</w:t>
      </w:r>
    </w:p>
    <w:p>
      <w:pPr>
        <w:spacing w:after="0" w:line="36"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Authorized Signatory</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4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Ares Holdco LLC, its general partner</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401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Anton Feingold</w:t>
      </w:r>
    </w:p>
    <w:p>
      <w:pPr>
        <w:spacing w:after="0" w:line="36"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Authorized Signatory</w:t>
      </w: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Ares Holdco LLC</w:t>
      </w:r>
    </w:p>
    <w:p>
      <w:pPr>
        <w:spacing w:after="0" w:line="30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401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Anton Feingold</w:t>
      </w:r>
    </w:p>
    <w:p>
      <w:pPr>
        <w:spacing w:after="0" w:line="36"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Authorized Signatory</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8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40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Anton Feingold</w:t>
      </w:r>
    </w:p>
    <w:p>
      <w:pPr>
        <w:spacing w:after="0" w:line="36"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460375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60"/>
          </w:cols>
          <w:pgMar w:left="1440" w:top="931" w:right="499" w:bottom="1440" w:gutter="0" w:footer="0" w:header="0"/>
        </w:sectPr>
      </w:pPr>
    </w:p>
    <w:bookmarkStart w:id="24" w:name="page25"/>
    <w:bookmarkEnd w:id="24"/>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8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401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Anton Feingold</w:t>
      </w:r>
    </w:p>
    <w:p>
      <w:pPr>
        <w:spacing w:after="0" w:line="36"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Authorized Signatory</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40"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Ares Partners Holdco LLC, its sole member</w:t>
      </w:r>
    </w:p>
    <w:p>
      <w:pPr>
        <w:spacing w:after="0" w:line="3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401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Anton Feingold</w:t>
      </w:r>
    </w:p>
    <w:p>
      <w:pPr>
        <w:spacing w:after="0" w:line="36"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Authorized Signatory</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8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401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Anton Feingold</w:t>
      </w:r>
    </w:p>
    <w:p>
      <w:pPr>
        <w:spacing w:after="0" w:line="36"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460375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1"/>
      <w:numFmt w:val="bullet"/>
      <w:start w:val="1"/>
    </w:lvl>
  </w:abstractNum>
  <w:abstractNum w:abstractNumId="4">
    <w:nsid w:val="6DE91B18"/>
    <w:multiLevelType w:val="hybridMultilevel"/>
    <w:lvl w:ilvl="0">
      <w:lvlJc w:val="left"/>
      <w:lvlText w:val="2"/>
      <w:numFmt w:val="bullet"/>
      <w:start w:val="1"/>
    </w:lvl>
  </w:abstractNum>
  <w:abstractNum w:abstractNumId="5">
    <w:nsid w:val="38437FDB"/>
    <w:multiLevelType w:val="hybridMultilevel"/>
    <w:lvl w:ilvl="0">
      <w:lvlJc w:val="left"/>
      <w:lvlText w:val="3"/>
      <w:numFmt w:val="bullet"/>
      <w:start w:val="1"/>
    </w:lvl>
  </w:abstractNum>
  <w:abstractNum w:abstractNumId="6">
    <w:nsid w:val="7644A45C"/>
    <w:multiLevelType w:val="hybridMultilevel"/>
    <w:lvl w:ilvl="0">
      <w:lvlJc w:val="left"/>
      <w:lvlText w:val="4"/>
      <w:numFmt w:val="bullet"/>
      <w:start w:val="1"/>
    </w:lvl>
  </w:abstractNum>
  <w:abstractNum w:abstractNumId="7">
    <w:nsid w:val="32FFF902"/>
    <w:multiLevelType w:val="hybridMultilevel"/>
    <w:lvl w:ilvl="0">
      <w:lvlJc w:val="left"/>
      <w:lvlText w:val="9"/>
      <w:numFmt w:val="bullet"/>
      <w:start w:val="1"/>
    </w:lvl>
  </w:abstractNum>
  <w:abstractNum w:abstractNumId="8">
    <w:nsid w:val="684A481A"/>
    <w:multiLevelType w:val="hybridMultilevel"/>
    <w:lvl w:ilvl="0">
      <w:lvlJc w:val="left"/>
      <w:lvlText w:val="*"/>
      <w:numFmt w:val="bullet"/>
      <w:start w:val="1"/>
    </w:lvl>
    <w:lvl w:ilvl="1">
      <w:lvlJc w:val="left"/>
      <w:lvlText w:val="%2"/>
      <w:numFmt w:val="decimal"/>
      <w:start w:val="10"/>
    </w:lvl>
  </w:abstractNum>
  <w:abstractNum w:abstractNumId="9">
    <w:nsid w:val="579478FE"/>
    <w:multiLevelType w:val="hybridMultilevel"/>
    <w:lvl w:ilvl="0">
      <w:lvlJc w:val="left"/>
      <w:lvlText w:val="1"/>
      <w:numFmt w:val="bullet"/>
      <w:start w:val="1"/>
    </w:lvl>
  </w:abstractNum>
  <w:abstractNum w:abstractNumId="10">
    <w:nsid w:val="749ABB43"/>
    <w:multiLevelType w:val="hybridMultilevel"/>
    <w:lvl w:ilvl="0">
      <w:lvlJc w:val="left"/>
      <w:lvlText w:val="2"/>
      <w:numFmt w:val="bullet"/>
      <w:start w:val="1"/>
    </w:lvl>
  </w:abstractNum>
  <w:abstractNum w:abstractNumId="11">
    <w:nsid w:val="3DC240FB"/>
    <w:multiLevelType w:val="hybridMultilevel"/>
    <w:lvl w:ilvl="0">
      <w:lvlJc w:val="left"/>
      <w:lvlText w:val="3"/>
      <w:numFmt w:val="bullet"/>
      <w:start w:val="1"/>
    </w:lvl>
  </w:abstractNum>
  <w:abstractNum w:abstractNumId="12">
    <w:nsid w:val="1BA026FA"/>
    <w:multiLevelType w:val="hybridMultilevel"/>
    <w:lvl w:ilvl="0">
      <w:lvlJc w:val="left"/>
      <w:lvlText w:val="4"/>
      <w:numFmt w:val="bullet"/>
      <w:start w:val="1"/>
    </w:lvl>
  </w:abstractNum>
  <w:abstractNum w:abstractNumId="13">
    <w:nsid w:val="79A1DEAA"/>
    <w:multiLevelType w:val="hybridMultilevel"/>
    <w:lvl w:ilvl="0">
      <w:lvlJc w:val="left"/>
      <w:lvlText w:val="9"/>
      <w:numFmt w:val="bullet"/>
      <w:start w:val="1"/>
    </w:lvl>
  </w:abstractNum>
  <w:abstractNum w:abstractNumId="14">
    <w:nsid w:val="75C6C33A"/>
    <w:multiLevelType w:val="hybridMultilevel"/>
    <w:lvl w:ilvl="0">
      <w:lvlJc w:val="left"/>
      <w:lvlText w:val="*"/>
      <w:numFmt w:val="bullet"/>
      <w:start w:val="1"/>
    </w:lvl>
    <w:lvl w:ilvl="1">
      <w:lvlJc w:val="left"/>
      <w:lvlText w:val="%2"/>
      <w:numFmt w:val="decimal"/>
      <w:start w:val="10"/>
    </w:lvl>
  </w:abstractNum>
  <w:abstractNum w:abstractNumId="15">
    <w:nsid w:val="12E685FB"/>
    <w:multiLevelType w:val="hybridMultilevel"/>
    <w:lvl w:ilvl="0">
      <w:lvlJc w:val="left"/>
      <w:lvlText w:val="1"/>
      <w:numFmt w:val="bullet"/>
      <w:start w:val="1"/>
    </w:lvl>
  </w:abstractNum>
  <w:abstractNum w:abstractNumId="16">
    <w:nsid w:val="70C6A529"/>
    <w:multiLevelType w:val="hybridMultilevel"/>
    <w:lvl w:ilvl="0">
      <w:lvlJc w:val="left"/>
      <w:lvlText w:val="2"/>
      <w:numFmt w:val="bullet"/>
      <w:start w:val="1"/>
    </w:lvl>
  </w:abstractNum>
  <w:abstractNum w:abstractNumId="17">
    <w:nsid w:val="520EEDD1"/>
    <w:multiLevelType w:val="hybridMultilevel"/>
    <w:lvl w:ilvl="0">
      <w:lvlJc w:val="left"/>
      <w:lvlText w:val="3"/>
      <w:numFmt w:val="bullet"/>
      <w:start w:val="1"/>
    </w:lvl>
  </w:abstractNum>
  <w:abstractNum w:abstractNumId="18">
    <w:nsid w:val="374A3FE6"/>
    <w:multiLevelType w:val="hybridMultilevel"/>
    <w:lvl w:ilvl="0">
      <w:lvlJc w:val="left"/>
      <w:lvlText w:val="4"/>
      <w:numFmt w:val="bullet"/>
      <w:start w:val="1"/>
    </w:lvl>
  </w:abstractNum>
  <w:abstractNum w:abstractNumId="19">
    <w:nsid w:val="4F4EF005"/>
    <w:multiLevelType w:val="hybridMultilevel"/>
    <w:lvl w:ilvl="0">
      <w:lvlJc w:val="left"/>
      <w:lvlText w:val="9"/>
      <w:numFmt w:val="bullet"/>
      <w:start w:val="1"/>
    </w:lvl>
  </w:abstractNum>
  <w:abstractNum w:abstractNumId="20">
    <w:nsid w:val="23F9C13C"/>
    <w:multiLevelType w:val="hybridMultilevel"/>
    <w:lvl w:ilvl="0">
      <w:lvlJc w:val="left"/>
      <w:lvlText w:val="*"/>
      <w:numFmt w:val="bullet"/>
      <w:start w:val="1"/>
    </w:lvl>
    <w:lvl w:ilvl="1">
      <w:lvlJc w:val="left"/>
      <w:lvlText w:val="%2"/>
      <w:numFmt w:val="decimal"/>
      <w:start w:val="10"/>
    </w:lvl>
  </w:abstractNum>
  <w:abstractNum w:abstractNumId="21">
    <w:nsid w:val="649BB77C"/>
    <w:multiLevelType w:val="hybridMultilevel"/>
    <w:lvl w:ilvl="0">
      <w:lvlJc w:val="left"/>
      <w:lvlText w:val="1"/>
      <w:numFmt w:val="bullet"/>
      <w:start w:val="1"/>
    </w:lvl>
  </w:abstractNum>
  <w:abstractNum w:abstractNumId="22">
    <w:nsid w:val="275AC794"/>
    <w:multiLevelType w:val="hybridMultilevel"/>
    <w:lvl w:ilvl="0">
      <w:lvlJc w:val="left"/>
      <w:lvlText w:val="2"/>
      <w:numFmt w:val="bullet"/>
      <w:start w:val="1"/>
    </w:lvl>
  </w:abstractNum>
  <w:abstractNum w:abstractNumId="23">
    <w:nsid w:val="39386575"/>
    <w:multiLevelType w:val="hybridMultilevel"/>
    <w:lvl w:ilvl="0">
      <w:lvlJc w:val="left"/>
      <w:lvlText w:val="3"/>
      <w:numFmt w:val="bullet"/>
      <w:start w:val="1"/>
    </w:lvl>
  </w:abstractNum>
  <w:abstractNum w:abstractNumId="24">
    <w:nsid w:val="1CF10FD8"/>
    <w:multiLevelType w:val="hybridMultilevel"/>
    <w:lvl w:ilvl="0">
      <w:lvlJc w:val="left"/>
      <w:lvlText w:val="4"/>
      <w:numFmt w:val="bullet"/>
      <w:start w:val="1"/>
    </w:lvl>
  </w:abstractNum>
  <w:abstractNum w:abstractNumId="25">
    <w:nsid w:val="180115BE"/>
    <w:multiLevelType w:val="hybridMultilevel"/>
    <w:lvl w:ilvl="0">
      <w:lvlJc w:val="left"/>
      <w:lvlText w:val="9"/>
      <w:numFmt w:val="bullet"/>
      <w:start w:val="1"/>
    </w:lvl>
  </w:abstractNum>
  <w:abstractNum w:abstractNumId="26">
    <w:nsid w:val="235BA861"/>
    <w:multiLevelType w:val="hybridMultilevel"/>
    <w:lvl w:ilvl="0">
      <w:lvlJc w:val="left"/>
      <w:lvlText w:val="*"/>
      <w:numFmt w:val="bullet"/>
      <w:start w:val="1"/>
    </w:lvl>
    <w:lvl w:ilvl="1">
      <w:lvlJc w:val="left"/>
      <w:lvlText w:val="%2"/>
      <w:numFmt w:val="decimal"/>
      <w:start w:val="10"/>
    </w:lvl>
  </w:abstractNum>
  <w:abstractNum w:abstractNumId="27">
    <w:nsid w:val="47398C89"/>
    <w:multiLevelType w:val="hybridMultilevel"/>
    <w:lvl w:ilvl="0">
      <w:lvlJc w:val="left"/>
      <w:lvlText w:val="1"/>
      <w:numFmt w:val="bullet"/>
      <w:start w:val="1"/>
    </w:lvl>
  </w:abstractNum>
  <w:abstractNum w:abstractNumId="28">
    <w:nsid w:val="354FE9F9"/>
    <w:multiLevelType w:val="hybridMultilevel"/>
    <w:lvl w:ilvl="0">
      <w:lvlJc w:val="left"/>
      <w:lvlText w:val="2"/>
      <w:numFmt w:val="bullet"/>
      <w:start w:val="1"/>
    </w:lvl>
  </w:abstractNum>
  <w:abstractNum w:abstractNumId="29">
    <w:nsid w:val="15B5AF5C"/>
    <w:multiLevelType w:val="hybridMultilevel"/>
    <w:lvl w:ilvl="0">
      <w:lvlJc w:val="left"/>
      <w:lvlText w:val="3"/>
      <w:numFmt w:val="bullet"/>
      <w:start w:val="1"/>
    </w:lvl>
  </w:abstractNum>
  <w:abstractNum w:abstractNumId="30">
    <w:nsid w:val="741226BB"/>
    <w:multiLevelType w:val="hybridMultilevel"/>
    <w:lvl w:ilvl="0">
      <w:lvlJc w:val="left"/>
      <w:lvlText w:val="4"/>
      <w:numFmt w:val="bullet"/>
      <w:start w:val="1"/>
    </w:lvl>
  </w:abstractNum>
  <w:abstractNum w:abstractNumId="31">
    <w:nsid w:val="D34B6A8"/>
    <w:multiLevelType w:val="hybridMultilevel"/>
    <w:lvl w:ilvl="0">
      <w:lvlJc w:val="left"/>
      <w:lvlText w:val="9"/>
      <w:numFmt w:val="bullet"/>
      <w:start w:val="1"/>
    </w:lvl>
  </w:abstractNum>
  <w:abstractNum w:abstractNumId="32">
    <w:nsid w:val="10233C99"/>
    <w:multiLevelType w:val="hybridMultilevel"/>
    <w:lvl w:ilvl="0">
      <w:lvlJc w:val="left"/>
      <w:lvlText w:val="*"/>
      <w:numFmt w:val="bullet"/>
      <w:start w:val="1"/>
    </w:lvl>
    <w:lvl w:ilvl="1">
      <w:lvlJc w:val="left"/>
      <w:lvlText w:val="%2"/>
      <w:numFmt w:val="decimal"/>
      <w:start w:val="10"/>
    </w:lvl>
  </w:abstractNum>
  <w:abstractNum w:abstractNumId="33">
    <w:nsid w:val="3F6AB60F"/>
    <w:multiLevelType w:val="hybridMultilevel"/>
    <w:lvl w:ilvl="0">
      <w:lvlJc w:val="left"/>
      <w:lvlText w:val="1"/>
      <w:numFmt w:val="bullet"/>
      <w:start w:val="1"/>
    </w:lvl>
  </w:abstractNum>
  <w:abstractNum w:abstractNumId="34">
    <w:nsid w:val="61574095"/>
    <w:multiLevelType w:val="hybridMultilevel"/>
    <w:lvl w:ilvl="0">
      <w:lvlJc w:val="left"/>
      <w:lvlText w:val="2"/>
      <w:numFmt w:val="bullet"/>
      <w:start w:val="1"/>
    </w:lvl>
  </w:abstractNum>
  <w:abstractNum w:abstractNumId="35">
    <w:nsid w:val="7E0C57B1"/>
    <w:multiLevelType w:val="hybridMultilevel"/>
    <w:lvl w:ilvl="0">
      <w:lvlJc w:val="left"/>
      <w:lvlText w:val="3"/>
      <w:numFmt w:val="bullet"/>
      <w:start w:val="1"/>
    </w:lvl>
  </w:abstractNum>
  <w:abstractNum w:abstractNumId="36">
    <w:nsid w:val="77AE35EB"/>
    <w:multiLevelType w:val="hybridMultilevel"/>
    <w:lvl w:ilvl="0">
      <w:lvlJc w:val="left"/>
      <w:lvlText w:val="4"/>
      <w:numFmt w:val="bullet"/>
      <w:start w:val="1"/>
    </w:lvl>
  </w:abstractNum>
  <w:abstractNum w:abstractNumId="37">
    <w:nsid w:val="579BE4F1"/>
    <w:multiLevelType w:val="hybridMultilevel"/>
    <w:lvl w:ilvl="0">
      <w:lvlJc w:val="left"/>
      <w:lvlText w:val="9"/>
      <w:numFmt w:val="bullet"/>
      <w:start w:val="1"/>
    </w:lvl>
  </w:abstractNum>
  <w:abstractNum w:abstractNumId="38">
    <w:nsid w:val="310C50B3"/>
    <w:multiLevelType w:val="hybridMultilevel"/>
    <w:lvl w:ilvl="0">
      <w:lvlJc w:val="left"/>
      <w:lvlText w:val="*"/>
      <w:numFmt w:val="bullet"/>
      <w:start w:val="1"/>
    </w:lvl>
    <w:lvl w:ilvl="1">
      <w:lvlJc w:val="left"/>
      <w:lvlText w:val="%2"/>
      <w:numFmt w:val="decimal"/>
      <w:start w:val="10"/>
    </w:lvl>
  </w:abstractNum>
  <w:abstractNum w:abstractNumId="39">
    <w:nsid w:val="5FF87E05"/>
    <w:multiLevelType w:val="hybridMultilevel"/>
    <w:lvl w:ilvl="0">
      <w:lvlJc w:val="left"/>
      <w:lvlText w:val="1"/>
      <w:numFmt w:val="bullet"/>
      <w:start w:val="1"/>
    </w:lvl>
  </w:abstractNum>
  <w:abstractNum w:abstractNumId="40">
    <w:nsid w:val="2F305DEF"/>
    <w:multiLevelType w:val="hybridMultilevel"/>
    <w:lvl w:ilvl="0">
      <w:lvlJc w:val="left"/>
      <w:lvlText w:val="2"/>
      <w:numFmt w:val="bullet"/>
      <w:start w:val="1"/>
    </w:lvl>
  </w:abstractNum>
  <w:abstractNum w:abstractNumId="41">
    <w:nsid w:val="25A70BF7"/>
    <w:multiLevelType w:val="hybridMultilevel"/>
    <w:lvl w:ilvl="0">
      <w:lvlJc w:val="left"/>
      <w:lvlText w:val="3"/>
      <w:numFmt w:val="bullet"/>
      <w:start w:val="1"/>
    </w:lvl>
  </w:abstractNum>
  <w:abstractNum w:abstractNumId="42">
    <w:nsid w:val="1DBABF00"/>
    <w:multiLevelType w:val="hybridMultilevel"/>
    <w:lvl w:ilvl="0">
      <w:lvlJc w:val="left"/>
      <w:lvlText w:val="4"/>
      <w:numFmt w:val="bullet"/>
      <w:start w:val="1"/>
    </w:lvl>
  </w:abstractNum>
  <w:abstractNum w:abstractNumId="43">
    <w:nsid w:val="4AD084E9"/>
    <w:multiLevelType w:val="hybridMultilevel"/>
    <w:lvl w:ilvl="0">
      <w:lvlJc w:val="left"/>
      <w:lvlText w:val="9"/>
      <w:numFmt w:val="bullet"/>
      <w:start w:val="1"/>
    </w:lvl>
  </w:abstractNum>
  <w:abstractNum w:abstractNumId="44">
    <w:nsid w:val="1F48EAA1"/>
    <w:multiLevelType w:val="hybridMultilevel"/>
    <w:lvl w:ilvl="0">
      <w:lvlJc w:val="left"/>
      <w:lvlText w:val="*"/>
      <w:numFmt w:val="bullet"/>
      <w:start w:val="1"/>
    </w:lvl>
    <w:lvl w:ilvl="1">
      <w:lvlJc w:val="left"/>
      <w:lvlText w:val="%2"/>
      <w:numFmt w:val="decimal"/>
      <w:start w:val="10"/>
    </w:lvl>
  </w:abstractNum>
  <w:abstractNum w:abstractNumId="45">
    <w:nsid w:val="1381823A"/>
    <w:multiLevelType w:val="hybridMultilevel"/>
    <w:lvl w:ilvl="0">
      <w:lvlJc w:val="left"/>
      <w:lvlText w:val="1"/>
      <w:numFmt w:val="bullet"/>
      <w:start w:val="1"/>
    </w:lvl>
  </w:abstractNum>
  <w:abstractNum w:abstractNumId="46">
    <w:nsid w:val="5DB70AE5"/>
    <w:multiLevelType w:val="hybridMultilevel"/>
    <w:lvl w:ilvl="0">
      <w:lvlJc w:val="left"/>
      <w:lvlText w:val="2"/>
      <w:numFmt w:val="bullet"/>
      <w:start w:val="1"/>
    </w:lvl>
  </w:abstractNum>
  <w:abstractNum w:abstractNumId="47">
    <w:nsid w:val="100F8FCA"/>
    <w:multiLevelType w:val="hybridMultilevel"/>
    <w:lvl w:ilvl="0">
      <w:lvlJc w:val="left"/>
      <w:lvlText w:val="3"/>
      <w:numFmt w:val="bullet"/>
      <w:start w:val="1"/>
    </w:lvl>
  </w:abstractNum>
  <w:abstractNum w:abstractNumId="48">
    <w:nsid w:val="6590700B"/>
    <w:multiLevelType w:val="hybridMultilevel"/>
    <w:lvl w:ilvl="0">
      <w:lvlJc w:val="left"/>
      <w:lvlText w:val="4"/>
      <w:numFmt w:val="bullet"/>
      <w:start w:val="1"/>
    </w:lvl>
  </w:abstractNum>
  <w:abstractNum w:abstractNumId="49">
    <w:nsid w:val="15014ACB"/>
    <w:multiLevelType w:val="hybridMultilevel"/>
    <w:lvl w:ilvl="0">
      <w:lvlJc w:val="left"/>
      <w:lvlText w:val="9"/>
      <w:numFmt w:val="bullet"/>
      <w:start w:val="1"/>
    </w:lvl>
  </w:abstractNum>
  <w:abstractNum w:abstractNumId="50">
    <w:nsid w:val="5F5E7FD0"/>
    <w:multiLevelType w:val="hybridMultilevel"/>
    <w:lvl w:ilvl="0">
      <w:lvlJc w:val="left"/>
      <w:lvlText w:val="*"/>
      <w:numFmt w:val="bullet"/>
      <w:start w:val="1"/>
    </w:lvl>
    <w:lvl w:ilvl="1">
      <w:lvlJc w:val="left"/>
      <w:lvlText w:val="%2"/>
      <w:numFmt w:val="decimal"/>
      <w:start w:val="10"/>
    </w:lvl>
  </w:abstractNum>
  <w:abstractNum w:abstractNumId="51">
    <w:nsid w:val="98A3148"/>
    <w:multiLevelType w:val="hybridMultilevel"/>
    <w:lvl w:ilvl="0">
      <w:lvlJc w:val="left"/>
      <w:lvlText w:val="1"/>
      <w:numFmt w:val="bullet"/>
      <w:start w:val="1"/>
    </w:lvl>
  </w:abstractNum>
  <w:abstractNum w:abstractNumId="52">
    <w:nsid w:val="799D0247"/>
    <w:multiLevelType w:val="hybridMultilevel"/>
    <w:lvl w:ilvl="0">
      <w:lvlJc w:val="left"/>
      <w:lvlText w:val="2"/>
      <w:numFmt w:val="bullet"/>
      <w:start w:val="1"/>
    </w:lvl>
  </w:abstractNum>
  <w:abstractNum w:abstractNumId="53">
    <w:nsid w:val="6B94764"/>
    <w:multiLevelType w:val="hybridMultilevel"/>
    <w:lvl w:ilvl="0">
      <w:lvlJc w:val="left"/>
      <w:lvlText w:val="3"/>
      <w:numFmt w:val="bullet"/>
      <w:start w:val="1"/>
    </w:lvl>
  </w:abstractNum>
  <w:abstractNum w:abstractNumId="54">
    <w:nsid w:val="42C296BD"/>
    <w:multiLevelType w:val="hybridMultilevel"/>
    <w:lvl w:ilvl="0">
      <w:lvlJc w:val="left"/>
      <w:lvlText w:val="4"/>
      <w:numFmt w:val="bullet"/>
      <w:start w:val="1"/>
    </w:lvl>
  </w:abstractNum>
  <w:abstractNum w:abstractNumId="55">
    <w:nsid w:val="168E121F"/>
    <w:multiLevelType w:val="hybridMultilevel"/>
    <w:lvl w:ilvl="0">
      <w:lvlJc w:val="left"/>
      <w:lvlText w:val="9"/>
      <w:numFmt w:val="bullet"/>
      <w:start w:val="1"/>
    </w:lvl>
  </w:abstractNum>
  <w:abstractNum w:abstractNumId="56">
    <w:nsid w:val="1EBA5D23"/>
    <w:multiLevelType w:val="hybridMultilevel"/>
    <w:lvl w:ilvl="0">
      <w:lvlJc w:val="left"/>
      <w:lvlText w:val="*"/>
      <w:numFmt w:val="bullet"/>
      <w:start w:val="1"/>
    </w:lvl>
    <w:lvl w:ilvl="1">
      <w:lvlJc w:val="left"/>
      <w:lvlText w:val="%2"/>
      <w:numFmt w:val="decimal"/>
      <w:start w:val="10"/>
    </w:lvl>
  </w:abstractNum>
  <w:abstractNum w:abstractNumId="57">
    <w:nsid w:val="661E3F1E"/>
    <w:multiLevelType w:val="hybridMultilevel"/>
    <w:lvl w:ilvl="0">
      <w:lvlJc w:val="left"/>
      <w:lvlText w:val="1"/>
      <w:numFmt w:val="bullet"/>
      <w:start w:val="1"/>
    </w:lvl>
  </w:abstractNum>
  <w:abstractNum w:abstractNumId="58">
    <w:nsid w:val="5DC79EA8"/>
    <w:multiLevelType w:val="hybridMultilevel"/>
    <w:lvl w:ilvl="0">
      <w:lvlJc w:val="left"/>
      <w:lvlText w:val="2"/>
      <w:numFmt w:val="bullet"/>
      <w:start w:val="1"/>
    </w:lvl>
  </w:abstractNum>
  <w:abstractNum w:abstractNumId="59">
    <w:nsid w:val="540A471C"/>
    <w:multiLevelType w:val="hybridMultilevel"/>
    <w:lvl w:ilvl="0">
      <w:lvlJc w:val="left"/>
      <w:lvlText w:val="3"/>
      <w:numFmt w:val="bullet"/>
      <w:start w:val="1"/>
    </w:lvl>
  </w:abstractNum>
  <w:abstractNum w:abstractNumId="60">
    <w:nsid w:val="7BD3EE7B"/>
    <w:multiLevelType w:val="hybridMultilevel"/>
    <w:lvl w:ilvl="0">
      <w:lvlJc w:val="left"/>
      <w:lvlText w:val="4"/>
      <w:numFmt w:val="bullet"/>
      <w:start w:val="1"/>
    </w:lvl>
  </w:abstractNum>
  <w:abstractNum w:abstractNumId="61">
    <w:nsid w:val="51D9C564"/>
    <w:multiLevelType w:val="hybridMultilevel"/>
    <w:lvl w:ilvl="0">
      <w:lvlJc w:val="left"/>
      <w:lvlText w:val="9"/>
      <w:numFmt w:val="bullet"/>
      <w:start w:val="1"/>
    </w:lvl>
  </w:abstractNum>
  <w:abstractNum w:abstractNumId="62">
    <w:nsid w:val="613EFDC5"/>
    <w:multiLevelType w:val="hybridMultilevel"/>
    <w:lvl w:ilvl="0">
      <w:lvlJc w:val="left"/>
      <w:lvlText w:val="*"/>
      <w:numFmt w:val="bullet"/>
      <w:start w:val="1"/>
    </w:lvl>
    <w:lvl w:ilvl="1">
      <w:lvlJc w:val="left"/>
      <w:lvlText w:val="%2"/>
      <w:numFmt w:val="decimal"/>
      <w:start w:val="10"/>
    </w:lvl>
  </w:abstractNum>
  <w:abstractNum w:abstractNumId="63">
    <w:nsid w:val="BF72B14"/>
    <w:multiLevelType w:val="hybridMultilevel"/>
    <w:lvl w:ilvl="0">
      <w:lvlJc w:val="left"/>
      <w:lvlText w:val="1"/>
      <w:numFmt w:val="bullet"/>
      <w:start w:val="1"/>
    </w:lvl>
  </w:abstractNum>
  <w:abstractNum w:abstractNumId="64">
    <w:nsid w:val="11447B73"/>
    <w:multiLevelType w:val="hybridMultilevel"/>
    <w:lvl w:ilvl="0">
      <w:lvlJc w:val="left"/>
      <w:lvlText w:val="2"/>
      <w:numFmt w:val="bullet"/>
      <w:start w:val="1"/>
    </w:lvl>
  </w:abstractNum>
  <w:abstractNum w:abstractNumId="65">
    <w:nsid w:val="42963E5A"/>
    <w:multiLevelType w:val="hybridMultilevel"/>
    <w:lvl w:ilvl="0">
      <w:lvlJc w:val="left"/>
      <w:lvlText w:val="3"/>
      <w:numFmt w:val="bullet"/>
      <w:start w:val="1"/>
    </w:lvl>
  </w:abstractNum>
  <w:abstractNum w:abstractNumId="66">
    <w:nsid w:val="A0382C5"/>
    <w:multiLevelType w:val="hybridMultilevel"/>
    <w:lvl w:ilvl="0">
      <w:lvlJc w:val="left"/>
      <w:lvlText w:val="4"/>
      <w:numFmt w:val="bullet"/>
      <w:start w:val="1"/>
    </w:lvl>
  </w:abstractNum>
  <w:abstractNum w:abstractNumId="67">
    <w:nsid w:val="8F2B15E"/>
    <w:multiLevelType w:val="hybridMultilevel"/>
    <w:lvl w:ilvl="0">
      <w:lvlJc w:val="left"/>
      <w:lvlText w:val="9"/>
      <w:numFmt w:val="bullet"/>
      <w:start w:val="1"/>
    </w:lvl>
  </w:abstractNum>
  <w:abstractNum w:abstractNumId="68">
    <w:nsid w:val="1A32234B"/>
    <w:multiLevelType w:val="hybridMultilevel"/>
    <w:lvl w:ilvl="0">
      <w:lvlJc w:val="left"/>
      <w:lvlText w:val="*"/>
      <w:numFmt w:val="bullet"/>
      <w:start w:val="1"/>
    </w:lvl>
    <w:lvl w:ilvl="1">
      <w:lvlJc w:val="left"/>
      <w:lvlText w:val="%2"/>
      <w:numFmt w:val="decimal"/>
      <w:start w:val="10"/>
    </w:lvl>
  </w:abstractNum>
  <w:abstractNum w:abstractNumId="69">
    <w:nsid w:val="3B0FD379"/>
    <w:multiLevelType w:val="hybridMultilevel"/>
    <w:lvl w:ilvl="0">
      <w:lvlJc w:val="left"/>
      <w:lvlText w:val="1"/>
      <w:numFmt w:val="bullet"/>
      <w:start w:val="1"/>
    </w:lvl>
  </w:abstractNum>
  <w:abstractNum w:abstractNumId="70">
    <w:nsid w:val="68EB2F63"/>
    <w:multiLevelType w:val="hybridMultilevel"/>
    <w:lvl w:ilvl="0">
      <w:lvlJc w:val="left"/>
      <w:lvlText w:val="2"/>
      <w:numFmt w:val="bullet"/>
      <w:start w:val="1"/>
    </w:lvl>
  </w:abstractNum>
  <w:abstractNum w:abstractNumId="71">
    <w:nsid w:val="4962813B"/>
    <w:multiLevelType w:val="hybridMultilevel"/>
    <w:lvl w:ilvl="0">
      <w:lvlJc w:val="left"/>
      <w:lvlText w:val="3"/>
      <w:numFmt w:val="bullet"/>
      <w:start w:val="1"/>
    </w:lvl>
  </w:abstractNum>
  <w:abstractNum w:abstractNumId="72">
    <w:nsid w:val="60B6DF70"/>
    <w:multiLevelType w:val="hybridMultilevel"/>
    <w:lvl w:ilvl="0">
      <w:lvlJc w:val="left"/>
      <w:lvlText w:val="4"/>
      <w:numFmt w:val="bullet"/>
      <w:start w:val="1"/>
    </w:lvl>
  </w:abstractNum>
  <w:abstractNum w:abstractNumId="73">
    <w:nsid w:val="6A5EE64"/>
    <w:multiLevelType w:val="hybridMultilevel"/>
    <w:lvl w:ilvl="0">
      <w:lvlJc w:val="left"/>
      <w:lvlText w:val="9"/>
      <w:numFmt w:val="bullet"/>
      <w:start w:val="1"/>
    </w:lvl>
  </w:abstractNum>
  <w:abstractNum w:abstractNumId="74">
    <w:nsid w:val="14330624"/>
    <w:multiLevelType w:val="hybridMultilevel"/>
    <w:lvl w:ilvl="0">
      <w:lvlJc w:val="left"/>
      <w:lvlText w:val="*"/>
      <w:numFmt w:val="bullet"/>
      <w:start w:val="1"/>
    </w:lvl>
    <w:lvl w:ilvl="1">
      <w:lvlJc w:val="left"/>
      <w:lvlText w:val="%2"/>
      <w:numFmt w:val="decimal"/>
      <w:start w:val="10"/>
    </w:lvl>
  </w:abstractNum>
  <w:abstractNum w:abstractNumId="75">
    <w:nsid w:val="7FFFCA11"/>
    <w:multiLevelType w:val="hybridMultilevel"/>
    <w:lvl w:ilvl="0">
      <w:lvlJc w:val="left"/>
      <w:lvlText w:val="1"/>
      <w:numFmt w:val="bullet"/>
      <w:start w:val="1"/>
    </w:lvl>
  </w:abstractNum>
  <w:abstractNum w:abstractNumId="76">
    <w:nsid w:val="1A27709E"/>
    <w:multiLevelType w:val="hybridMultilevel"/>
    <w:lvl w:ilvl="0">
      <w:lvlJc w:val="left"/>
      <w:lvlText w:val="2"/>
      <w:numFmt w:val="bullet"/>
      <w:start w:val="1"/>
    </w:lvl>
  </w:abstractNum>
  <w:abstractNum w:abstractNumId="77">
    <w:nsid w:val="71EA1109"/>
    <w:multiLevelType w:val="hybridMultilevel"/>
    <w:lvl w:ilvl="0">
      <w:lvlJc w:val="left"/>
      <w:lvlText w:val="3"/>
      <w:numFmt w:val="bullet"/>
      <w:start w:val="1"/>
    </w:lvl>
  </w:abstractNum>
  <w:abstractNum w:abstractNumId="78">
    <w:nsid w:val="100F59DC"/>
    <w:multiLevelType w:val="hybridMultilevel"/>
    <w:lvl w:ilvl="0">
      <w:lvlJc w:val="left"/>
      <w:lvlText w:val="4"/>
      <w:numFmt w:val="bullet"/>
      <w:start w:val="1"/>
    </w:lvl>
  </w:abstractNum>
  <w:abstractNum w:abstractNumId="79">
    <w:nsid w:val="7FB7E0AA"/>
    <w:multiLevelType w:val="hybridMultilevel"/>
    <w:lvl w:ilvl="0">
      <w:lvlJc w:val="left"/>
      <w:lvlText w:val="9"/>
      <w:numFmt w:val="bullet"/>
      <w:start w:val="1"/>
    </w:lvl>
  </w:abstractNum>
  <w:abstractNum w:abstractNumId="80">
    <w:nsid w:val="6EB5BD4"/>
    <w:multiLevelType w:val="hybridMultilevel"/>
    <w:lvl w:ilvl="0">
      <w:lvlJc w:val="left"/>
      <w:lvlText w:val="*"/>
      <w:numFmt w:val="bullet"/>
      <w:start w:val="1"/>
    </w:lvl>
    <w:lvl w:ilvl="1">
      <w:lvlJc w:val="left"/>
      <w:lvlText w:val="%2"/>
      <w:numFmt w:val="decimal"/>
      <w:start w:val="10"/>
    </w:lvl>
  </w:abstractNum>
  <w:abstractNum w:abstractNumId="81">
    <w:nsid w:val="6F6DD9AC"/>
    <w:multiLevelType w:val="hybridMultilevel"/>
    <w:lvl w:ilvl="0">
      <w:lvlJc w:val="left"/>
      <w:lvlText w:val="1"/>
      <w:numFmt w:val="bullet"/>
      <w:start w:val="1"/>
    </w:lvl>
  </w:abstractNum>
  <w:abstractNum w:abstractNumId="82">
    <w:nsid w:val="94211F2"/>
    <w:multiLevelType w:val="hybridMultilevel"/>
    <w:lvl w:ilvl="0">
      <w:lvlJc w:val="left"/>
      <w:lvlText w:val="2"/>
      <w:numFmt w:val="bullet"/>
      <w:start w:val="1"/>
    </w:lvl>
  </w:abstractNum>
  <w:abstractNum w:abstractNumId="83">
    <w:nsid w:val="885E1B"/>
    <w:multiLevelType w:val="hybridMultilevel"/>
    <w:lvl w:ilvl="0">
      <w:lvlJc w:val="left"/>
      <w:lvlText w:val="3"/>
      <w:numFmt w:val="bullet"/>
      <w:start w:val="1"/>
    </w:lvl>
  </w:abstractNum>
  <w:abstractNum w:abstractNumId="84">
    <w:nsid w:val="76272110"/>
    <w:multiLevelType w:val="hybridMultilevel"/>
    <w:lvl w:ilvl="0">
      <w:lvlJc w:val="left"/>
      <w:lvlText w:val="4"/>
      <w:numFmt w:val="bullet"/>
      <w:start w:val="1"/>
    </w:lvl>
  </w:abstractNum>
  <w:abstractNum w:abstractNumId="85">
    <w:nsid w:val="4C04A8AF"/>
    <w:multiLevelType w:val="hybridMultilevel"/>
    <w:lvl w:ilvl="0">
      <w:lvlJc w:val="left"/>
      <w:lvlText w:val="9"/>
      <w:numFmt w:val="bullet"/>
      <w:start w:val="1"/>
    </w:lvl>
  </w:abstractNum>
  <w:abstractNum w:abstractNumId="86">
    <w:nsid w:val="1716703B"/>
    <w:multiLevelType w:val="hybridMultilevel"/>
    <w:lvl w:ilvl="0">
      <w:lvlJc w:val="left"/>
      <w:lvlText w:val="*"/>
      <w:numFmt w:val="bullet"/>
      <w:start w:val="1"/>
    </w:lvl>
    <w:lvl w:ilvl="1">
      <w:lvlJc w:val="left"/>
      <w:lvlText w:val="%2"/>
      <w:numFmt w:val="decimal"/>
      <w:start w:val="10"/>
    </w:lvl>
  </w:abstractNum>
  <w:abstractNum w:abstractNumId="87">
    <w:nsid w:val="14E17E33"/>
    <w:multiLevelType w:val="hybridMultilevel"/>
    <w:lvl w:ilvl="0">
      <w:lvlJc w:val="left"/>
      <w:lvlText w:val="(%1)"/>
      <w:numFmt w:val="lowerLetter"/>
      <w:start w:val="1"/>
    </w:lvl>
  </w:abstractNum>
  <w:abstractNum w:abstractNumId="88">
    <w:nsid w:val="3222E7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2023-02-09T15:50:33Z</dcterms:created>
  <dcterms:modified xsi:type="dcterms:W3CDTF">2023-02-09T15:50:33Z</dcterms:modified>
</cp:coreProperties>
</file>