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3" w:lineRule="exact"/>
        <w:rPr>
          <w:sz w:val="24"/>
          <w:szCs w:val="24"/>
          <w:color w:val="auto"/>
        </w:rPr>
      </w:pPr>
    </w:p>
    <w:p>
      <w:pPr>
        <w:spacing w:after="0" w:line="207" w:lineRule="exact"/>
        <w:tabs>
          <w:tab w:leader="none" w:pos="28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PennantPark Investment Corporation</w:t>
      </w:r>
    </w:p>
    <w:p>
      <w:pPr>
        <w:spacing w:after="0" w:line="1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160" w:right="100" w:hanging="572"/>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72"/>
        <w:spacing w:after="0" w:line="29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-2719070</wp:posOffset>
            </wp:positionV>
            <wp:extent cx="6386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-2453640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-2050415</wp:posOffset>
            </wp:positionV>
            <wp:extent cx="638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-1784985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-1518920</wp:posOffset>
            </wp:positionV>
            <wp:extent cx="6386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-704850</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-438785</wp:posOffset>
            </wp:positionV>
            <wp:extent cx="6386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-173355</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92075</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22" w:right="479" w:bottom="1440" w:gutter="0" w:footer="0" w:header="0"/>
        </w:sectPr>
      </w:pPr>
    </w:p>
    <w:bookmarkStart w:id="1" w:name="page2"/>
    <w:bookmarkEnd w:id="1"/>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227139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71395" cy="5403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December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 xml:space="preserve">You are cordially invited to attend the 2022 Annual Meeting of Stockholders (the “Annual Meeting”) of PennantPark Investment Corporation (“PNNT” or the “Company”) to be held on February 8, 2022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t>
      </w:r>
      <w:r>
        <w:rPr>
          <w:rFonts w:ascii="Arial" w:cs="Arial" w:eastAsia="Arial" w:hAnsi="Arial"/>
          <w:sz w:val="18"/>
          <w:szCs w:val="18"/>
          <w:u w:val="single" w:color="auto"/>
          <w:color w:val="auto"/>
        </w:rPr>
        <w:t>www.virtualshareholdermeeting.com/PNNT2022</w:t>
      </w:r>
      <w:r>
        <w:rPr>
          <w:rFonts w:ascii="Arial" w:cs="Arial" w:eastAsia="Arial" w:hAnsi="Arial"/>
          <w:sz w:val="18"/>
          <w:szCs w:val="18"/>
          <w:color w:val="auto"/>
        </w:rPr>
        <w:t xml:space="preserve"> and using the Control Number included in the Notice of Internet Availability of Proxy Materials. The board of directors of the Company (the “Board”) has implemented a virtual meeting format this year primarily in response to the public health and travel concerns our stockholders may have and the recommendations that public health officials may issue in light of the ongoing coronavirus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-552450</wp:posOffset>
            </wp:positionV>
            <wp:extent cx="21259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128905"/>
                    </a:xfrm>
                    <a:prstGeom prst="rect">
                      <a:avLst/>
                    </a:prstGeom>
                    <a:noFill/>
                  </pic:spPr>
                </pic:pic>
              </a:graphicData>
            </a:graphic>
          </wp:anchor>
        </w:drawing>
      </w:r>
    </w:p>
    <w:p>
      <w:pPr>
        <w:spacing w:after="0" w:line="175"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(1) elect one director to the Board and (2) ratify the selection of RSM US LLP to serve as the Company’s independent registered public accounting firm for the fiscal year ending September 30, 2022.</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1155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VIRTUAL ANNUAL MEETING OF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www.virtualshareholdermeeting.com/PNNT2022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8, 2022</w:t>
      </w:r>
    </w:p>
    <w:p>
      <w:pPr>
        <w:spacing w:after="0" w:line="211"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December 8, 2021</w:t>
      </w:r>
    </w:p>
    <w:p>
      <w:pPr>
        <w:spacing w:after="0" w:line="248"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a Maryland corporation (“PNNT” or the “Company”) that:</w:t>
      </w:r>
    </w:p>
    <w:p>
      <w:pPr>
        <w:spacing w:after="0" w:line="1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 xml:space="preserve">The 2022 Annual Meeting of Stockholders of the Company (the “Annual Meeting”) will be held virtually on February 8, 2022 at 9:30 a.m., Eastern Time, at </w:t>
      </w:r>
      <w:r>
        <w:rPr>
          <w:rFonts w:ascii="Arial" w:cs="Arial" w:eastAsia="Arial" w:hAnsi="Arial"/>
          <w:sz w:val="18"/>
          <w:szCs w:val="18"/>
          <w:u w:val="single" w:color="auto"/>
          <w:color w:val="auto"/>
        </w:rPr>
        <w:t>www.virtualshareholdermeeting.com/PNNT2022</w:t>
      </w:r>
      <w:r>
        <w:rPr>
          <w:rFonts w:ascii="Arial" w:cs="Arial" w:eastAsia="Arial" w:hAnsi="Arial"/>
          <w:sz w:val="18"/>
          <w:szCs w:val="18"/>
          <w:color w:val="auto"/>
        </w:rPr>
        <w:t xml:space="preserve"> for the following purposes:</w:t>
      </w:r>
    </w:p>
    <w:p>
      <w:pPr>
        <w:spacing w:after="0" w:line="62" w:lineRule="exact"/>
        <w:rPr>
          <w:sz w:val="20"/>
          <w:szCs w:val="20"/>
          <w:color w:val="auto"/>
        </w:rPr>
      </w:pPr>
    </w:p>
    <w:p>
      <w:pPr>
        <w:ind w:left="1180" w:right="240" w:hanging="592"/>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the election of one director to the Board of Directors of the Company who will serve for a term of three years until the 2025 annual meeting of Stockholders and until his successor is duly elected and qualifies;</w:t>
      </w:r>
    </w:p>
    <w:p>
      <w:pPr>
        <w:spacing w:after="0" w:line="62" w:lineRule="exact"/>
        <w:rPr>
          <w:rFonts w:ascii="Arial" w:cs="Arial" w:eastAsia="Arial" w:hAnsi="Arial"/>
          <w:sz w:val="18"/>
          <w:szCs w:val="18"/>
          <w:color w:val="auto"/>
        </w:rPr>
      </w:pPr>
    </w:p>
    <w:p>
      <w:pPr>
        <w:ind w:left="1180" w:right="540" w:hanging="592"/>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the ratification of the selection of RSM US LLP to serve as the Company’s independent registered public accounting firm for the fiscal year ending September 30, 2022; and</w:t>
      </w:r>
    </w:p>
    <w:p>
      <w:pPr>
        <w:spacing w:after="0" w:line="62" w:lineRule="exact"/>
        <w:rPr>
          <w:rFonts w:ascii="Arial" w:cs="Arial" w:eastAsia="Arial" w:hAnsi="Arial"/>
          <w:sz w:val="18"/>
          <w:szCs w:val="18"/>
          <w:color w:val="auto"/>
        </w:rPr>
      </w:pPr>
    </w:p>
    <w:p>
      <w:pPr>
        <w:ind w:left="1180" w:right="440" w:hanging="592"/>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postponement or adjournment of the Annual Meeting.</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The Annual Meeting will only be accessible virtually via live webcast over the Internet at </w:t>
      </w:r>
      <w:r>
        <w:rPr>
          <w:rFonts w:ascii="Arial" w:cs="Arial" w:eastAsia="Arial" w:hAnsi="Arial"/>
          <w:sz w:val="17"/>
          <w:szCs w:val="17"/>
          <w:u w:val="single" w:color="auto"/>
          <w:color w:val="auto"/>
        </w:rPr>
        <w:t>www.virtualshareholdermeeting.com/PNNT2022</w:t>
      </w:r>
      <w:r>
        <w:rPr>
          <w:rFonts w:ascii="Arial" w:cs="Arial" w:eastAsia="Arial" w:hAnsi="Arial"/>
          <w:sz w:val="17"/>
          <w:szCs w:val="17"/>
          <w:color w:val="auto"/>
        </w:rPr>
        <w:t>.</w:t>
      </w:r>
    </w:p>
    <w:p>
      <w:pPr>
        <w:spacing w:after="0" w:line="129" w:lineRule="exact"/>
        <w:rPr>
          <w:sz w:val="20"/>
          <w:szCs w:val="20"/>
          <w:color w:val="auto"/>
        </w:rPr>
      </w:pPr>
    </w:p>
    <w:p>
      <w:pPr>
        <w:ind w:right="280" w:firstLine="589"/>
        <w:spacing w:after="0" w:line="275" w:lineRule="auto"/>
        <w:rPr>
          <w:sz w:val="20"/>
          <w:szCs w:val="20"/>
          <w:color w:val="auto"/>
        </w:rPr>
      </w:pPr>
      <w:r>
        <w:rPr>
          <w:rFonts w:ascii="Arial" w:cs="Arial" w:eastAsia="Arial" w:hAnsi="Arial"/>
          <w:sz w:val="17"/>
          <w:szCs w:val="17"/>
          <w:color w:val="auto"/>
        </w:rPr>
        <w:t>You have the right to receive notice of, and to vote at, the Annual Meeting if you were a stockholder of record of the Company at the close of business on December 1, 2021.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76"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64" w:lineRule="exact"/>
        <w:rPr>
          <w:sz w:val="20"/>
          <w:szCs w:val="20"/>
          <w:color w:val="auto"/>
        </w:rPr>
      </w:pPr>
    </w:p>
    <w:p>
      <w:pPr>
        <w:ind w:right="1280"/>
        <w:spacing w:after="0" w:line="282" w:lineRule="auto"/>
        <w:rPr>
          <w:sz w:val="20"/>
          <w:szCs w:val="20"/>
          <w:color w:val="auto"/>
        </w:rPr>
      </w:pPr>
      <w:r>
        <w:rPr>
          <w:rFonts w:ascii="Arial" w:cs="Arial" w:eastAsia="Arial" w:hAnsi="Arial"/>
          <w:sz w:val="18"/>
          <w:szCs w:val="18"/>
          <w:b w:val="1"/>
          <w:bCs w:val="1"/>
          <w:color w:val="auto"/>
        </w:rPr>
        <w:t>THE COMPANY’S BOARD OF DIRECTORS, INCLUDING EACH OF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8867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9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jc w:val="both"/>
        <w:ind w:left="120" w:right="160"/>
        <w:spacing w:after="0" w:line="279" w:lineRule="auto"/>
        <w:rPr>
          <w:sz w:val="20"/>
          <w:szCs w:val="20"/>
          <w:color w:val="auto"/>
        </w:rPr>
      </w:pPr>
      <w:r>
        <w:rPr>
          <w:rFonts w:ascii="Arial" w:cs="Arial" w:eastAsia="Arial" w:hAnsi="Arial"/>
          <w:sz w:val="17"/>
          <w:szCs w:val="17"/>
          <w:b w:val="1"/>
          <w:bCs w:val="1"/>
          <w:color w:val="auto"/>
        </w:rPr>
        <w:t>This is an important meeting. To ensure proper representation at the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3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2022 Virtual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www.virtualshareholdermeeting.com/PNNT2022</w:t>
      </w:r>
    </w:p>
    <w:p>
      <w:pPr>
        <w:jc w:val="center"/>
        <w:ind w:right="-39"/>
        <w:spacing w:after="0"/>
        <w:rPr>
          <w:sz w:val="20"/>
          <w:szCs w:val="20"/>
          <w:color w:val="auto"/>
        </w:rPr>
      </w:pPr>
      <w:r>
        <w:rPr>
          <w:rFonts w:ascii="Arial" w:cs="Arial" w:eastAsia="Arial" w:hAnsi="Arial"/>
          <w:sz w:val="18"/>
          <w:szCs w:val="18"/>
          <w:b w:val="1"/>
          <w:bCs w:val="1"/>
          <w:color w:val="auto"/>
        </w:rPr>
        <w:t>To be held on February 8, 2022</w:t>
      </w:r>
    </w:p>
    <w:p>
      <w:pPr>
        <w:spacing w:after="0" w:line="209"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8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 xml:space="preserve">This Proxy Statement is furnished in connection with the solicitation of proxies by the Board of Directors (the “Board”) of PennantPark Investment Corporation, a Maryland corporation (“PNNT,” the “Company,” “we,” “us” or “our”), for use at the Company’s 2022 Virtual Annual Meeting of Stockholders (the “Meeting”) to be held on Tuesday February 8, 2022, at 9:30 a.m., Eastern Time, at </w:t>
      </w:r>
      <w:r>
        <w:rPr>
          <w:rFonts w:ascii="Arial" w:cs="Arial" w:eastAsia="Arial" w:hAnsi="Arial"/>
          <w:sz w:val="18"/>
          <w:szCs w:val="18"/>
          <w:u w:val="single" w:color="auto"/>
          <w:color w:val="auto"/>
        </w:rPr>
        <w:t>www.virtualshareholdermeeting.com/PNNT2022</w:t>
      </w:r>
      <w:r>
        <w:rPr>
          <w:rFonts w:ascii="Arial" w:cs="Arial" w:eastAsia="Arial" w:hAnsi="Arial"/>
          <w:sz w:val="18"/>
          <w:szCs w:val="18"/>
          <w:color w:val="auto"/>
        </w:rPr>
        <w:t xml:space="preserve"> and at any postponements or adjournments thereof. To participate in the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2021 (the “Annual Report”) are being provided to the stockholders thereof (the “Stockholders”) via the Internet on or about December 20, 2021. In addition, a Notice of Annual Meeting and a Notice of Internet Availability of Proxy Materials are being sent to Stockholders of record of the Company as of December 1, 2021 (the “Record Date”).</w:t>
      </w:r>
    </w:p>
    <w:p>
      <w:pPr>
        <w:spacing w:after="0" w:line="19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encourage you to vote your shares, either by voting in person (virtually)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(virtually) at the virtual Meeting and voting online. Participating in the virtual Meeting does not revoke your proxy unless you also vote online at the Meeting. Any Stockholder entitled to vote at the Meeting may attend the Meeting and vote in person (virtually), whether or not he or she has previously voted his or her shares via proxy or wishes to change a previous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authorize your proxy electronically via the Internet, by telephone or by mail.</w:t>
      </w:r>
    </w:p>
    <w:p>
      <w:pPr>
        <w:spacing w:after="0" w:line="225"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 xml:space="preserve">If you want to submit a question during the Meeting, log into the live webcast at </w:t>
      </w:r>
      <w:r>
        <w:rPr>
          <w:rFonts w:ascii="Arial" w:cs="Arial" w:eastAsia="Arial" w:hAnsi="Arial"/>
          <w:sz w:val="18"/>
          <w:szCs w:val="18"/>
          <w:u w:val="single" w:color="auto"/>
          <w:color w:val="auto"/>
        </w:rPr>
        <w:t>www.virtualshareholdermeeting.com/PNNT2022</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Only questions submitted via the live webcast that are pertinent to Meeting matters will be answered during the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ind w:left="49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117" w:lineRule="exact"/>
        <w:rPr>
          <w:sz w:val="20"/>
          <w:szCs w:val="20"/>
          <w:color w:val="auto"/>
        </w:rPr>
      </w:pPr>
    </w:p>
    <w:p>
      <w:pPr>
        <w:ind w:left="1180" w:right="140" w:hanging="592"/>
        <w:spacing w:after="0" w:line="308" w:lineRule="auto"/>
        <w:tabs>
          <w:tab w:leader="none" w:pos="1207"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vote upon the election of one director to the Board of Directors of the Company who will serve for a term of three years until the 2025 annual meeting of Stockholders and until his successor is duly elected and qualifies (“Proposal 1”);</w:t>
      </w:r>
    </w:p>
    <w:p>
      <w:pPr>
        <w:spacing w:after="0" w:line="38" w:lineRule="exact"/>
        <w:rPr>
          <w:rFonts w:ascii="Arial" w:cs="Arial" w:eastAsia="Arial" w:hAnsi="Arial"/>
          <w:sz w:val="17"/>
          <w:szCs w:val="17"/>
          <w:color w:val="auto"/>
        </w:rPr>
      </w:pPr>
    </w:p>
    <w:p>
      <w:pPr>
        <w:ind w:left="1180" w:right="260" w:hanging="592"/>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the ratification of the selection of RSM US LLP (“RSM”) to serve as the Company’s independent registered public accounting firm for the fiscal year ending September 30, 2022 (“Proposal 2”); and</w:t>
      </w:r>
    </w:p>
    <w:p>
      <w:pPr>
        <w:spacing w:after="0" w:line="62" w:lineRule="exact"/>
        <w:rPr>
          <w:rFonts w:ascii="Arial" w:cs="Arial" w:eastAsia="Arial" w:hAnsi="Arial"/>
          <w:sz w:val="18"/>
          <w:szCs w:val="18"/>
          <w:color w:val="auto"/>
        </w:rPr>
      </w:pPr>
    </w:p>
    <w:p>
      <w:pPr>
        <w:ind w:left="1180" w:hanging="592"/>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postponement or adjournment of the Meeting.</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the Record Date. There were 67,045,105 shares of the Company’s common stock (the “Common Stock”) outstanding on the Record Date. Stockholders are entitled to one vote for each share of Common Stock held.</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right="20" w:firstLine="589"/>
        <w:spacing w:after="0" w:line="293"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(virtually) at the Meeting. The presence at the Meeting, in person (virtually) or by proxy, of the holders of a majority of the shares of Common Stock of the Company outstanding on the Record Date will constitute a quorum for the conduct of business at the Meeting. Those Stockholders who have not otherwise submitted a proxy accessing the Meeting via the listen-only conference call will not be deemed to be “present” for purposes of determining a quorum for the Meeting. Abstentions and Broker Non-Votes (as defined below) will be treated as shares present at the Meeting for quorum purposes. If there are not enough votes for a quorum for the Meeting, the chairman of the Meeting will adjourn the Meeting to permit the further solicitation of proxies.</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an election where the number of nominees is equal to the number of directors to be elected, as is the case at the Meeting, the election of a director to the Board requires the affirmative vote of a majority of the total votes cast for and against such nominee at the Meeting in person (virtually) or by proxy. If you vote “Against” with respect to a nominee, your shares will be voted against the person indicated. Abstentions and Broker Non-Votes will have no effect on the result of the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affirmative vote of a majority of the votes cast at the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not be permitted to exercise voting discretion with respect to Proposal 1.</w:t>
      </w:r>
    </w:p>
    <w:p>
      <w:pPr>
        <w:spacing w:after="0" w:line="183" w:lineRule="exact"/>
        <w:rPr>
          <w:sz w:val="20"/>
          <w:szCs w:val="20"/>
          <w:color w:val="auto"/>
        </w:rPr>
      </w:pPr>
    </w:p>
    <w:p>
      <w:pPr>
        <w:ind w:right="20" w:firstLine="589"/>
        <w:spacing w:after="0" w:line="266" w:lineRule="auto"/>
        <w:rPr>
          <w:sz w:val="20"/>
          <w:szCs w:val="20"/>
          <w:color w:val="auto"/>
        </w:rPr>
      </w:pPr>
      <w:r>
        <w:rPr>
          <w:rFonts w:ascii="Arial" w:cs="Arial" w:eastAsia="Arial" w:hAnsi="Arial"/>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Meeting.</w:t>
      </w:r>
    </w:p>
    <w:p>
      <w:pPr>
        <w:spacing w:after="0" w:line="180"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95" w:lineRule="exact"/>
        <w:rPr>
          <w:sz w:val="20"/>
          <w:szCs w:val="20"/>
          <w:color w:val="auto"/>
        </w:rPr>
      </w:pPr>
    </w:p>
    <w:p>
      <w:pPr>
        <w:ind w:right="200" w:firstLine="864"/>
        <w:spacing w:after="0" w:line="289" w:lineRule="auto"/>
        <w:rPr>
          <w:sz w:val="20"/>
          <w:szCs w:val="20"/>
          <w:color w:val="auto"/>
        </w:rPr>
      </w:pPr>
      <w:r>
        <w:rPr>
          <w:rFonts w:ascii="Arial" w:cs="Arial" w:eastAsia="Arial" w:hAnsi="Arial"/>
          <w:sz w:val="16"/>
          <w:szCs w:val="16"/>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6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 w:name="page7"/>
    <w:bookmarkEnd w:id="6"/>
    <w:p>
      <w:pPr>
        <w:ind w:right="20" w:firstLine="589"/>
        <w:spacing w:after="0" w:line="255" w:lineRule="auto"/>
        <w:rPr>
          <w:sz w:val="20"/>
          <w:szCs w:val="20"/>
          <w:color w:val="auto"/>
        </w:rPr>
      </w:pPr>
      <w:r>
        <w:rPr>
          <w:rFonts w:ascii="Arial" w:cs="Arial" w:eastAsia="Arial" w:hAnsi="Arial"/>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92"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color w:val="auto"/>
        </w:rPr>
        <w:t>If a Stockholder wishes to participate in person (virtually) at the Meeting, but does not wish to give a proxy by Internet, the Stockholder may attend the Meeting in person (virtually) or request and submit a proxy card by following the instructions on the Notice of Internet Availability of Proxy Materials.</w:t>
      </w:r>
    </w:p>
    <w:p>
      <w:pPr>
        <w:spacing w:after="0" w:line="12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(virtually) or (iii) by a notice, provided in writing and signed by the Stockholder, delivered to the Company’s Secretary on any business day before the date of the Meeting.</w:t>
      </w:r>
    </w:p>
    <w:p>
      <w:pPr>
        <w:spacing w:after="0" w:line="188" w:lineRule="exact"/>
        <w:rPr>
          <w:sz w:val="20"/>
          <w:szCs w:val="20"/>
          <w:color w:val="auto"/>
        </w:rPr>
      </w:pPr>
    </w:p>
    <w:p>
      <w:pPr>
        <w:ind w:left="340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Owned</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4"/>
        </w:trPr>
        <w:tc>
          <w:tcPr>
            <w:tcW w:w="6400" w:type="dxa"/>
            <w:vAlign w:val="bottom"/>
            <w:gridSpan w:val="3"/>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bottom w:val="single" w:sz="8" w:color="CFF0FC"/>
            </w:tcBorders>
          </w:tcPr>
          <w:p>
            <w:pPr>
              <w:spacing w:after="0" w:line="20" w:lineRule="exact"/>
              <w:rPr>
                <w:sz w:val="1"/>
                <w:szCs w:val="1"/>
                <w:color w:val="auto"/>
              </w:rPr>
            </w:pPr>
          </w:p>
        </w:tc>
        <w:tc>
          <w:tcPr>
            <w:tcW w:w="5120" w:type="dxa"/>
            <w:vAlign w:val="bottom"/>
            <w:tcBorders>
              <w:bottom w:val="single" w:sz="8" w:color="CFF0FC"/>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Adam K. Bernstein</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46,430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Jeffrey Flug</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309,060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Richard Cheung</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938,423 shares held by the Adviser.</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Dollar Range of the Common</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of the Company</w:t>
            </w:r>
          </w:p>
        </w:tc>
        <w:tc>
          <w:tcPr>
            <w:tcW w:w="2880" w:type="dxa"/>
            <w:vAlign w:val="bottom"/>
            <w:vMerge w:val="restart"/>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the Common Stock</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3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Stock of the Company</w:t>
            </w:r>
            <w:r>
              <w:rPr>
                <w:rFonts w:ascii="Arial" w:cs="Arial" w:eastAsia="Arial" w:hAnsi="Arial"/>
                <w:sz w:val="12"/>
                <w:szCs w:val="12"/>
                <w:b w:val="1"/>
                <w:bCs w:val="1"/>
                <w:color w:val="auto"/>
                <w:w w:val="93"/>
              </w:rPr>
              <w:t>(1)</w:t>
            </w:r>
          </w:p>
        </w:tc>
        <w:tc>
          <w:tcPr>
            <w:tcW w:w="3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6"/>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3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Adam K. Bernstein</w:t>
            </w: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200" w:type="dxa"/>
            <w:vAlign w:val="bottom"/>
            <w:shd w:val="clear" w:color="auto" w:fill="CFF0FC"/>
          </w:tcPr>
          <w:p>
            <w:pPr>
              <w:spacing w:after="0"/>
              <w:rPr>
                <w:sz w:val="19"/>
                <w:szCs w:val="19"/>
                <w:color w:val="auto"/>
              </w:rPr>
            </w:pP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Jeffrey Flug</w:t>
            </w:r>
          </w:p>
        </w:tc>
        <w:tc>
          <w:tcPr>
            <w:tcW w:w="3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right="780" w:hanging="572"/>
        <w:spacing w:after="0" w:line="25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w:t>
      </w:r>
    </w:p>
    <w:p>
      <w:pPr>
        <w:ind w:right="280" w:firstLine="8"/>
        <w:spacing w:after="0" w:line="260" w:lineRule="auto"/>
        <w:tabs>
          <w:tab w:leader="none" w:pos="1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III directors will expire at the annual meetings of stockholders in 2023, 2024 and 2025, respectively. Each director will hold office for the term to which he is elected and until a successor is duly elected and qualifies.</w:t>
      </w:r>
    </w:p>
    <w:p>
      <w:pPr>
        <w:spacing w:after="0" w:line="18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 Stockholder can vote for or against each nominee named below. In the absence of instructions to the contrary, it is the intention of the person named as proxy to vote such proxy FOR the election of the nominee named below. If such nominee should decline or be unable to serve as a director, it is intended that the proxy will be voted for the election of such person as is nominated by the Board as a replacement. The Board has no reason to believe that any nominees will be unable or unwilling to serve.</w:t>
      </w:r>
    </w:p>
    <w:p>
      <w:pPr>
        <w:spacing w:after="0" w:line="183" w:lineRule="exact"/>
        <w:rPr>
          <w:sz w:val="20"/>
          <w:szCs w:val="20"/>
          <w:color w:val="auto"/>
        </w:rPr>
      </w:pPr>
    </w:p>
    <w:p>
      <w:pPr>
        <w:ind w:right="380" w:firstLine="589"/>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 NAMED IN THIS PROXY STATEMENT.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225"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Certain information with respect to the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currently servse as a director of the Company.</w:t>
      </w:r>
    </w:p>
    <w:p>
      <w:pPr>
        <w:spacing w:after="0" w:line="14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Mr. Arthur H. Penn has been nominated for election as a Class III director of the Company for a three-year term expiring in 2025. Mr. Penn is not being proposed for election pursuant to any agreement or understanding between Mr. Penn and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Company,</w:t>
            </w:r>
          </w:p>
        </w:tc>
        <w:tc>
          <w:tcPr>
            <w:tcW w:w="3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Companies in</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Position(s) held</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 Time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During, at least,</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Overseen by</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Name, Address and Age</w:t>
            </w:r>
            <w:r>
              <w:rPr>
                <w:rFonts w:ascii="Arial" w:cs="Arial" w:eastAsia="Arial" w:hAnsi="Arial"/>
                <w:sz w:val="12"/>
                <w:szCs w:val="12"/>
                <w:b w:val="1"/>
                <w:bCs w:val="1"/>
                <w:color w:val="auto"/>
                <w:w w:val="99"/>
              </w:rPr>
              <w:t>(1)</w:t>
            </w:r>
            <w:r>
              <w:rPr>
                <w:rFonts w:ascii="Arial" w:cs="Arial" w:eastAsia="Arial" w:hAnsi="Arial"/>
                <w:sz w:val="14"/>
                <w:szCs w:val="14"/>
                <w:b w:val="1"/>
                <w:bCs w:val="1"/>
                <w:color w:val="auto"/>
                <w:w w:val="99"/>
              </w:rPr>
              <w:t xml:space="preserve">   with Company</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Served</w:t>
            </w:r>
          </w:p>
        </w:tc>
        <w:tc>
          <w:tcPr>
            <w:tcW w:w="3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the Past 5 Years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766" w:right="339" w:bottom="1440" w:gutter="0" w:footer="0" w:header="0"/>
        </w:sect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20"/>
                <w:szCs w:val="20"/>
                <w:color w:val="auto"/>
              </w:rPr>
            </w:pPr>
            <w:r>
              <w:rPr>
                <w:rFonts w:ascii="Arial" w:cs="Arial" w:eastAsia="Arial" w:hAnsi="Arial"/>
                <w:sz w:val="17"/>
                <w:szCs w:val="17"/>
                <w:b w:val="1"/>
                <w:bCs w:val="1"/>
                <w:color w:val="auto"/>
                <w:w w:val="94"/>
              </w:rPr>
              <w:t>Independent Directors</w:t>
            </w: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337"/>
        </w:trPr>
        <w:tc>
          <w:tcPr>
            <w:tcW w:w="1720" w:type="dxa"/>
            <w:vAlign w:val="bottom"/>
          </w:tcPr>
          <w:p>
            <w:pPr>
              <w:spacing w:after="0"/>
              <w:rPr>
                <w:sz w:val="20"/>
                <w:szCs w:val="20"/>
                <w:color w:val="auto"/>
              </w:rPr>
            </w:pPr>
            <w:r>
              <w:rPr>
                <w:rFonts w:ascii="Arial" w:cs="Arial" w:eastAsia="Arial" w:hAnsi="Arial"/>
                <w:sz w:val="17"/>
                <w:szCs w:val="17"/>
                <w:color w:val="auto"/>
                <w:w w:val="96"/>
              </w:rPr>
              <w:t>Adam K. Bernstein (58)</w:t>
            </w:r>
          </w:p>
        </w:tc>
        <w:tc>
          <w:tcPr>
            <w:tcW w:w="880" w:type="dxa"/>
            <w:vAlign w:val="bottom"/>
          </w:tcPr>
          <w:p>
            <w:pPr>
              <w:ind w:left="60"/>
              <w:spacing w:after="0"/>
              <w:rPr>
                <w:sz w:val="20"/>
                <w:szCs w:val="20"/>
                <w:color w:val="auto"/>
              </w:rPr>
            </w:pPr>
            <w:r>
              <w:rPr>
                <w:rFonts w:ascii="Arial" w:cs="Arial" w:eastAsia="Arial" w:hAnsi="Arial"/>
                <w:sz w:val="17"/>
                <w:szCs w:val="17"/>
                <w:color w:val="auto"/>
              </w:rPr>
              <w:t>Director</w:t>
            </w:r>
          </w:p>
        </w:tc>
        <w:tc>
          <w:tcPr>
            <w:tcW w:w="1900" w:type="dxa"/>
            <w:vAlign w:val="bottom"/>
          </w:tcPr>
          <w:p>
            <w:pPr>
              <w:ind w:left="260"/>
              <w:spacing w:after="0"/>
              <w:rPr>
                <w:sz w:val="20"/>
                <w:szCs w:val="20"/>
                <w:color w:val="auto"/>
              </w:rPr>
            </w:pPr>
            <w:r>
              <w:rPr>
                <w:rFonts w:ascii="Arial" w:cs="Arial" w:eastAsia="Arial" w:hAnsi="Arial"/>
                <w:sz w:val="17"/>
                <w:szCs w:val="17"/>
                <w:color w:val="auto"/>
              </w:rPr>
              <w:t>PNNT - Class II</w:t>
            </w:r>
          </w:p>
        </w:tc>
        <w:tc>
          <w:tcPr>
            <w:tcW w:w="3720" w:type="dxa"/>
            <w:vAlign w:val="bottom"/>
          </w:tcPr>
          <w:p>
            <w:pPr>
              <w:ind w:left="360"/>
              <w:spacing w:after="0"/>
              <w:rPr>
                <w:sz w:val="20"/>
                <w:szCs w:val="20"/>
                <w:color w:val="auto"/>
              </w:rPr>
            </w:pPr>
            <w:r>
              <w:rPr>
                <w:rFonts w:ascii="Arial" w:cs="Arial" w:eastAsia="Arial" w:hAnsi="Arial"/>
                <w:sz w:val="17"/>
                <w:szCs w:val="17"/>
                <w:color w:val="auto"/>
              </w:rPr>
              <w:t>President of The Bernstein Companies, a</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Director since</w:t>
            </w:r>
          </w:p>
        </w:tc>
        <w:tc>
          <w:tcPr>
            <w:tcW w:w="3720" w:type="dxa"/>
            <w:vAlign w:val="bottom"/>
          </w:tcPr>
          <w:p>
            <w:pPr>
              <w:ind w:left="360"/>
              <w:spacing w:after="0"/>
              <w:rPr>
                <w:sz w:val="20"/>
                <w:szCs w:val="20"/>
                <w:color w:val="auto"/>
              </w:rPr>
            </w:pPr>
            <w:r>
              <w:rPr>
                <w:rFonts w:ascii="Arial" w:cs="Arial" w:eastAsia="Arial" w:hAnsi="Arial"/>
                <w:sz w:val="17"/>
                <w:szCs w:val="17"/>
                <w:color w:val="auto"/>
                <w:w w:val="93"/>
              </w:rPr>
              <w:t>Washington, D.C.-based real estate investment</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February 2007;</w:t>
            </w:r>
          </w:p>
        </w:tc>
        <w:tc>
          <w:tcPr>
            <w:tcW w:w="3720" w:type="dxa"/>
            <w:vAlign w:val="bottom"/>
          </w:tcPr>
          <w:p>
            <w:pPr>
              <w:ind w:left="360"/>
              <w:spacing w:after="0"/>
              <w:rPr>
                <w:sz w:val="20"/>
                <w:szCs w:val="20"/>
                <w:color w:val="auto"/>
              </w:rPr>
            </w:pPr>
            <w:r>
              <w:rPr>
                <w:rFonts w:ascii="Arial" w:cs="Arial" w:eastAsia="Arial" w:hAnsi="Arial"/>
                <w:sz w:val="17"/>
                <w:szCs w:val="17"/>
                <w:color w:val="auto"/>
                <w:w w:val="91"/>
              </w:rPr>
              <w:t>and development firm, since 1995 and President</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Term expires 2024</w:t>
            </w:r>
          </w:p>
        </w:tc>
        <w:tc>
          <w:tcPr>
            <w:tcW w:w="3720" w:type="dxa"/>
            <w:vAlign w:val="bottom"/>
          </w:tcPr>
          <w:p>
            <w:pPr>
              <w:ind w:left="360"/>
              <w:spacing w:after="0"/>
              <w:rPr>
                <w:sz w:val="20"/>
                <w:szCs w:val="20"/>
                <w:color w:val="auto"/>
              </w:rPr>
            </w:pPr>
            <w:r>
              <w:rPr>
                <w:rFonts w:ascii="Arial" w:cs="Arial" w:eastAsia="Arial" w:hAnsi="Arial"/>
                <w:sz w:val="17"/>
                <w:szCs w:val="17"/>
                <w:color w:val="auto"/>
              </w:rPr>
              <w:t>and Chief Executive Officer of Consortium</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6"/>
              </w:rPr>
              <w:t>Atlantic Realty Trust, Inc., a private real estate</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9"/>
              </w:rPr>
              <w:t>investment trust operating in the Mid-Atlantic</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89"/>
              </w:rPr>
              <w:t>region, from 2006. Also, Mr. Bernstein has served</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3"/>
              </w:rPr>
              <w:t>on the Board of Overseers of the School of Arts</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4"/>
              </w:rPr>
              <w:t>and Sciences at the University of Pennsylvania</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since 2012 and the Board of Trustees of the</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3"/>
              </w:rPr>
              <w:t>School of Arts and Sciences at the University of</w:t>
            </w: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Pennsylvania since 2018.</w:t>
            </w:r>
          </w:p>
        </w:tc>
      </w:tr>
      <w:tr>
        <w:trPr>
          <w:trHeight w:val="337"/>
        </w:trPr>
        <w:tc>
          <w:tcPr>
            <w:tcW w:w="1720" w:type="dxa"/>
            <w:vAlign w:val="bottom"/>
          </w:tcPr>
          <w:p>
            <w:pPr>
              <w:spacing w:after="0"/>
              <w:rPr>
                <w:sz w:val="20"/>
                <w:szCs w:val="20"/>
                <w:color w:val="auto"/>
              </w:rPr>
            </w:pPr>
            <w:r>
              <w:rPr>
                <w:rFonts w:ascii="Arial" w:cs="Arial" w:eastAsia="Arial" w:hAnsi="Arial"/>
                <w:sz w:val="17"/>
                <w:szCs w:val="17"/>
                <w:color w:val="auto"/>
              </w:rPr>
              <w:t>Marshall Brozost (54)</w:t>
            </w:r>
          </w:p>
        </w:tc>
        <w:tc>
          <w:tcPr>
            <w:tcW w:w="880" w:type="dxa"/>
            <w:vAlign w:val="bottom"/>
          </w:tcPr>
          <w:p>
            <w:pPr>
              <w:ind w:left="60"/>
              <w:spacing w:after="0"/>
              <w:rPr>
                <w:sz w:val="20"/>
                <w:szCs w:val="20"/>
                <w:color w:val="auto"/>
              </w:rPr>
            </w:pPr>
            <w:r>
              <w:rPr>
                <w:rFonts w:ascii="Arial" w:cs="Arial" w:eastAsia="Arial" w:hAnsi="Arial"/>
                <w:sz w:val="17"/>
                <w:szCs w:val="17"/>
                <w:color w:val="auto"/>
              </w:rPr>
              <w:t>Director</w:t>
            </w:r>
          </w:p>
        </w:tc>
        <w:tc>
          <w:tcPr>
            <w:tcW w:w="1900" w:type="dxa"/>
            <w:vAlign w:val="bottom"/>
          </w:tcPr>
          <w:p>
            <w:pPr>
              <w:ind w:left="260"/>
              <w:spacing w:after="0"/>
              <w:rPr>
                <w:sz w:val="20"/>
                <w:szCs w:val="20"/>
                <w:color w:val="auto"/>
              </w:rPr>
            </w:pPr>
            <w:r>
              <w:rPr>
                <w:rFonts w:ascii="Arial" w:cs="Arial" w:eastAsia="Arial" w:hAnsi="Arial"/>
                <w:sz w:val="17"/>
                <w:szCs w:val="17"/>
                <w:color w:val="auto"/>
              </w:rPr>
              <w:t>PNNT - Class I</w:t>
            </w:r>
          </w:p>
        </w:tc>
        <w:tc>
          <w:tcPr>
            <w:tcW w:w="3720" w:type="dxa"/>
            <w:vAlign w:val="bottom"/>
          </w:tcPr>
          <w:p>
            <w:pPr>
              <w:ind w:left="360"/>
              <w:spacing w:after="0"/>
              <w:rPr>
                <w:sz w:val="20"/>
                <w:szCs w:val="20"/>
                <w:color w:val="auto"/>
              </w:rPr>
            </w:pPr>
            <w:r>
              <w:rPr>
                <w:rFonts w:ascii="Arial" w:cs="Arial" w:eastAsia="Arial" w:hAnsi="Arial"/>
                <w:sz w:val="17"/>
                <w:szCs w:val="17"/>
                <w:color w:val="auto"/>
                <w:w w:val="99"/>
              </w:rPr>
              <w:t>Partner at Orrick, Herrington &amp; Sutcliffe LLP,</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Director since</w:t>
            </w:r>
          </w:p>
        </w:tc>
        <w:tc>
          <w:tcPr>
            <w:tcW w:w="3720" w:type="dxa"/>
            <w:vAlign w:val="bottom"/>
          </w:tcPr>
          <w:p>
            <w:pPr>
              <w:ind w:left="360"/>
              <w:spacing w:after="0"/>
              <w:rPr>
                <w:sz w:val="20"/>
                <w:szCs w:val="20"/>
                <w:color w:val="auto"/>
              </w:rPr>
            </w:pPr>
            <w:r>
              <w:rPr>
                <w:rFonts w:ascii="Arial" w:cs="Arial" w:eastAsia="Arial" w:hAnsi="Arial"/>
                <w:sz w:val="17"/>
                <w:szCs w:val="17"/>
                <w:color w:val="auto"/>
                <w:w w:val="92"/>
              </w:rPr>
              <w:t>where he practices in the real estate and private</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February 2007;</w:t>
            </w:r>
          </w:p>
        </w:tc>
        <w:tc>
          <w:tcPr>
            <w:tcW w:w="3720" w:type="dxa"/>
            <w:vAlign w:val="bottom"/>
          </w:tcPr>
          <w:p>
            <w:pPr>
              <w:ind w:left="360"/>
              <w:spacing w:after="0"/>
              <w:rPr>
                <w:sz w:val="20"/>
                <w:szCs w:val="20"/>
                <w:color w:val="auto"/>
              </w:rPr>
            </w:pPr>
            <w:r>
              <w:rPr>
                <w:rFonts w:ascii="Arial" w:cs="Arial" w:eastAsia="Arial" w:hAnsi="Arial"/>
                <w:sz w:val="17"/>
                <w:szCs w:val="17"/>
                <w:color w:val="auto"/>
                <w:w w:val="96"/>
              </w:rPr>
              <w:t>equity groups, since July 2016. Prior to Orrick,</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Term expires 2023</w:t>
            </w:r>
          </w:p>
        </w:tc>
        <w:tc>
          <w:tcPr>
            <w:tcW w:w="3720" w:type="dxa"/>
            <w:vAlign w:val="bottom"/>
          </w:tcPr>
          <w:p>
            <w:pPr>
              <w:ind w:left="360"/>
              <w:spacing w:after="0"/>
              <w:rPr>
                <w:sz w:val="20"/>
                <w:szCs w:val="20"/>
                <w:color w:val="auto"/>
              </w:rPr>
            </w:pPr>
            <w:r>
              <w:rPr>
                <w:rFonts w:ascii="Arial" w:cs="Arial" w:eastAsia="Arial" w:hAnsi="Arial"/>
                <w:sz w:val="17"/>
                <w:szCs w:val="17"/>
                <w:color w:val="auto"/>
              </w:rPr>
              <w:t>Herrington &amp; Sutcliffe LLP. Mr. Brozost</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3"/>
              </w:rPr>
              <w:t>practiced law at Schulte Roth &amp; Zabel LLP from</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May 2012 to July 2016 and at Dewey &amp;</w:t>
            </w: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LeBoeuf LLP from 2005 to 2012.</w:t>
            </w:r>
          </w:p>
        </w:tc>
      </w:tr>
      <w:tr>
        <w:trPr>
          <w:trHeight w:val="337"/>
        </w:trPr>
        <w:tc>
          <w:tcPr>
            <w:tcW w:w="1720" w:type="dxa"/>
            <w:vAlign w:val="bottom"/>
          </w:tcPr>
          <w:p>
            <w:pPr>
              <w:spacing w:after="0"/>
              <w:rPr>
                <w:sz w:val="20"/>
                <w:szCs w:val="20"/>
                <w:color w:val="auto"/>
              </w:rPr>
            </w:pPr>
            <w:r>
              <w:rPr>
                <w:rFonts w:ascii="Arial" w:cs="Arial" w:eastAsia="Arial" w:hAnsi="Arial"/>
                <w:sz w:val="17"/>
                <w:szCs w:val="17"/>
                <w:color w:val="auto"/>
              </w:rPr>
              <w:t>Jeffrey Flug (59)</w:t>
            </w:r>
          </w:p>
        </w:tc>
        <w:tc>
          <w:tcPr>
            <w:tcW w:w="880" w:type="dxa"/>
            <w:vAlign w:val="bottom"/>
          </w:tcPr>
          <w:p>
            <w:pPr>
              <w:ind w:left="60"/>
              <w:spacing w:after="0"/>
              <w:rPr>
                <w:sz w:val="20"/>
                <w:szCs w:val="20"/>
                <w:color w:val="auto"/>
              </w:rPr>
            </w:pPr>
            <w:r>
              <w:rPr>
                <w:rFonts w:ascii="Arial" w:cs="Arial" w:eastAsia="Arial" w:hAnsi="Arial"/>
                <w:sz w:val="17"/>
                <w:szCs w:val="17"/>
                <w:color w:val="auto"/>
              </w:rPr>
              <w:t>Director</w:t>
            </w:r>
          </w:p>
        </w:tc>
        <w:tc>
          <w:tcPr>
            <w:tcW w:w="1900" w:type="dxa"/>
            <w:vAlign w:val="bottom"/>
          </w:tcPr>
          <w:p>
            <w:pPr>
              <w:ind w:left="260"/>
              <w:spacing w:after="0"/>
              <w:rPr>
                <w:sz w:val="20"/>
                <w:szCs w:val="20"/>
                <w:color w:val="auto"/>
              </w:rPr>
            </w:pPr>
            <w:r>
              <w:rPr>
                <w:rFonts w:ascii="Arial" w:cs="Arial" w:eastAsia="Arial" w:hAnsi="Arial"/>
                <w:sz w:val="17"/>
                <w:szCs w:val="17"/>
                <w:color w:val="auto"/>
              </w:rPr>
              <w:t>PNNT - Class II</w:t>
            </w:r>
          </w:p>
        </w:tc>
        <w:tc>
          <w:tcPr>
            <w:tcW w:w="3720" w:type="dxa"/>
            <w:vAlign w:val="bottom"/>
          </w:tcPr>
          <w:p>
            <w:pPr>
              <w:ind w:left="360"/>
              <w:spacing w:after="0"/>
              <w:rPr>
                <w:sz w:val="20"/>
                <w:szCs w:val="20"/>
                <w:color w:val="auto"/>
              </w:rPr>
            </w:pPr>
            <w:r>
              <w:rPr>
                <w:rFonts w:ascii="Arial" w:cs="Arial" w:eastAsia="Arial" w:hAnsi="Arial"/>
                <w:sz w:val="17"/>
                <w:szCs w:val="17"/>
                <w:color w:val="auto"/>
              </w:rPr>
              <w:t>Mr. Flug was President of Union Square</w:t>
            </w:r>
          </w:p>
        </w:tc>
      </w:tr>
      <w:tr>
        <w:trPr>
          <w:trHeight w:val="202"/>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Director since</w:t>
            </w:r>
          </w:p>
        </w:tc>
        <w:tc>
          <w:tcPr>
            <w:tcW w:w="3720" w:type="dxa"/>
            <w:vAlign w:val="bottom"/>
          </w:tcPr>
          <w:p>
            <w:pPr>
              <w:ind w:left="360"/>
              <w:spacing w:after="0"/>
              <w:rPr>
                <w:sz w:val="20"/>
                <w:szCs w:val="20"/>
                <w:color w:val="auto"/>
              </w:rPr>
            </w:pPr>
            <w:r>
              <w:rPr>
                <w:rFonts w:ascii="Arial" w:cs="Arial" w:eastAsia="Arial" w:hAnsi="Arial"/>
                <w:sz w:val="17"/>
                <w:szCs w:val="17"/>
                <w:color w:val="auto"/>
              </w:rPr>
              <w:t>Hospitality Group, an exclusive chain of</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February 2007;</w:t>
            </w:r>
          </w:p>
        </w:tc>
        <w:tc>
          <w:tcPr>
            <w:tcW w:w="3720" w:type="dxa"/>
            <w:vAlign w:val="bottom"/>
          </w:tcPr>
          <w:p>
            <w:pPr>
              <w:ind w:left="360"/>
              <w:spacing w:after="0"/>
              <w:rPr>
                <w:sz w:val="20"/>
                <w:szCs w:val="20"/>
                <w:color w:val="auto"/>
              </w:rPr>
            </w:pPr>
            <w:r>
              <w:rPr>
                <w:rFonts w:ascii="Arial" w:cs="Arial" w:eastAsia="Arial" w:hAnsi="Arial"/>
                <w:sz w:val="17"/>
                <w:szCs w:val="17"/>
                <w:color w:val="auto"/>
                <w:w w:val="96"/>
              </w:rPr>
              <w:t>restaurants, from 2009 to June 2015. Mr. Flug</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7"/>
                <w:szCs w:val="17"/>
                <w:color w:val="auto"/>
              </w:rPr>
              <w:t>Term expires 2024</w:t>
            </w:r>
          </w:p>
        </w:tc>
        <w:tc>
          <w:tcPr>
            <w:tcW w:w="3720" w:type="dxa"/>
            <w:vAlign w:val="bottom"/>
          </w:tcPr>
          <w:p>
            <w:pPr>
              <w:ind w:left="360"/>
              <w:spacing w:after="0"/>
              <w:rPr>
                <w:sz w:val="20"/>
                <w:szCs w:val="20"/>
                <w:color w:val="auto"/>
              </w:rPr>
            </w:pPr>
            <w:r>
              <w:rPr>
                <w:rFonts w:ascii="Arial" w:cs="Arial" w:eastAsia="Arial" w:hAnsi="Arial"/>
                <w:sz w:val="17"/>
                <w:szCs w:val="17"/>
                <w:color w:val="auto"/>
                <w:w w:val="92"/>
              </w:rPr>
              <w:t>served as Chief Executive Officer and Executive</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5"/>
              </w:rPr>
              <w:t>Director of Millennium Promise Alliance, Inc., a</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non-profit organization whose mission is to</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5"/>
              </w:rPr>
              <w:t>eradicate extreme global poverty, from 2006 to</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2008. From 2000 to 2006, Mr. Flug was a</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3"/>
              </w:rPr>
              <w:t>Managing Director and Head of North American</w:t>
            </w: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w w:val="98"/>
              </w:rPr>
              <w:t>Institutional Sales at JP Morgan’s Investment</w:t>
            </w: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7"/>
                <w:szCs w:val="17"/>
                <w:color w:val="auto"/>
              </w:rPr>
              <w:t>Bank.</w:t>
            </w:r>
          </w:p>
        </w:tc>
      </w:tr>
      <w:tr>
        <w:trPr>
          <w:trHeight w:val="571"/>
        </w:trPr>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20" w:type="dxa"/>
            <w:vAlign w:val="bottom"/>
          </w:tcPr>
          <w:p>
            <w:pPr>
              <w:ind w:left="108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Advisory Board</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Member of University</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Research Corporation</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Director of Shake</w:t>
      </w:r>
    </w:p>
    <w:p>
      <w:pPr>
        <w:spacing w:after="0" w:line="34" w:lineRule="exact"/>
        <w:rPr>
          <w:sz w:val="20"/>
          <w:szCs w:val="20"/>
          <w:color w:val="auto"/>
        </w:rPr>
      </w:pPr>
    </w:p>
    <w:p>
      <w:pPr>
        <w:ind w:left="820" w:right="60"/>
        <w:spacing w:after="0" w:line="287" w:lineRule="auto"/>
        <w:rPr>
          <w:sz w:val="20"/>
          <w:szCs w:val="20"/>
          <w:color w:val="auto"/>
        </w:rPr>
      </w:pPr>
      <w:r>
        <w:rPr>
          <w:rFonts w:ascii="Arial" w:cs="Arial" w:eastAsia="Arial" w:hAnsi="Arial"/>
          <w:sz w:val="15"/>
          <w:szCs w:val="15"/>
          <w:color w:val="auto"/>
        </w:rPr>
        <w:t>Shack Inc., since September 2014; Tender Greens, a private company, since 2015; Sears Hometown and Outlet Stores, Inc., from October 2012 to September 2015.</w:t>
      </w:r>
    </w:p>
    <w:p>
      <w:pPr>
        <w:sectPr>
          <w:pgSz w:w="11900" w:h="16838" w:orient="portrait"/>
          <w:cols w:equalWidth="0" w:num="2">
            <w:col w:w="8220" w:space="520"/>
            <w:col w:w="2500"/>
          </w:cols>
          <w:pgMar w:left="320" w:top="766"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Company,</w:t>
            </w:r>
          </w:p>
        </w:tc>
        <w:tc>
          <w:tcPr>
            <w:tcW w:w="3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Companies in</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9"/>
              </w:rPr>
              <w:t>Position(s) held</w:t>
            </w:r>
          </w:p>
        </w:tc>
        <w:tc>
          <w:tcPr>
            <w:tcW w:w="12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Name, Address and Age</w:t>
            </w:r>
            <w:r>
              <w:rPr>
                <w:rFonts w:ascii="Arial" w:cs="Arial" w:eastAsia="Arial" w:hAnsi="Arial"/>
                <w:sz w:val="12"/>
                <w:szCs w:val="12"/>
                <w:b w:val="1"/>
                <w:bCs w:val="1"/>
                <w:color w:val="auto"/>
                <w:w w:val="92"/>
              </w:rPr>
              <w:t>(1)</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 Time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During, at least,</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Overseen by</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with Company</w:t>
            </w:r>
          </w:p>
        </w:tc>
        <w:tc>
          <w:tcPr>
            <w:tcW w:w="12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00" w:type="dxa"/>
            <w:vAlign w:val="bottom"/>
          </w:tcPr>
          <w:p>
            <w:pPr>
              <w:spacing w:after="0"/>
              <w:rPr>
                <w:sz w:val="14"/>
                <w:szCs w:val="1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Past 5 Years</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27"/>
        </w:trPr>
        <w:tc>
          <w:tcPr>
            <w:tcW w:w="1660" w:type="dxa"/>
            <w:vAlign w:val="bottom"/>
          </w:tcPr>
          <w:p>
            <w:pPr>
              <w:spacing w:after="0"/>
              <w:rPr>
                <w:sz w:val="20"/>
                <w:szCs w:val="20"/>
                <w:color w:val="auto"/>
              </w:rPr>
            </w:pPr>
            <w:r>
              <w:rPr>
                <w:rFonts w:ascii="Arial" w:cs="Arial" w:eastAsia="Arial" w:hAnsi="Arial"/>
                <w:sz w:val="17"/>
                <w:szCs w:val="17"/>
                <w:color w:val="auto"/>
              </w:rPr>
              <w:t>Samuel L. Katz (56)</w:t>
            </w: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PNNT - Class I</w:t>
            </w:r>
          </w:p>
        </w:tc>
        <w:tc>
          <w:tcPr>
            <w:tcW w:w="3480" w:type="dxa"/>
            <w:vAlign w:val="bottom"/>
            <w:gridSpan w:val="2"/>
          </w:tcPr>
          <w:p>
            <w:pPr>
              <w:spacing w:after="0"/>
              <w:rPr>
                <w:sz w:val="20"/>
                <w:szCs w:val="20"/>
                <w:color w:val="auto"/>
              </w:rPr>
            </w:pPr>
            <w:r>
              <w:rPr>
                <w:rFonts w:ascii="Arial" w:cs="Arial" w:eastAsia="Arial" w:hAnsi="Arial"/>
                <w:sz w:val="17"/>
                <w:szCs w:val="17"/>
                <w:color w:val="auto"/>
                <w:w w:val="97"/>
              </w:rPr>
              <w:t>Managing Partner of TZP Group LLC, a private</w:t>
            </w: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680" w:type="dxa"/>
            <w:vAlign w:val="bottom"/>
          </w:tcPr>
          <w:p>
            <w:pPr>
              <w:jc w:val="center"/>
              <w:spacing w:after="0"/>
              <w:rPr>
                <w:sz w:val="20"/>
                <w:szCs w:val="20"/>
                <w:color w:val="auto"/>
              </w:rPr>
            </w:pPr>
            <w:r>
              <w:rPr>
                <w:rFonts w:ascii="Arial" w:cs="Arial" w:eastAsia="Arial" w:hAnsi="Arial"/>
                <w:sz w:val="17"/>
                <w:szCs w:val="17"/>
                <w:color w:val="auto"/>
                <w:w w:val="95"/>
              </w:rPr>
              <w:t>Director of TZP</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Director since</w:t>
            </w:r>
          </w:p>
        </w:tc>
        <w:tc>
          <w:tcPr>
            <w:tcW w:w="3480" w:type="dxa"/>
            <w:vAlign w:val="bottom"/>
            <w:gridSpan w:val="2"/>
          </w:tcPr>
          <w:p>
            <w:pPr>
              <w:spacing w:after="0"/>
              <w:rPr>
                <w:sz w:val="20"/>
                <w:szCs w:val="20"/>
                <w:color w:val="auto"/>
              </w:rPr>
            </w:pPr>
            <w:r>
              <w:rPr>
                <w:rFonts w:ascii="Arial" w:cs="Arial" w:eastAsia="Arial" w:hAnsi="Arial"/>
                <w:sz w:val="17"/>
                <w:szCs w:val="17"/>
                <w:color w:val="auto"/>
                <w:w w:val="96"/>
              </w:rPr>
              <w:t>equity fund, since 2007. Chief Executive Officer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Strategies Acquisition</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February 2007;</w:t>
            </w:r>
          </w:p>
        </w:tc>
        <w:tc>
          <w:tcPr>
            <w:tcW w:w="3480" w:type="dxa"/>
            <w:vAlign w:val="bottom"/>
            <w:gridSpan w:val="2"/>
          </w:tcPr>
          <w:p>
            <w:pPr>
              <w:spacing w:after="0"/>
              <w:rPr>
                <w:sz w:val="20"/>
                <w:szCs w:val="20"/>
                <w:color w:val="auto"/>
              </w:rPr>
            </w:pPr>
            <w:r>
              <w:rPr>
                <w:rFonts w:ascii="Arial" w:cs="Arial" w:eastAsia="Arial" w:hAnsi="Arial"/>
                <w:sz w:val="17"/>
                <w:szCs w:val="17"/>
                <w:color w:val="auto"/>
                <w:w w:val="96"/>
              </w:rPr>
              <w:t>and director of TZP Strategies Acquisition Corp.</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Corp.; Bigname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Term expires 2023</w:t>
            </w:r>
          </w:p>
        </w:tc>
        <w:tc>
          <w:tcPr>
            <w:tcW w:w="3480" w:type="dxa"/>
            <w:vAlign w:val="bottom"/>
            <w:gridSpan w:val="2"/>
          </w:tcPr>
          <w:p>
            <w:pPr>
              <w:spacing w:after="0"/>
              <w:rPr>
                <w:sz w:val="20"/>
                <w:szCs w:val="20"/>
                <w:color w:val="auto"/>
              </w:rPr>
            </w:pPr>
            <w:r>
              <w:rPr>
                <w:rFonts w:ascii="Arial" w:cs="Arial" w:eastAsia="Arial" w:hAnsi="Arial"/>
                <w:sz w:val="17"/>
                <w:szCs w:val="17"/>
                <w:color w:val="auto"/>
                <w:w w:val="98"/>
              </w:rPr>
              <w:t>(Nasdaq: TZPS), a special purpose acquisition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Commerce; Family</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company Before joining TZP Group, Mr. Katz</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Entertainment Group;</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was Chief Executive Officer of MacAndrews &amp;</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7"/>
              </w:rPr>
              <w:t>BQ Resorts, LLC; Lift</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w w:val="99"/>
              </w:rPr>
              <w:t>Forbes Acquisition Holdings, Inc. from 2006 to</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Brands, Inc.;</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2007. Prior to that position, Mr. Katz was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HomeRiver Group;</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Chairman and Chief Executive Officer of the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Pyramid Hotel</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Cendant Travel Distribution Services Division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4"/>
              </w:rPr>
              <w:t>Group; Hylan Datacom</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from 2001 to 2005.</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6"/>
              </w:rPr>
              <w:t>&amp; Electrical; Triangle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0"/>
              </w:rPr>
              <w:t>Home Fashions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6"/>
              </w:rPr>
              <w:t>Holdings, LLC;</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Whitestone Home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Furnishings, LLC (d/b/a</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0"/>
              </w:rPr>
              <w:t>The Saatva Company);</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4"/>
              </w:rPr>
              <w:t>Dwellworks Investors;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YRF Darca; Board of</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4"/>
              </w:rPr>
              <w:t>Advisors of Columbia</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7"/>
              </w:rPr>
              <w:t>University Irving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Medical Center</w:t>
            </w: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Arial" w:cs="Arial" w:eastAsia="Arial" w:hAnsi="Arial"/>
                <w:sz w:val="17"/>
                <w:szCs w:val="17"/>
                <w:b w:val="1"/>
                <w:bCs w:val="1"/>
                <w:color w:val="auto"/>
              </w:rPr>
              <w:t>Interested Director</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Company,</w:t>
            </w:r>
          </w:p>
        </w:tc>
        <w:tc>
          <w:tcPr>
            <w:tcW w:w="3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Companies in</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9"/>
              </w:rPr>
              <w:t>Position(s) held</w:t>
            </w:r>
          </w:p>
        </w:tc>
        <w:tc>
          <w:tcPr>
            <w:tcW w:w="12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Name, Address and Age</w:t>
            </w:r>
            <w:r>
              <w:rPr>
                <w:rFonts w:ascii="Arial" w:cs="Arial" w:eastAsia="Arial" w:hAnsi="Arial"/>
                <w:sz w:val="12"/>
                <w:szCs w:val="12"/>
                <w:b w:val="1"/>
                <w:bCs w:val="1"/>
                <w:color w:val="auto"/>
                <w:w w:val="92"/>
              </w:rPr>
              <w:t>(1)</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 Time</w:t>
            </w:r>
          </w:p>
        </w:tc>
        <w:tc>
          <w:tcPr>
            <w:tcW w:w="3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During, at least,</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Overseen by</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with Company</w:t>
            </w:r>
          </w:p>
        </w:tc>
        <w:tc>
          <w:tcPr>
            <w:tcW w:w="12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Served</w:t>
            </w:r>
          </w:p>
        </w:tc>
        <w:tc>
          <w:tcPr>
            <w:tcW w:w="100" w:type="dxa"/>
            <w:vAlign w:val="bottom"/>
          </w:tcPr>
          <w:p>
            <w:pPr>
              <w:spacing w:after="0"/>
              <w:rPr>
                <w:sz w:val="14"/>
                <w:szCs w:val="1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Past 5 Years</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27"/>
        </w:trPr>
        <w:tc>
          <w:tcPr>
            <w:tcW w:w="1660" w:type="dxa"/>
            <w:vAlign w:val="bottom"/>
          </w:tcPr>
          <w:p>
            <w:pPr>
              <w:spacing w:after="0"/>
              <w:rPr>
                <w:sz w:val="20"/>
                <w:szCs w:val="20"/>
                <w:color w:val="auto"/>
              </w:rPr>
            </w:pPr>
            <w:r>
              <w:rPr>
                <w:rFonts w:ascii="Arial" w:cs="Arial" w:eastAsia="Arial" w:hAnsi="Arial"/>
                <w:sz w:val="17"/>
                <w:szCs w:val="17"/>
                <w:color w:val="auto"/>
                <w:w w:val="99"/>
              </w:rPr>
              <w:t>Arthur H. Penn (58)</w:t>
            </w:r>
            <w:r>
              <w:rPr>
                <w:rFonts w:ascii="Arial" w:cs="Arial" w:eastAsia="Arial" w:hAnsi="Arial"/>
                <w:sz w:val="14"/>
                <w:szCs w:val="14"/>
                <w:color w:val="auto"/>
                <w:w w:val="99"/>
              </w:rPr>
              <w:t>(3)</w:t>
            </w: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PNNT - Class III</w:t>
            </w:r>
          </w:p>
        </w:tc>
        <w:tc>
          <w:tcPr>
            <w:tcW w:w="3480" w:type="dxa"/>
            <w:vAlign w:val="bottom"/>
            <w:gridSpan w:val="2"/>
          </w:tcPr>
          <w:p>
            <w:pPr>
              <w:spacing w:after="0"/>
              <w:rPr>
                <w:sz w:val="20"/>
                <w:szCs w:val="20"/>
                <w:color w:val="auto"/>
              </w:rPr>
            </w:pPr>
            <w:r>
              <w:rPr>
                <w:rFonts w:ascii="Arial" w:cs="Arial" w:eastAsia="Arial" w:hAnsi="Arial"/>
                <w:sz w:val="17"/>
                <w:szCs w:val="17"/>
                <w:color w:val="auto"/>
                <w:w w:val="96"/>
              </w:rPr>
              <w:t>Founder, Chairman and Chief Executive Officer</w:t>
            </w: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68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Nominee;</w:t>
            </w: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Director since</w:t>
            </w:r>
          </w:p>
        </w:tc>
        <w:tc>
          <w:tcPr>
            <w:tcW w:w="3480" w:type="dxa"/>
            <w:vAlign w:val="bottom"/>
            <w:gridSpan w:val="2"/>
          </w:tcPr>
          <w:p>
            <w:pPr>
              <w:spacing w:after="0"/>
              <w:rPr>
                <w:sz w:val="20"/>
                <w:szCs w:val="20"/>
                <w:color w:val="auto"/>
              </w:rPr>
            </w:pPr>
            <w:r>
              <w:rPr>
                <w:rFonts w:ascii="Arial" w:cs="Arial" w:eastAsia="Arial" w:hAnsi="Arial"/>
                <w:sz w:val="17"/>
                <w:szCs w:val="17"/>
                <w:color w:val="auto"/>
                <w:w w:val="99"/>
              </w:rPr>
              <w:t>of the Company from its inception in 2007. Mr.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Chief</w:t>
            </w: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February 2007;</w:t>
            </w:r>
          </w:p>
        </w:tc>
        <w:tc>
          <w:tcPr>
            <w:tcW w:w="3480" w:type="dxa"/>
            <w:vAlign w:val="bottom"/>
            <w:gridSpan w:val="2"/>
          </w:tcPr>
          <w:p>
            <w:pPr>
              <w:spacing w:after="0"/>
              <w:rPr>
                <w:sz w:val="20"/>
                <w:szCs w:val="20"/>
                <w:color w:val="auto"/>
              </w:rPr>
            </w:pPr>
            <w:r>
              <w:rPr>
                <w:rFonts w:ascii="Arial" w:cs="Arial" w:eastAsia="Arial" w:hAnsi="Arial"/>
                <w:sz w:val="17"/>
                <w:szCs w:val="17"/>
                <w:color w:val="auto"/>
                <w:w w:val="93"/>
              </w:rPr>
              <w:t>Penn also is the Founder and Managing Member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Executive</w:t>
            </w:r>
          </w:p>
        </w:tc>
        <w:tc>
          <w:tcPr>
            <w:tcW w:w="2120" w:type="dxa"/>
            <w:vAlign w:val="bottom"/>
            <w:gridSpan w:val="3"/>
          </w:tcPr>
          <w:p>
            <w:pPr>
              <w:ind w:left="120"/>
              <w:spacing w:after="0"/>
              <w:rPr>
                <w:sz w:val="20"/>
                <w:szCs w:val="20"/>
                <w:color w:val="auto"/>
              </w:rPr>
            </w:pPr>
            <w:r>
              <w:rPr>
                <w:rFonts w:ascii="Arial" w:cs="Arial" w:eastAsia="Arial" w:hAnsi="Arial"/>
                <w:sz w:val="17"/>
                <w:szCs w:val="17"/>
                <w:color w:val="auto"/>
              </w:rPr>
              <w:t>Term expires, if elected,</w:t>
            </w:r>
          </w:p>
        </w:tc>
        <w:tc>
          <w:tcPr>
            <w:tcW w:w="3480" w:type="dxa"/>
            <w:vAlign w:val="bottom"/>
            <w:gridSpan w:val="2"/>
          </w:tcPr>
          <w:p>
            <w:pPr>
              <w:spacing w:after="0"/>
              <w:rPr>
                <w:sz w:val="20"/>
                <w:szCs w:val="20"/>
                <w:color w:val="auto"/>
              </w:rPr>
            </w:pPr>
            <w:r>
              <w:rPr>
                <w:rFonts w:ascii="Arial" w:cs="Arial" w:eastAsia="Arial" w:hAnsi="Arial"/>
                <w:sz w:val="17"/>
                <w:szCs w:val="17"/>
                <w:color w:val="auto"/>
              </w:rPr>
              <w:t>of the Adviser. Before founding the Company,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Officer and</w:t>
            </w:r>
          </w:p>
        </w:tc>
        <w:tc>
          <w:tcPr>
            <w:tcW w:w="2020" w:type="dxa"/>
            <w:vAlign w:val="bottom"/>
            <w:gridSpan w:val="2"/>
          </w:tcPr>
          <w:p>
            <w:pPr>
              <w:ind w:left="1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Mr. Penn was the Co-Founder of Apollo</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Chairman of</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Investment Management, where he was 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the</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Managing Partner from 2004 to 2006. He also</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Board of</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served as Chief Operating Officer of Apollo</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Directors</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w w:val="99"/>
              </w:rPr>
              <w:t>Investment Corporation from inception in 2004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to 2006 and served as President and Chief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Operating Officer in 2006. He formerly was 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Managing Partner of Apollo Value Fund L.P.</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(formerly Apollo Distressed Investment Fund,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L.P.) from 2003 to 2006.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79"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ind w:right="240" w:firstLine="589"/>
        <w:spacing w:after="0" w:line="286"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90"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2" w:lineRule="exact"/>
        <w:rPr>
          <w:sz w:val="20"/>
          <w:szCs w:val="20"/>
          <w:color w:val="auto"/>
        </w:rPr>
      </w:pPr>
    </w:p>
    <w:p>
      <w:pPr>
        <w:ind w:right="480" w:firstLine="589"/>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 and has served on the Board of Trustees of the School of Arts and Sciences at the University of Pennsylvania since 2018 and on the Advisory Board of University Research Corporation since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jc w:val="both"/>
        <w:ind w:right="260" w:firstLine="589"/>
        <w:spacing w:after="0" w:line="311" w:lineRule="auto"/>
        <w:rPr>
          <w:sz w:val="20"/>
          <w:szCs w:val="20"/>
          <w:color w:val="auto"/>
        </w:rPr>
      </w:pPr>
      <w:r>
        <w:rPr>
          <w:rFonts w:ascii="Arial" w:cs="Arial" w:eastAsia="Arial" w:hAnsi="Arial"/>
          <w:sz w:val="16"/>
          <w:szCs w:val="16"/>
          <w:color w:val="auto"/>
        </w:rPr>
        <w:t>Mr. Brozost brings to the Board 25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from 2005 to 2012, at Solomon &amp; Weinberg LLP from 2004 to 2005 and at O’Melveny &amp; Myers LLP from 2001 to 2004. Mr. Brozost also served as a Vice President of Nomura Asset Capital Corporation from 1997 through 2000.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Bigname Commerce; Family Entertainment Group; BQ Resorts, LLC; Lift Brands, Inc.; HomeRiver Group; Pyramid Hotel Group; Hylan Datacom &amp; Electrical; Triangle Home Fashions Holdings, LLC; Whitestone Home Furnishings, LLC (d/b/a The Saatva Company); Dwellworks Investors; and YRF Darca; and he currently serves on the Board of Advisors of Columbia University Irving Medical Center.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Board has established an Audit Committee, a Nominating and Corporate Governance Committee and a Compensation Committee. For the fiscal year ended September 30, 2021, the Board held five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0"/>
        <w:spacing w:after="0" w:line="271" w:lineRule="auto"/>
        <w:rPr>
          <w:sz w:val="20"/>
          <w:szCs w:val="20"/>
          <w:color w:val="auto"/>
        </w:rPr>
      </w:pPr>
      <w:r>
        <w:rPr>
          <w:rFonts w:ascii="Arial" w:cs="Arial" w:eastAsia="Arial" w:hAnsi="Arial"/>
          <w:sz w:val="17"/>
          <w:szCs w:val="17"/>
          <w:color w:val="auto"/>
        </w:rPr>
        <w:t>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Position(s) held</w:t>
            </w:r>
          </w:p>
        </w:tc>
        <w:tc>
          <w:tcPr>
            <w:tcW w:w="180" w:type="dxa"/>
            <w:vAlign w:val="bottom"/>
          </w:tcPr>
          <w:p>
            <w:pPr>
              <w:spacing w:after="0"/>
              <w:rPr>
                <w:sz w:val="14"/>
                <w:szCs w:val="14"/>
                <w:color w:val="auto"/>
              </w:rPr>
            </w:pPr>
          </w:p>
        </w:tc>
        <w:tc>
          <w:tcPr>
            <w:tcW w:w="6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with the Company</w:t>
            </w:r>
          </w:p>
        </w:tc>
        <w:tc>
          <w:tcPr>
            <w:tcW w:w="1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Cheung (42)</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Chief Financial Officer and Treasurer of the Company and PFLT since June 21, 2021.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Treasurer</w:t>
            </w: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7"/>
              </w:rPr>
              <w:t>Managing Director of the Administrator since June 21, 2021. Mr. Cheung was a Senior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Managing Director and Head of Alternative Investment Accounting at Guggenheim</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0"/>
              </w:rPr>
              <w:t>Partners. Before that, he worked as Assistant Controller at Silver Point Capital between 2006</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to 2008 and a Manager at Ernst &amp; Young from 2001 to 2006.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4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7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2240" w:type="dxa"/>
            <w:vAlign w:val="bottom"/>
          </w:tcPr>
          <w:p>
            <w:pPr>
              <w:jc w:val="center"/>
              <w:ind w:left="6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(66)</w:t>
            </w:r>
          </w:p>
        </w:tc>
        <w:tc>
          <w:tcPr>
            <w:tcW w:w="100" w:type="dxa"/>
            <w:vAlign w:val="bottom"/>
          </w:tcPr>
          <w:p>
            <w:pPr>
              <w:spacing w:after="0"/>
              <w:rPr>
                <w:sz w:val="16"/>
                <w:szCs w:val="16"/>
                <w:color w:val="auto"/>
              </w:rPr>
            </w:pPr>
          </w:p>
        </w:tc>
        <w:tc>
          <w:tcPr>
            <w:tcW w:w="22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Chief Compliance Officer of PFLT and the Company from May 2008 and March 2011,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investment advisers, private funds and investment companies from 2004 when he founded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4"/>
              </w:rPr>
              <w:t>Alaric Compliance Services, LLC, (“Alaric”) of which he was the chief executive officer. As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7"/>
              </w:rPr>
              <w:t>of December 7, 2021 Alaric was acquired by Foreside Financial Group, LLC where Mr.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Talarico is currently employed and will continue to serve as the Company’s Chief</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Compliance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540" w:right="2220" w:hanging="5532"/>
        <w:spacing w:after="0" w:line="527" w:lineRule="auto"/>
        <w:tabs>
          <w:tab w:leader="none" w:pos="5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225"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5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17, 2021.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2021. No compensation is paid directly by the Company to any interested director or executive officer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Aggregate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0" w:type="dxa"/>
            <w:vAlign w:val="bottom"/>
          </w:tcPr>
          <w:p>
            <w:pPr>
              <w:spacing w:after="0"/>
              <w:rPr>
                <w:sz w:val="1"/>
                <w:szCs w:val="1"/>
                <w:color w:val="auto"/>
              </w:rPr>
            </w:pPr>
          </w:p>
        </w:tc>
      </w:tr>
      <w:tr>
        <w:trPr>
          <w:trHeight w:val="148"/>
        </w:trPr>
        <w:tc>
          <w:tcPr>
            <w:tcW w:w="3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from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from the Fund</w:t>
            </w:r>
          </w:p>
        </w:tc>
        <w:tc>
          <w:tcPr>
            <w:tcW w:w="0" w:type="dxa"/>
            <w:vAlign w:val="bottom"/>
          </w:tcPr>
          <w:p>
            <w:pPr>
              <w:spacing w:after="0"/>
              <w:rPr>
                <w:sz w:val="1"/>
                <w:szCs w:val="1"/>
                <w:color w:val="auto"/>
              </w:rPr>
            </w:pPr>
          </w:p>
        </w:tc>
      </w:tr>
      <w:tr>
        <w:trPr>
          <w:trHeight w:val="158"/>
        </w:trPr>
        <w:tc>
          <w:tcPr>
            <w:tcW w:w="346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Company</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from the Company</w:t>
            </w:r>
          </w:p>
        </w:tc>
        <w:tc>
          <w:tcPr>
            <w:tcW w:w="220" w:type="dxa"/>
            <w:vAlign w:val="bottom"/>
          </w:tcPr>
          <w:p>
            <w:pPr>
              <w:spacing w:after="0"/>
              <w:rPr>
                <w:sz w:val="13"/>
                <w:szCs w:val="13"/>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Complex</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5"/>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17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2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3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132,500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132,500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Arthur H. Penn</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89"/>
        </w:trPr>
        <w:tc>
          <w:tcPr>
            <w:tcW w:w="34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Richard Cheung</w:t>
            </w:r>
            <w:r>
              <w:rPr>
                <w:rFonts w:ascii="Arial" w:cs="Arial" w:eastAsia="Arial" w:hAnsi="Arial"/>
                <w:sz w:val="15"/>
                <w:szCs w:val="15"/>
                <w:color w:val="auto"/>
              </w:rPr>
              <w:t>(2)</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Cheung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February 2021.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2021, the Adviser earned a base management fee of $17.3 million and an incentive fee of $0.6 million from the Company.</w:t>
      </w:r>
    </w:p>
    <w:p>
      <w:pPr>
        <w:spacing w:after="0" w:line="195"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Company’s Administration Agreement with the Administrator (the “Administration Agreement”) was re-approved by the Board, including a majority of the Independent Directors, in February 2021.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2021, the Adviser and the Administrator, collectively, were reimbursed $1.2 million from the Company for the services described above.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720" w:firstLine="589"/>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320" w:top="557" w:right="6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RSM has been selected as the independent registered public accounting firm to audit the consolidated financial statements of the Company and its subsidiaries on and during the Company’s fiscal year ending September 30, 2022.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134620</wp:posOffset>
            </wp:positionV>
            <wp:extent cx="4903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tcPr>
          <w:p>
            <w:pPr>
              <w:jc w:val="right"/>
              <w:ind w:right="1033"/>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441,898</w:t>
            </w: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Audit Related Fees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1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w:t>
            </w:r>
          </w:p>
        </w:tc>
        <w:tc>
          <w:tcPr>
            <w:tcW w:w="10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All Other Fees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24,082</w:t>
            </w:r>
          </w:p>
        </w:tc>
        <w:tc>
          <w:tcPr>
            <w:tcW w:w="11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1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483,480</w:t>
            </w: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755,219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2021 were approved by the Audit Committee in accordance with such policy.</w:t>
      </w:r>
    </w:p>
    <w:p>
      <w:pPr>
        <w:spacing w:after="0" w:line="17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center"/>
        <w:ind w:left="36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2021.</w:t>
      </w:r>
    </w:p>
    <w:p>
      <w:pPr>
        <w:spacing w:after="0" w:line="17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ind w:left="580" w:right="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 If any other matter properly comes before the Meeting, however, the persons named in the proxies will vote on such matter in their discretion.</w:t>
      </w:r>
    </w:p>
    <w:p>
      <w:pPr>
        <w:spacing w:after="0" w:line="184"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 Copies of such reports are also posted via the SEC’s Electronic Data Gathering, Analysis, and Retrieval system available on the SEC’s website (http://www.sec.gov).</w:t>
      </w:r>
    </w:p>
    <w:p>
      <w:pPr>
        <w:spacing w:after="0" w:line="1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Whether or not you expect to participate in the virtual Meeting, please follow the instructions on the Notice of Internet Availability of Proxy Materials to authorize your proxy via the Internet or telephone, or request, sign, date and return a proxy card so that you may be represented at the Meeting. The Meeting will be a completely virtual meeting of Stockholders and will be conducted exclusively by webcast. To participate in the Meeting, visit </w:t>
      </w:r>
      <w:r>
        <w:rPr>
          <w:rFonts w:ascii="Arial" w:cs="Arial" w:eastAsia="Arial" w:hAnsi="Arial"/>
          <w:sz w:val="16"/>
          <w:szCs w:val="16"/>
          <w:u w:val="single" w:color="auto"/>
          <w:color w:val="auto"/>
        </w:rPr>
        <w:t>www.virtualshareholdermeeting.com/PNNT2022</w:t>
      </w:r>
      <w:r>
        <w:rPr>
          <w:rFonts w:ascii="Arial" w:cs="Arial" w:eastAsia="Arial" w:hAnsi="Arial"/>
          <w:sz w:val="16"/>
          <w:szCs w:val="16"/>
          <w:color w:val="auto"/>
        </w:rPr>
        <w:t>, and enter the 16-digit Control Number included in your Notice of Internet Availability of Proxy Materials. Online check-in will begin at 9:15 a.m., Eastern Time. Please allow time for online check-in procedures. For questions regarding the virtual Meeting please call the support number that will be posted on the virtual Meeting platform log-in page at</w:t>
      </w:r>
      <w:r>
        <w:rPr>
          <w:rFonts w:ascii="Arial" w:cs="Arial" w:eastAsia="Arial" w:hAnsi="Arial"/>
          <w:sz w:val="16"/>
          <w:szCs w:val="16"/>
          <w:u w:val="single" w:color="auto"/>
          <w:color w:val="auto"/>
        </w:rPr>
        <w:t>www.virtualshareholdermeeting.com/PNNT2022</w:t>
      </w:r>
      <w:r>
        <w:rPr>
          <w:rFonts w:ascii="Arial" w:cs="Arial" w:eastAsia="Arial" w:hAnsi="Arial"/>
          <w:sz w:val="16"/>
          <w:szCs w:val="16"/>
          <w:color w:val="auto"/>
        </w:rPr>
        <w: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The Company expects to hold its 2023 Annual Meeting of Stockholders in February 2023,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2022 Annual Meeting of Stockholders must be received by the Company between July 11, 2022 and August 10, 2022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6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complaints involving the CCO, may submit complaints directly to the Audit Committee’s Co-Chairs. Complaints may be submitted on an anonymous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Messrs. Jeffrey Flug and/or Samuel L. Katz</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27"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You are cordially invited to attend our Annual Meeting of Stockholders in person (virtually). Whether or not you plan to attend the Meeting, you are requested to vote in accordance with the voting instructions in the Notice of Internet Availability of Proxy Materials, or by requesting and promptly returning a completed, dated and signed proxy card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6271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27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500380</wp:posOffset>
            </wp:positionV>
            <wp:extent cx="5349240" cy="676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6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500380</wp:posOffset>
            </wp:positionV>
            <wp:extent cx="5349240" cy="6643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64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349240" cy="6712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1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349240" cy="6823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2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upperLetter"/>
      <w:start w:val="35"/>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2021-12-09T05:14:14Z</dcterms:created>
  <dcterms:modified xsi:type="dcterms:W3CDTF">2021-12-09T05:14:14Z</dcterms:modified>
</cp:coreProperties>
</file>