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05,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August 5, 2015, PennantPark Investment Corporation issued a press release announcing financial results for the third fiscal quarter ended June 30,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05, 2015</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36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2015</w:t>
      </w:r>
    </w:p>
    <w:p>
      <w:pPr>
        <w:spacing w:after="0" w:line="21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NEW YORK, NY -- (Marketwired - August 05, 2015) - PennantPark Investment Corporation (NASDAQ: PNNT) announced today financial results for the third fiscal quarter ended June 30, 2015.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HIGHLIGHTS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Quarter ended June 30, 2015</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 except per share amounts)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1,294.0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745.5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10.04</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98.6</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250.2</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04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6, 2015</w:t>
      </w:r>
    </w:p>
    <w:p>
      <w:pPr>
        <w:spacing w:after="0" w:line="212" w:lineRule="exact"/>
        <w:rPr>
          <w:sz w:val="20"/>
          <w:szCs w:val="20"/>
          <w:color w:val="auto"/>
        </w:rPr>
      </w:pPr>
    </w:p>
    <w:p>
      <w:pPr>
        <w:jc w:val="both"/>
        <w:ind w:right="160"/>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August 6, 2015 to discuss its financial results. All interested parties are welcome to participate. You can access the conference call by dialing (888) 452-4005 approximately 5-10 minutes prior to the call. International callers should dial (719)</w:t>
      </w:r>
    </w:p>
    <w:p>
      <w:pPr>
        <w:spacing w:after="0" w:line="1" w:lineRule="exact"/>
        <w:rPr>
          <w:sz w:val="20"/>
          <w:szCs w:val="20"/>
          <w:color w:val="auto"/>
        </w:rPr>
      </w:pPr>
    </w:p>
    <w:p>
      <w:pPr>
        <w:jc w:val="both"/>
        <w:ind w:right="500"/>
        <w:spacing w:after="0" w:line="234" w:lineRule="auto"/>
        <w:rPr>
          <w:sz w:val="20"/>
          <w:szCs w:val="20"/>
          <w:color w:val="auto"/>
        </w:rPr>
      </w:pPr>
      <w:r>
        <w:rPr>
          <w:rFonts w:ascii="Arial" w:cs="Arial" w:eastAsia="Arial" w:hAnsi="Arial"/>
          <w:sz w:val="22"/>
          <w:szCs w:val="22"/>
          <w:color w:val="auto"/>
        </w:rPr>
        <w:t>325-2474. All callers should reference PennantPark Investment Corporation. An archived replay of the call will be available through August 20, 2015 by calling (888) 203-1112. International callers please dial (719) 457-0820. For all phone replays, please reference conference ID #6223691.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As of June 30, 2015, our portfolio totaled $1,294.0 million and consisted of $381.4 million of senior secured loans, $611.7 million of second lien secured debt, $191.4 million of subordinated debt and $109.5 million of preferred and common equity. Our debt portfolio consisted of 71% variable-rate investments (including 65% with a London Interbank Offered Rate, or LIBOR, or prime floor) and 29% fixed-rate investments. Overall, the portfolio had net unrealized depreciation of $109.0 million. As of June 30, 2015, we had two non-accrual debt investments, representing 1.2% of our overall portfolio on a cost basis. Our overall portfolio consisted of 64 companies with an average investment size of $20.2 million, had a weighted average yield on debt investments of 12.4% and was invested 30% in senior secured loans, 47% in second lien secured debt, 15% in subordinated debt and 8% in preferred and common equity.</w:t>
      </w:r>
    </w:p>
    <w:p>
      <w:pPr>
        <w:spacing w:after="0" w:line="180"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67% variable-rate investments (including 61% with a LIBOR or prime floor) and 33% fixed-rate investments. Overall, the portfolio had net unrealized depreciation of $0.9 million.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For the three months ended June 30, 2015, we invested $113.3 million in three new and nine existing portfolio companies with a weighted average yield on debt investments of 10.8%. Sales and repayments of investments for the three months ended June 30, 2015 totaled $107.0 million. For the nine months ended June 30, 2015, we invested $344.8 million in eight new and 22 existing portfolio companies with a weighted average yield on debt investments of 12.1%. Sales and repayments of investments for the nine months ended June 30, 2015 totaled $289.5 million.</w:t>
      </w:r>
    </w:p>
    <w:p>
      <w:pPr>
        <w:sectPr>
          <w:pgSz w:w="11900" w:h="16838" w:orient="portrait"/>
          <w:cols w:equalWidth="0" w:num="1">
            <w:col w:w="11240"/>
          </w:cols>
          <w:pgMar w:left="320" w:top="111" w:right="339" w:bottom="0" w:gutter="0" w:footer="0" w:header="0"/>
        </w:sectPr>
      </w:pPr>
    </w:p>
    <w:bookmarkStart w:id="3" w:name="page4"/>
    <w:bookmarkEnd w:id="3"/>
    <w:p>
      <w:pPr>
        <w:ind w:right="100"/>
        <w:spacing w:after="0" w:line="249" w:lineRule="auto"/>
        <w:rPr>
          <w:sz w:val="20"/>
          <w:szCs w:val="20"/>
          <w:color w:val="auto"/>
        </w:rPr>
      </w:pPr>
      <w:r>
        <w:rPr>
          <w:rFonts w:ascii="Arial" w:cs="Arial" w:eastAsia="Arial" w:hAnsi="Arial"/>
          <w:sz w:val="21"/>
          <w:szCs w:val="21"/>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Investment income for the three and nine months ended June 30, 2015 was $40.6 million and $122.5 million, respectively, and was attributable to $12.3 million and $42.6 million from senior secured loans, $19.5 million and $54.1 million from second lien secured debt, $7.2 million and $23.5 million from subordinated debt, and $1.6 million and $2.3 million from preferred and common equity, respectively. This compares to investment income for the three and nine months ended June 30, 2014, which was $35.5 million and $107.8 million, respectively, and was attributable to $9.8 million and $30.0 million from senior secured loans, $13.3 million and $39.9 million from second lien secured debt, $11.6 million and $35.7 million from subordinated debt, and $0.8 million and $2.2 million from preferred and common equity, respectively. The increase in investment income compared with the same periods in the prior year was primarily due to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Expenses for the three and nine months ended June 30, 2015 totaled $20.0 million and $60.3 million, respectively. Base management fee for the same periods totaled $6.5 million and $20.1 million, incentive fee totaled $5.2 million and $15.6 million, debt related interest and expenses totaled $6.6 million and $19.7 million and general and administrative expenses totaled $1.7 million and $4.9 million, respectively. This compares to expenses for the three and nine months ended June 30, 2014, which totaled $22.3 million and $56.6 million, respectively. Base management fee for the same periods totaled $6.1 million and $17.9 million, incentive fee totaled $5.4 million and $14.9 million (including $1.6 million on net realized gains accrued but not payable), debt related interest and expenses totaled $8.9 million and $18.6 million (including $3.9 million of debt issuance costs under our multi-currency, senior secured revolving credit facility, as amended and restated, or the Credit Facility) and general and administrative expenses totaled $1.9 million and $5.2 million, respectively. The decrease in expenses for the three months ended June 30, 2015 as compared to the same period in the prior year is due to the absence of debt issuance costs in the current period, whereas, the increase in expenses for the nine months ended June 30, 2015 as compared with the same period in the prior year was primarily due to increased borrowing costs and the growth of our portfolio.</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Net investment income totaled $20.7 million and $62.2 million, or $0.28 and $0.83 per share, for the three and nine months ended June 30, 2015, respectively. Net investment income totaled $13.2 million and $51.2 million, or $0.20 and $0.77 per share, for the three and nine months ended June 30, 2014, respectively. The increase in net investment income compared to the same periods in the prior year was primarily due to the growth of our portfolio and lower amendment costs offset by higher financing costs.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Sales and repayments of investments for the three and nine months ended June 30, 2015 totaled $107.0 million and $289.5 million, respectively, and realized gains totaled $13.8 million and $31.9 million, respectively. Sales and repayments of investments for the three and nine months ended June 30, 2014 totaled $273.6 million and $534.4 million, respectively, and realized gains totaled $23.3 million and $29.0 million, respectively. The decrease in realized gains for the three months ended June 30, 2015 as compared to the same period in the prior year was driven by fewer exits of our portfolio companies, whereas the increase in realized gains for the nine months ended June 30, 2015 as compared with the same period in the prior year was primarily due to the improved merger and acquisition environment and a higher volume of sales and repayments.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For the three and nine months ended June 30, 2015, we reported net unrealized depreciation on investments of $30.2 million and $108.1 million, respectively. For the three and nine months ended June 30, 2014, we reported a net unrealized (depreciation) appreciation on investments of $(1.1) million and $37.4 million, respectively. As of June 30, 2015 and September 30, 2014, our net unrealized depreciation on investments totaled $109.0 million and $0.9 million, respectively. The decrease in value compared with the same periods in the prior year was the result of the overall variation in the leveraged finance markets and specifically, for energy related companies.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For the three and nine months ended June 30, 2015, we reported net unrealized depreciation of $0.6 million and $2.3 million, respectively, on the Credit Facility, our 4.50% notes due 2019, or 2019 Notes, and our 6.25% senior notes due 2025, or 2025 Notes. For the three and nine months ended June 30, 2014, we reported a net unrealized (appreciation) on our Credit Facility and 2025 Notes of $(3.4) million and $(5.4) million, respectively. The change compared with the same periods in the prior year was primarily due to changes in the capital markets.</w:t>
      </w:r>
    </w:p>
    <w:p>
      <w:pPr>
        <w:sectPr>
          <w:pgSz w:w="11900" w:h="16838" w:orient="portrait"/>
          <w:cols w:equalWidth="0" w:num="1">
            <w:col w:w="11220"/>
          </w:cols>
          <w:pgMar w:left="320" w:top="118" w:right="35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3" w:lineRule="exact"/>
        <w:rPr>
          <w:sz w:val="20"/>
          <w:szCs w:val="20"/>
          <w:color w:val="auto"/>
        </w:rPr>
      </w:pPr>
    </w:p>
    <w:p>
      <w:pPr>
        <w:jc w:val="both"/>
        <w:ind w:right="60"/>
        <w:spacing w:after="0" w:line="249" w:lineRule="auto"/>
        <w:rPr>
          <w:sz w:val="20"/>
          <w:szCs w:val="20"/>
          <w:color w:val="auto"/>
        </w:rPr>
      </w:pPr>
      <w:r>
        <w:rPr>
          <w:rFonts w:ascii="Arial" w:cs="Arial" w:eastAsia="Arial" w:hAnsi="Arial"/>
          <w:sz w:val="21"/>
          <w:szCs w:val="21"/>
          <w:color w:val="auto"/>
        </w:rPr>
        <w:t>Net change in net assets resulting from operations totaled $4.9 million and $(11.6) million, or $0.07 and $(0.16) per share, for the three and nine months ended June 30, 2015, respectively. This compares to a net change in net assets resulting from operations of $31.9 million and $112.1 million, or $0.48 and $1.68 per share, for the three and nine months ended June 30, 2014, respectively. The decrease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As of June 30, 2015 and September 30, 2014, there was $101.5 million and $55.2 million, respectively, in outstanding borrowings under the Credit Facility, with a weighted average interest rate at the time of 3.17% and 2.80%, respectively, exclusive of the fee on undrawn commitments of 0.375%. The annualized weighted average cost of debt for the nine months ended June 30, 2015 and 2014, inclusive of the fee on the undrawn commitment on the Credit Facility and upfront fees on SBA debentures, was 4.55% and 3.94%, respectively. As of June 30, 2015 and September 30, 2014, we had $443.5 million and $489.8 million of unused borrowing capacity, respectively, subject to the regulatory restrictions that the 1940 Act imposes on us as a business development company.</w:t>
      </w:r>
    </w:p>
    <w:p>
      <w:pPr>
        <w:spacing w:after="0" w:line="18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As of June 30, 2015 and September 30, 2014, we had $250.0 million and $71.3 million in aggregate principal amount of 2019 Notes and 2025 Notes, respectively, with a fixed interest rate of 4.50% and 6.25% per year, respectively. As of June 30, 2015 and September 30, 2014, we had $225.0 million in SBA debt commitments through certain of our consolidated subsidiaries and $150.0 million was drawn for each period. As of June 30, 2014, we had $71.3 million in aggregate principal amount of 2025 Notes with a fixed interest rate of 6.25%.</w:t>
      </w:r>
    </w:p>
    <w:p>
      <w:pPr>
        <w:spacing w:after="0" w:line="18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At June 30, 2015 and September 30, 2014, we had cash and cash equivalents of $83.3 million and $66.5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Our operating activities provided cash of $41.4 million for the nine months ended June 30, 2015, primarily for net purchases of investments. Our financing activities used cash of $24.8 million for the same period, primarily to repay certain amounts under our Credit Facility.</w:t>
      </w:r>
    </w:p>
    <w:p>
      <w:pPr>
        <w:spacing w:after="0" w:line="18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June 30, 2015, we repurchased 833,213 shares of common stock in open market transactions for an aggregate cost (including transaction costs) of $8.0 million. During the three and nine months ended June 30, 2014, we did not make any repurchases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During the three and nine months ended June 30, 2015, we declared to stockholders distributions of $0.28 and $0.84 per share, respectively, for total distributions of $20.8 million and $62.8 million, respectively. For the same periods in the prior year, we declared distributions of $0.28 and $0.84 per share, respectively, for total distributions of $18.6 million and $55.9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ectPr>
          <w:pgSz w:w="11900" w:h="16838" w:orient="portrait"/>
          <w:cols w:equalWidth="0" w:num="1">
            <w:col w:w="11240"/>
          </w:cols>
          <w:pgMar w:left="320" w:top="112" w:right="339" w:bottom="0"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June 30, 2015</w:t>
            </w:r>
          </w:p>
        </w:tc>
        <w:tc>
          <w:tcPr>
            <w:tcW w:w="16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(cost--$1,097,132,390 and $1,171,573,359,</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$1,066,250,974</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$1,212,515,400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(cost--$227,700,622 and $108,572,406,</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177,468,538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67,847,521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$78,155,160 and $38,708,555,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50,326,631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37,691,845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(cost--$1,402,988,172</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$1,318,854,320,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1,294,046,143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1,318,054,766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(cost--$83,378,632</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$66,600,195,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83,328,972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66,518,682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13,851,364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13,703,525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13,658,761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13,550,224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1,404,885,240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20,792,715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21,026,015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47,623,030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15,607,059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(cost--$101,536,700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$55,226,300,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98,565,960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53,497,620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250,160,000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251,350,250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71,934,000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71,820,000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6,497,137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6,385,103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5,163,582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4,622,754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6,200,201</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1,962,264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2,405,438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3,113,683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659,342,063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583,817,248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74,259,698 and 75,092,911</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74,260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75,093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844,475,225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852,465,375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(12,420,260)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(loss) 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20,281,626</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(108,994,414)</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2,126,740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745,543,177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828,009,949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$1,404,885,240</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ectPr>
          <w:pgSz w:w="11900" w:h="16838" w:orient="portrait"/>
          <w:cols w:equalWidth="0" w:num="1">
            <w:col w:w="10139"/>
          </w:cols>
          <w:pgMar w:left="320" w:top="541" w:right="1440" w:bottom="0" w:gutter="0" w:footer="0" w:header="0"/>
        </w:sectPr>
      </w:pPr>
    </w:p>
    <w:p>
      <w:pPr>
        <w:spacing w:after="0" w:line="203"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8"/>
          <w:szCs w:val="18"/>
          <w:color w:val="auto"/>
        </w:rPr>
        <w:t>Three Months Ended</w:t>
      </w:r>
    </w:p>
    <w:p>
      <w:pPr>
        <w:jc w:val="center"/>
        <w:ind w:left="212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540"/>
        <w:spacing w:after="0"/>
        <w:tabs>
          <w:tab w:leader="none" w:pos="102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jc w:val="center"/>
        <w:ind w:left="2120"/>
        <w:spacing w:after="0" w:line="238" w:lineRule="auto"/>
        <w:tabs>
          <w:tab w:leader="none" w:pos="18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Nine Months Ended</w:t>
      </w:r>
    </w:p>
    <w:p>
      <w:pPr>
        <w:ind w:left="106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tabs>
          <w:tab w:leader="none" w:pos="198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spacing w:after="0" w:line="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w:t>
        <w:tab/>
        <w:t>------------</w:t>
      </w:r>
    </w:p>
    <w:p>
      <w:pPr>
        <w:spacing w:after="0" w:line="17" w:lineRule="exact"/>
        <w:rPr>
          <w:sz w:val="20"/>
          <w:szCs w:val="20"/>
          <w:color w:val="auto"/>
        </w:rPr>
      </w:pPr>
    </w:p>
    <w:p>
      <w:pPr>
        <w:sectPr>
          <w:pgSz w:w="11900" w:h="16838" w:orient="portrait"/>
          <w:cols w:equalWidth="0" w:num="2">
            <w:col w:w="4860" w:space="200"/>
            <w:col w:w="5079"/>
          </w:cols>
          <w:pgMar w:left="320" w:top="541"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Investment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non-controlled,</w:t>
      </w:r>
    </w:p>
    <w:p>
      <w:pPr>
        <w:sectPr>
          <w:pgSz w:w="11900" w:h="16838" w:orient="portrait"/>
          <w:cols w:equalWidth="0" w:num="1">
            <w:col w:w="10139"/>
          </w:cols>
          <w:pgMar w:left="320" w:top="541"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non-affiliated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$ 31,722,226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$ 29,949,064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$ 101,811,852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$ 90,772,466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3,138,382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1,463,884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9,535,685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6,314,911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4,263,709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1,456,621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7,000,896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4,174,234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159,437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159,437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1,357,778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2,447,354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3,998,887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6,071,987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158,333</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459,166</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40,641,532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35,475,256</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122,506,757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107,792,764</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6,497,136</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6,131,963</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20,093,624</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17,906,316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5,163,582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5,370,391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15,556,767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14,866,434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6,616,779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5,034,567</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19,699,606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14,707,313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services 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855,313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930,809</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2,562,033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2,771,359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854,397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929,254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2,367,661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2,470,350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19,987,207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18,396,984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60,279,691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52,721,772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32,000</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40,548</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3,850,000</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3,850,000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19,987,207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22,278,984</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60,279,691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56,612,320</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20,654,325</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13,196,272</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62,227,066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51,180,444</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gain on investments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realized gain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13,820,350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23,267,131</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31,936,928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28,955,815</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(24,919,481)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(8,997,766)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(102,855,290)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21,000,422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non-controlled,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(5,260,674)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7,860,989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(5,258,057)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16,369,826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641,430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(3,377,315)</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2,318,310</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(5,421,092)</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(29,538,725)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(4,514,092)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(105,795,037)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31,949,156</w:t>
            </w:r>
          </w:p>
        </w:tc>
      </w:tr>
      <w:tr>
        <w:trPr>
          <w:trHeight w:val="202"/>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(15,718,375)</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18,753,039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(73,858,109)</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60,904,971</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4,935,950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$ 31,949,311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(11,631,043)</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$112,085,415</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Net increase</w:t>
      </w:r>
    </w:p>
    <w:p>
      <w:pPr>
        <w:ind w:left="120"/>
        <w:spacing w:after="0" w:line="238" w:lineRule="auto"/>
        <w:rPr>
          <w:sz w:val="20"/>
          <w:szCs w:val="20"/>
          <w:color w:val="auto"/>
        </w:rPr>
      </w:pPr>
      <w:r>
        <w:rPr>
          <w:rFonts w:ascii="Courier New" w:cs="Courier New" w:eastAsia="Courier New" w:hAnsi="Courier New"/>
          <w:sz w:val="18"/>
          <w:szCs w:val="18"/>
          <w:color w:val="auto"/>
        </w:rPr>
        <w:t>(decrease) in net</w:t>
      </w:r>
    </w:p>
    <w:p>
      <w:pPr>
        <w:ind w:left="120"/>
        <w:spacing w:after="0" w:line="238" w:lineRule="auto"/>
        <w:rPr>
          <w:sz w:val="20"/>
          <w:szCs w:val="20"/>
          <w:color w:val="auto"/>
        </w:rPr>
      </w:pPr>
      <w:r>
        <w:rPr>
          <w:rFonts w:ascii="Courier New" w:cs="Courier New" w:eastAsia="Courier New" w:hAnsi="Courier New"/>
          <w:sz w:val="18"/>
          <w:szCs w:val="18"/>
          <w:color w:val="auto"/>
        </w:rPr>
        <w:t>assets resulting</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from operations per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3320"/>
        <w:spacing w:after="0" w:line="235" w:lineRule="auto"/>
        <w:rPr>
          <w:sz w:val="20"/>
          <w:szCs w:val="20"/>
          <w:color w:val="auto"/>
        </w:rPr>
      </w:pPr>
      <w:r>
        <w:rPr>
          <w:rFonts w:ascii="Courier New" w:cs="Courier New" w:eastAsia="Courier New" w:hAnsi="Courier New"/>
          <w:sz w:val="18"/>
          <w:szCs w:val="18"/>
          <w:color w:val="auto"/>
        </w:rPr>
        <w:t>$ 0.07 $ 0.48 $ (0.16) $ 1.68 ============ ============ ============= ============</w:t>
      </w:r>
    </w:p>
    <w:p>
      <w:pPr>
        <w:spacing w:after="0" w:line="1" w:lineRule="exact"/>
        <w:rPr>
          <w:sz w:val="20"/>
          <w:szCs w:val="20"/>
          <w:color w:val="auto"/>
        </w:rPr>
      </w:pPr>
    </w:p>
    <w:p>
      <w:pPr>
        <w:sectPr>
          <w:pgSz w:w="11900" w:h="16838" w:orient="portrait"/>
          <w:cols w:equalWidth="0" w:num="2">
            <w:col w:w="2120" w:space="0"/>
            <w:col w:w="9100"/>
          </w:cols>
          <w:pgMar w:left="320" w:top="136" w:right="359" w:bottom="1440" w:gutter="0" w:footer="0" w:header="0"/>
        </w:sectPr>
      </w:pPr>
    </w:p>
    <w:p>
      <w:pPr>
        <w:spacing w:after="0"/>
        <w:rPr>
          <w:sz w:val="20"/>
          <w:szCs w:val="20"/>
          <w:color w:val="auto"/>
        </w:rPr>
      </w:pPr>
      <w:r>
        <w:rPr>
          <w:rFonts w:ascii="Courier New" w:cs="Courier New" w:eastAsia="Courier New" w:hAnsi="Courier New"/>
          <w:sz w:val="18"/>
          <w:szCs w:val="18"/>
          <w:color w:val="auto"/>
        </w:rPr>
        <w:t>Net investment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per common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3320"/>
        <w:spacing w:after="0" w:line="235" w:lineRule="auto"/>
        <w:rPr>
          <w:sz w:val="20"/>
          <w:szCs w:val="20"/>
          <w:color w:val="auto"/>
        </w:rPr>
      </w:pPr>
      <w:r>
        <w:rPr>
          <w:rFonts w:ascii="Courier New" w:cs="Courier New" w:eastAsia="Courier New" w:hAnsi="Courier New"/>
          <w:sz w:val="18"/>
          <w:szCs w:val="18"/>
          <w:color w:val="auto"/>
        </w:rPr>
        <w:t>$ 0.28 $ 0.20 $ 0.83 $ 0.77 ============ ============ ============= ============</w:t>
      </w:r>
    </w:p>
    <w:p>
      <w:pPr>
        <w:spacing w:after="0" w:line="200" w:lineRule="exact"/>
        <w:rPr>
          <w:sz w:val="20"/>
          <w:szCs w:val="20"/>
          <w:color w:val="auto"/>
        </w:rPr>
      </w:pPr>
    </w:p>
    <w:p>
      <w:pPr>
        <w:sectPr>
          <w:pgSz w:w="11900" w:h="16838" w:orient="portrait"/>
          <w:cols w:equalWidth="0" w:num="2">
            <w:col w:w="1900" w:space="220"/>
            <w:col w:w="9100"/>
          </w:cols>
          <w:pgMar w:left="320" w:top="136" w:right="35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We may use words such as "anticipates, "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2020-05-05T15:07:37Z</dcterms:created>
  <dcterms:modified xsi:type="dcterms:W3CDTF">2020-05-05T15:07:37Z</dcterms:modified>
</cp:coreProperties>
</file>