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422910</wp:posOffset>
            </wp:positionH>
            <wp:positionV relativeFrom="page">
              <wp:posOffset>483870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499110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3" w:lineRule="exact"/>
        <w:rPr>
          <w:sz w:val="24"/>
          <w:szCs w:val="24"/>
          <w:color w:val="auto"/>
        </w:rPr>
      </w:pPr>
    </w:p>
    <w:p>
      <w:pPr>
        <w:ind w:left="460" w:hanging="442"/>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90" w:lineRule="exact"/>
        <w:rPr>
          <w:sz w:val="24"/>
          <w:szCs w:val="24"/>
          <w:color w:val="auto"/>
        </w:rPr>
      </w:pPr>
    </w:p>
    <w:p>
      <w:pPr>
        <w:ind w:left="460" w:hanging="44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40" w:lineRule="exact"/>
        <w:rPr>
          <w:sz w:val="24"/>
          <w:szCs w:val="24"/>
          <w:color w:val="auto"/>
        </w:rPr>
      </w:pPr>
    </w:p>
    <w:p>
      <w:pPr>
        <w:ind w:left="3440"/>
        <w:spacing w:after="0"/>
        <w:tabs>
          <w:tab w:leader="none" w:pos="68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4005580</wp:posOffset>
            </wp:positionH>
            <wp:positionV relativeFrom="paragraph">
              <wp:posOffset>-7620</wp:posOffset>
            </wp:positionV>
            <wp:extent cx="3276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660" cy="7620"/>
                    </a:xfrm>
                    <a:prstGeom prst="rect">
                      <a:avLst/>
                    </a:prstGeom>
                    <a:noFill/>
                  </pic:spPr>
                </pic:pic>
              </a:graphicData>
            </a:graphic>
          </wp:anchor>
        </w:drawing>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PENNANTPARK INVESTMENT CORPORATION</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707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780" w:type="dxa"/>
        <w:tblCellMar>
          <w:top w:w="0" w:type="dxa"/>
          <w:left w:w="0" w:type="dxa"/>
          <w:bottom w:w="0" w:type="dxa"/>
          <w:right w:w="0" w:type="dxa"/>
        </w:tblCellMar>
      </w:tblPr>
      <w:tr>
        <w:trPr>
          <w:trHeight w:val="204"/>
        </w:trPr>
        <w:tc>
          <w:tcPr>
            <w:tcW w:w="4960" w:type="dxa"/>
            <w:vAlign w:val="bottom"/>
          </w:tcPr>
          <w:p>
            <w:pPr>
              <w:jc w:val="center"/>
              <w:ind w:right="1147"/>
              <w:spacing w:after="0"/>
              <w:rPr>
                <w:sz w:val="20"/>
                <w:szCs w:val="20"/>
                <w:color w:val="auto"/>
              </w:rPr>
            </w:pPr>
            <w:r>
              <w:rPr>
                <w:rFonts w:ascii="Arial" w:cs="Arial" w:eastAsia="Arial" w:hAnsi="Arial"/>
                <w:sz w:val="16"/>
                <w:szCs w:val="16"/>
                <w:b w:val="1"/>
                <w:bCs w:val="1"/>
                <w:color w:val="auto"/>
                <w:w w:val="98"/>
              </w:rPr>
              <w:t>MARYLAND</w:t>
            </w:r>
          </w:p>
        </w:tc>
        <w:tc>
          <w:tcPr>
            <w:tcW w:w="3380" w:type="dxa"/>
            <w:vAlign w:val="bottom"/>
          </w:tcPr>
          <w:p>
            <w:pPr>
              <w:jc w:val="right"/>
              <w:ind w:right="588"/>
              <w:spacing w:after="0"/>
              <w:rPr>
                <w:sz w:val="20"/>
                <w:szCs w:val="20"/>
                <w:color w:val="auto"/>
              </w:rPr>
            </w:pPr>
            <w:r>
              <w:rPr>
                <w:rFonts w:ascii="Arial" w:cs="Arial" w:eastAsia="Arial" w:hAnsi="Arial"/>
                <w:sz w:val="16"/>
                <w:szCs w:val="16"/>
                <w:b w:val="1"/>
                <w:bCs w:val="1"/>
                <w:color w:val="auto"/>
              </w:rPr>
              <w:t>20-8250744</w:t>
            </w:r>
          </w:p>
        </w:tc>
        <w:tc>
          <w:tcPr>
            <w:tcW w:w="0" w:type="dxa"/>
            <w:vAlign w:val="bottom"/>
          </w:tcPr>
          <w:p>
            <w:pPr>
              <w:spacing w:after="0"/>
              <w:rPr>
                <w:sz w:val="1"/>
                <w:szCs w:val="1"/>
                <w:color w:val="auto"/>
              </w:rPr>
            </w:pPr>
          </w:p>
        </w:tc>
      </w:tr>
      <w:tr>
        <w:trPr>
          <w:trHeight w:val="183"/>
        </w:trPr>
        <w:tc>
          <w:tcPr>
            <w:tcW w:w="4960" w:type="dxa"/>
            <w:vAlign w:val="bottom"/>
          </w:tcPr>
          <w:p>
            <w:pPr>
              <w:jc w:val="center"/>
              <w:ind w:right="1147"/>
              <w:spacing w:after="0"/>
              <w:rPr>
                <w:sz w:val="20"/>
                <w:szCs w:val="20"/>
                <w:color w:val="auto"/>
              </w:rPr>
            </w:pPr>
            <w:r>
              <w:rPr>
                <w:rFonts w:ascii="Arial" w:cs="Arial" w:eastAsia="Arial" w:hAnsi="Arial"/>
                <w:sz w:val="13"/>
                <w:szCs w:val="13"/>
                <w:b w:val="1"/>
                <w:bCs w:val="1"/>
                <w:color w:val="auto"/>
              </w:rPr>
              <w:t>(State or other jurisdiction of incorporation or organization)</w:t>
            </w:r>
          </w:p>
        </w:tc>
        <w:tc>
          <w:tcPr>
            <w:tcW w:w="3380" w:type="dxa"/>
            <w:vAlign w:val="bottom"/>
          </w:tcPr>
          <w:p>
            <w:pPr>
              <w:jc w:val="center"/>
              <w:ind w:left="1148"/>
              <w:spacing w:after="0"/>
              <w:rPr>
                <w:sz w:val="20"/>
                <w:szCs w:val="20"/>
                <w:color w:val="auto"/>
              </w:rPr>
            </w:pPr>
            <w:r>
              <w:rPr>
                <w:rFonts w:ascii="Arial" w:cs="Arial" w:eastAsia="Arial" w:hAnsi="Arial"/>
                <w:sz w:val="13"/>
                <w:szCs w:val="13"/>
                <w:b w:val="1"/>
                <w:bCs w:val="1"/>
                <w:color w:val="auto"/>
              </w:rPr>
              <w:t>(I.R.S. Employer Identification No.)</w:t>
            </w:r>
          </w:p>
        </w:tc>
        <w:tc>
          <w:tcPr>
            <w:tcW w:w="0" w:type="dxa"/>
            <w:vAlign w:val="bottom"/>
          </w:tcPr>
          <w:p>
            <w:pPr>
              <w:spacing w:after="0"/>
              <w:rPr>
                <w:sz w:val="1"/>
                <w:szCs w:val="1"/>
                <w:color w:val="auto"/>
              </w:rPr>
            </w:pPr>
          </w:p>
        </w:tc>
      </w:tr>
      <w:tr>
        <w:trPr>
          <w:trHeight w:val="357"/>
        </w:trPr>
        <w:tc>
          <w:tcPr>
            <w:tcW w:w="4960" w:type="dxa"/>
            <w:vAlign w:val="bottom"/>
          </w:tcPr>
          <w:p>
            <w:pPr>
              <w:jc w:val="center"/>
              <w:ind w:right="1147"/>
              <w:spacing w:after="0"/>
              <w:rPr>
                <w:sz w:val="20"/>
                <w:szCs w:val="20"/>
                <w:color w:val="auto"/>
              </w:rPr>
            </w:pPr>
            <w:r>
              <w:rPr>
                <w:rFonts w:ascii="Arial" w:cs="Arial" w:eastAsia="Arial" w:hAnsi="Arial"/>
                <w:sz w:val="16"/>
                <w:szCs w:val="16"/>
                <w:b w:val="1"/>
                <w:bCs w:val="1"/>
                <w:color w:val="auto"/>
                <w:w w:val="96"/>
              </w:rPr>
              <w:t>1691 Michigan Avenue,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60" w:type="dxa"/>
            <w:vAlign w:val="bottom"/>
          </w:tcPr>
          <w:p>
            <w:pPr>
              <w:jc w:val="center"/>
              <w:ind w:right="1127"/>
              <w:spacing w:after="0"/>
              <w:rPr>
                <w:sz w:val="20"/>
                <w:szCs w:val="20"/>
                <w:color w:val="auto"/>
              </w:rPr>
            </w:pPr>
            <w:r>
              <w:rPr>
                <w:rFonts w:ascii="Arial" w:cs="Arial" w:eastAsia="Arial" w:hAnsi="Arial"/>
                <w:sz w:val="16"/>
                <w:szCs w:val="16"/>
                <w:b w:val="1"/>
                <w:bCs w:val="1"/>
                <w:color w:val="auto"/>
                <w:w w:val="97"/>
              </w:rPr>
              <w:t>Miami Beach, Florida</w:t>
            </w:r>
          </w:p>
        </w:tc>
        <w:tc>
          <w:tcPr>
            <w:tcW w:w="3380" w:type="dxa"/>
            <w:vAlign w:val="bottom"/>
            <w:vMerge w:val="restart"/>
          </w:tcPr>
          <w:p>
            <w:pPr>
              <w:jc w:val="right"/>
              <w:ind w:right="788"/>
              <w:spacing w:after="0"/>
              <w:rPr>
                <w:sz w:val="20"/>
                <w:szCs w:val="20"/>
                <w:color w:val="auto"/>
              </w:rPr>
            </w:pPr>
            <w:r>
              <w:rPr>
                <w:rFonts w:ascii="Arial" w:cs="Arial" w:eastAsia="Arial" w:hAnsi="Arial"/>
                <w:sz w:val="16"/>
                <w:szCs w:val="16"/>
                <w:b w:val="1"/>
                <w:bCs w:val="1"/>
                <w:color w:val="auto"/>
              </w:rPr>
              <w:t>33139</w:t>
            </w:r>
          </w:p>
        </w:tc>
        <w:tc>
          <w:tcPr>
            <w:tcW w:w="0" w:type="dxa"/>
            <w:vAlign w:val="bottom"/>
          </w:tcPr>
          <w:p>
            <w:pPr>
              <w:spacing w:after="0"/>
              <w:rPr>
                <w:sz w:val="1"/>
                <w:szCs w:val="1"/>
                <w:color w:val="auto"/>
              </w:rPr>
            </w:pPr>
          </w:p>
        </w:tc>
      </w:tr>
      <w:tr>
        <w:trPr>
          <w:trHeight w:val="59"/>
        </w:trPr>
        <w:tc>
          <w:tcPr>
            <w:tcW w:w="4960" w:type="dxa"/>
            <w:vAlign w:val="bottom"/>
          </w:tcPr>
          <w:p>
            <w:pPr>
              <w:spacing w:after="0"/>
              <w:rPr>
                <w:sz w:val="5"/>
                <w:szCs w:val="5"/>
                <w:color w:val="auto"/>
              </w:rPr>
            </w:pPr>
          </w:p>
        </w:tc>
        <w:tc>
          <w:tcPr>
            <w:tcW w:w="3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960" w:type="dxa"/>
            <w:vAlign w:val="bottom"/>
          </w:tcPr>
          <w:p>
            <w:pPr>
              <w:jc w:val="center"/>
              <w:ind w:right="1147"/>
              <w:spacing w:after="0"/>
              <w:rPr>
                <w:sz w:val="20"/>
                <w:szCs w:val="20"/>
                <w:color w:val="auto"/>
              </w:rPr>
            </w:pPr>
            <w:r>
              <w:rPr>
                <w:rFonts w:ascii="Arial" w:cs="Arial" w:eastAsia="Arial" w:hAnsi="Arial"/>
                <w:sz w:val="13"/>
                <w:szCs w:val="13"/>
                <w:b w:val="1"/>
                <w:bCs w:val="1"/>
                <w:color w:val="auto"/>
              </w:rPr>
              <w:t>(Address of principal executive offices)</w:t>
            </w:r>
          </w:p>
        </w:tc>
        <w:tc>
          <w:tcPr>
            <w:tcW w:w="3380" w:type="dxa"/>
            <w:vAlign w:val="bottom"/>
          </w:tcPr>
          <w:p>
            <w:pPr>
              <w:jc w:val="center"/>
              <w:ind w:left="1148"/>
              <w:spacing w:after="0"/>
              <w:rPr>
                <w:sz w:val="20"/>
                <w:szCs w:val="20"/>
                <w:color w:val="auto"/>
              </w:rPr>
            </w:pPr>
            <w:r>
              <w:rPr>
                <w:rFonts w:ascii="Arial" w:cs="Arial" w:eastAsia="Arial" w:hAnsi="Arial"/>
                <w:sz w:val="13"/>
                <w:szCs w:val="13"/>
                <w:b w:val="1"/>
                <w:bCs w:val="1"/>
                <w:color w:val="auto"/>
                <w:w w:val="99"/>
              </w:rPr>
              <w:t>(Zip Code)</w:t>
            </w:r>
          </w:p>
        </w:tc>
        <w:tc>
          <w:tcPr>
            <w:tcW w:w="0" w:type="dxa"/>
            <w:vAlign w:val="bottom"/>
          </w:tcPr>
          <w:p>
            <w:pPr>
              <w:spacing w:after="0"/>
              <w:rPr>
                <w:sz w:val="1"/>
                <w:szCs w:val="1"/>
                <w:color w:val="auto"/>
              </w:rPr>
            </w:pPr>
          </w:p>
        </w:tc>
      </w:tr>
    </w:tbl>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(786) 297-9500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None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8" w:lineRule="exact"/>
        <w:rPr>
          <w:sz w:val="24"/>
          <w:szCs w:val="24"/>
          <w:color w:val="auto"/>
        </w:rPr>
      </w:pPr>
    </w:p>
    <w:p>
      <w:pPr>
        <w:ind w:left="48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40" w:orient="portrait"/>
          <w:cols w:equalWidth="0" w:num="1">
            <w:col w:w="10480"/>
          </w:cols>
          <w:pgMar w:left="660" w:top="789" w:right="760" w:bottom="1440" w:gutter="0" w:footer="0" w:header="0"/>
        </w:sectPr>
      </w:pPr>
    </w:p>
    <w:p>
      <w:pPr>
        <w:spacing w:after="0" w:line="109" w:lineRule="exact"/>
        <w:rPr>
          <w:sz w:val="24"/>
          <w:szCs w:val="24"/>
          <w:color w:val="auto"/>
        </w:rPr>
      </w:pPr>
    </w:p>
    <w:p>
      <w:pPr>
        <w:ind w:left="11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1" w:lineRule="exact"/>
        <w:rPr>
          <w:sz w:val="24"/>
          <w:szCs w:val="24"/>
          <w:color w:val="auto"/>
        </w:rPr>
      </w:pPr>
    </w:p>
    <w:p>
      <w:pPr>
        <w:sectPr>
          <w:pgSz w:w="11900" w:h="16840" w:orient="portrait"/>
          <w:cols w:equalWidth="0" w:num="3">
            <w:col w:w="3940" w:space="720"/>
            <w:col w:w="1860" w:space="720"/>
            <w:col w:w="3240"/>
          </w:cols>
          <w:pgMar w:left="660" w:top="789" w:right="760" w:bottom="1440" w:gutter="0" w:footer="0" w:header="0"/>
          <w:type w:val="continuous"/>
        </w:sectPr>
      </w:pPr>
    </w:p>
    <w:p>
      <w:pPr>
        <w:ind w:left="38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New York Stock Exchange</w:t>
      </w:r>
    </w:p>
    <w:p>
      <w:pPr>
        <w:spacing w:after="0" w:line="101" w:lineRule="exact"/>
        <w:rPr>
          <w:sz w:val="24"/>
          <w:szCs w:val="24"/>
          <w:color w:val="auto"/>
        </w:rPr>
      </w:pPr>
    </w:p>
    <w:p>
      <w:pPr>
        <w:sectPr>
          <w:pgSz w:w="11900" w:h="16840" w:orient="portrait"/>
          <w:cols w:equalWidth="0" w:num="3">
            <w:col w:w="4380" w:space="720"/>
            <w:col w:w="2000" w:space="720"/>
            <w:col w:w="2660"/>
          </w:cols>
          <w:pgMar w:left="660" w:top="789" w:right="760" w:bottom="1440" w:gutter="0" w:footer="0" w:header="0"/>
          <w:type w:val="continuous"/>
        </w:sectPr>
      </w:pPr>
    </w:p>
    <w:p>
      <w:pPr>
        <w:ind w:firstLine="468"/>
        <w:spacing w:after="0" w:line="26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29" w:lineRule="exact"/>
        <w:rPr>
          <w:sz w:val="24"/>
          <w:szCs w:val="24"/>
          <w:color w:val="auto"/>
        </w:rPr>
      </w:pPr>
    </w:p>
    <w:p>
      <w:pPr>
        <w:ind w:right="120" w:firstLine="468"/>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95" w:lineRule="exact"/>
        <w:rPr>
          <w:sz w:val="24"/>
          <w:szCs w:val="24"/>
          <w:color w:val="auto"/>
        </w:rPr>
      </w:pPr>
    </w:p>
    <w:p>
      <w:pPr>
        <w:ind w:right="140" w:firstLine="468"/>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192"/>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0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2"/>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0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58" w:lineRule="exact"/>
        <w:rPr>
          <w:sz w:val="24"/>
          <w:szCs w:val="24"/>
          <w:color w:val="auto"/>
        </w:rPr>
      </w:pPr>
    </w:p>
    <w:p>
      <w:pPr>
        <w:ind w:right="140" w:firstLine="468"/>
        <w:spacing w:after="0" w:line="28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 w:lineRule="exact"/>
        <w:rPr>
          <w:sz w:val="24"/>
          <w:szCs w:val="24"/>
          <w:color w:val="auto"/>
        </w:rPr>
      </w:pPr>
    </w:p>
    <w:p>
      <w:pPr>
        <w:ind w:left="480"/>
        <w:spacing w:after="0"/>
        <w:tabs>
          <w:tab w:leader="none" w:pos="7800" w:val="left"/>
          <w:tab w:leader="none" w:pos="8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w:t>
      </w:r>
      <w:r>
        <w:rPr>
          <w:sz w:val="20"/>
          <w:szCs w:val="20"/>
          <w:color w:val="auto"/>
        </w:rPr>
        <w:tab/>
      </w:r>
      <w:r>
        <w:rPr>
          <w:rFonts w:ascii="Arial" w:cs="Arial" w:eastAsia="Arial" w:hAnsi="Arial"/>
          <w:sz w:val="14"/>
          <w:szCs w:val="14"/>
          <w:color w:val="auto"/>
        </w:rPr>
        <w:t>No</w:t>
      </w:r>
    </w:p>
    <w:p>
      <w:pPr>
        <w:spacing w:after="0" w:line="6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May 11, 2023 was 65,224,500.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469900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789" w:right="760" w:bottom="1440" w:gutter="0" w:footer="0" w:header="0"/>
          <w:type w:val="continuous"/>
        </w:sectPr>
      </w:pPr>
    </w:p>
    <w:bookmarkStart w:id="1" w:name="page2"/>
    <w:bookmarkEnd w:id="1"/>
    <w:p>
      <w:pPr>
        <w:jc w:val="center"/>
        <w:ind w:right="-439"/>
        <w:spacing w:after="0"/>
        <w:rPr>
          <w:sz w:val="20"/>
          <w:szCs w:val="20"/>
          <w:color w:val="auto"/>
        </w:rPr>
      </w:pPr>
      <w:r>
        <w:rPr>
          <w:rFonts w:ascii="Arial" w:cs="Arial" w:eastAsia="Arial" w:hAnsi="Arial"/>
          <w:sz w:val="13"/>
          <w:szCs w:val="13"/>
          <w:b w:val="1"/>
          <w:bCs w:val="1"/>
          <w:color w:val="auto"/>
        </w:rPr>
        <w:t>PENNANTPARK INVESTMENT CORPORATION</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FORM 10-Q FOR THE QUARTER ENDED MARCH 31, 2023</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TABLE OF CONTENTS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40" w:type="dxa"/>
            <w:vAlign w:val="bottom"/>
            <w:gridSpan w:val="14"/>
          </w:tcPr>
          <w:p>
            <w:pPr>
              <w:jc w:val="center"/>
              <w:ind w:right="2360"/>
              <w:spacing w:after="0"/>
              <w:rPr>
                <w:rFonts w:ascii="Arial" w:cs="Arial" w:eastAsia="Arial" w:hAnsi="Arial"/>
                <w:sz w:val="13"/>
                <w:szCs w:val="13"/>
                <w:b w:val="1"/>
                <w:bCs w:val="1"/>
                <w:color w:val="0000FF"/>
              </w:rPr>
            </w:pPr>
            <w:hyperlink w:anchor="page3">
              <w:r>
                <w:rPr>
                  <w:rFonts w:ascii="Arial" w:cs="Arial" w:eastAsia="Arial" w:hAnsi="Arial"/>
                  <w:sz w:val="13"/>
                  <w:szCs w:val="13"/>
                  <w:b w:val="1"/>
                  <w:bCs w:val="1"/>
                  <w:color w:val="0000FF"/>
                </w:rPr>
                <w:t>PART I. CONSOLIDATED FINANCIAL INFORMATION</w:t>
              </w:r>
            </w:hyperlink>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20" w:type="dxa"/>
            <w:vAlign w:val="bottom"/>
          </w:tcPr>
          <w:p>
            <w:pPr>
              <w:spacing w:after="0"/>
              <w:rPr>
                <w:sz w:val="24"/>
                <w:szCs w:val="24"/>
                <w:color w:val="auto"/>
              </w:rPr>
            </w:pPr>
          </w:p>
        </w:tc>
        <w:tc>
          <w:tcPr>
            <w:tcW w:w="3380" w:type="dxa"/>
            <w:vAlign w:val="bottom"/>
            <w:gridSpan w:val="11"/>
          </w:tcPr>
          <w:p>
            <w:pPr>
              <w:spacing w:after="0"/>
              <w:rPr>
                <w:rFonts w:ascii="Arial" w:cs="Arial" w:eastAsia="Arial" w:hAnsi="Arial"/>
                <w:sz w:val="13"/>
                <w:szCs w:val="13"/>
                <w:b w:val="1"/>
                <w:bCs w:val="1"/>
                <w:color w:val="0000FF"/>
              </w:rPr>
            </w:pPr>
            <w:hyperlink w:anchor="page4">
              <w:r>
                <w:rPr>
                  <w:rFonts w:ascii="Arial" w:cs="Arial" w:eastAsia="Arial" w:hAnsi="Arial"/>
                  <w:sz w:val="13"/>
                  <w:szCs w:val="13"/>
                  <w:b w:val="1"/>
                  <w:bCs w:val="1"/>
                  <w:color w:val="0000FF"/>
                </w:rPr>
                <w:t>Item 1. Consolidated Financial Statements</w:t>
              </w:r>
            </w:hyperlink>
          </w:p>
        </w:tc>
        <w:tc>
          <w:tcPr>
            <w:tcW w:w="3260" w:type="dxa"/>
            <w:vAlign w:val="bottom"/>
            <w:tcBorders>
              <w:top w:val="single" w:sz="8" w:color="0000FF"/>
            </w:tcBorders>
            <w:gridSpan w:val="10"/>
          </w:tcPr>
          <w:p>
            <w:pPr>
              <w:spacing w:after="0"/>
              <w:rPr>
                <w:sz w:val="24"/>
                <w:szCs w:val="24"/>
                <w:color w:val="auto"/>
              </w:rPr>
            </w:pPr>
          </w:p>
        </w:tc>
        <w:tc>
          <w:tcPr>
            <w:tcW w:w="238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00" w:type="dxa"/>
            <w:vAlign w:val="bottom"/>
            <w:gridSpan w:val="24"/>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Consolidated Statements of Assets and Liabilities as of March 31, 2023 (unaudited) and September 30, 2022</w:t>
              </w:r>
            </w:hyperlink>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00" w:type="dxa"/>
            <w:vAlign w:val="bottom"/>
            <w:gridSpan w:val="24"/>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Consolidated Statements of Operations for the three and six months ended March 31, 2023 and 2022 (unaudited)</w:t>
              </w:r>
            </w:hyperlink>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00" w:type="dxa"/>
            <w:vAlign w:val="bottom"/>
            <w:gridSpan w:val="24"/>
          </w:tcPr>
          <w:p>
            <w:pPr>
              <w:spacing w:after="0"/>
              <w:rPr>
                <w:rFonts w:ascii="Arial" w:cs="Arial" w:eastAsia="Arial" w:hAnsi="Arial"/>
                <w:sz w:val="13"/>
                <w:szCs w:val="13"/>
                <w:color w:val="0000FF"/>
              </w:rPr>
            </w:pPr>
            <w:hyperlink w:anchor="page6">
              <w:r>
                <w:rPr>
                  <w:rFonts w:ascii="Arial" w:cs="Arial" w:eastAsia="Arial" w:hAnsi="Arial"/>
                  <w:sz w:val="13"/>
                  <w:szCs w:val="13"/>
                  <w:color w:val="0000FF"/>
                </w:rPr>
                <w:t>Consolidated Statements of Changes in Net Assets for the three and six months ended March 31, 2023 and 2022 (unaudited)</w:t>
              </w:r>
            </w:hyperlink>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6</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Borders>
              <w:top w:val="single" w:sz="8" w:color="0000FF"/>
              <w:bottom w:val="single" w:sz="8" w:color="0000FF"/>
            </w:tcBorders>
            <w:gridSpan w:val="19"/>
          </w:tcPr>
          <w:p>
            <w:pPr>
              <w:spacing w:after="0"/>
              <w:rPr>
                <w:rFonts w:ascii="Arial" w:cs="Arial" w:eastAsia="Arial" w:hAnsi="Arial"/>
                <w:sz w:val="13"/>
                <w:szCs w:val="13"/>
                <w:color w:val="0000FF"/>
              </w:rPr>
            </w:pPr>
            <w:hyperlink w:anchor="page7">
              <w:r>
                <w:rPr>
                  <w:rFonts w:ascii="Arial" w:cs="Arial" w:eastAsia="Arial" w:hAnsi="Arial"/>
                  <w:sz w:val="13"/>
                  <w:szCs w:val="13"/>
                  <w:color w:val="0000FF"/>
                </w:rPr>
                <w:t>Consolidated Statements of Cash Flows for the six months ended March 31, 2023 and 2022 (unaudited)</w:t>
              </w:r>
            </w:hyperlink>
          </w:p>
        </w:tc>
        <w:tc>
          <w:tcPr>
            <w:tcW w:w="1240" w:type="dxa"/>
            <w:vAlign w:val="bottom"/>
            <w:tcBorders>
              <w:top w:val="single" w:sz="8" w:color="0000FF"/>
            </w:tcBorders>
            <w:gridSpan w:val="4"/>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tcBorders>
              <w:bottom w:val="single" w:sz="8" w:color="0000FF"/>
            </w:tcBorders>
            <w:gridSpan w:val="18"/>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Consolidated Schedules of Investments as of March 31, 2023 (unaudited) and September 30, 2022</w:t>
              </w:r>
            </w:hyperlink>
          </w:p>
        </w:tc>
        <w:tc>
          <w:tcPr>
            <w:tcW w:w="2920" w:type="dxa"/>
            <w:vAlign w:val="bottom"/>
            <w:gridSpan w:val="6"/>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Borders>
              <w:bottom w:val="single" w:sz="8" w:color="0000FF"/>
            </w:tcBorders>
            <w:gridSpan w:val="11"/>
          </w:tcPr>
          <w:p>
            <w:pPr>
              <w:spacing w:after="0"/>
              <w:rPr>
                <w:rFonts w:ascii="Arial" w:cs="Arial" w:eastAsia="Arial" w:hAnsi="Arial"/>
                <w:sz w:val="13"/>
                <w:szCs w:val="13"/>
                <w:color w:val="0000FF"/>
              </w:rPr>
            </w:pPr>
            <w:hyperlink w:anchor="page19">
              <w:r>
                <w:rPr>
                  <w:rFonts w:ascii="Arial" w:cs="Arial" w:eastAsia="Arial" w:hAnsi="Arial"/>
                  <w:sz w:val="13"/>
                  <w:szCs w:val="13"/>
                  <w:color w:val="0000FF"/>
                </w:rPr>
                <w:t>Notes to Consolidated Financial Statements (unaudited)</w:t>
              </w:r>
            </w:hyperlink>
          </w:p>
        </w:tc>
        <w:tc>
          <w:tcPr>
            <w:tcW w:w="5440" w:type="dxa"/>
            <w:vAlign w:val="bottom"/>
            <w:gridSpan w:val="13"/>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Borders>
              <w:bottom w:val="single" w:sz="8" w:color="0000FF"/>
            </w:tcBorders>
            <w:gridSpan w:val="15"/>
          </w:tcPr>
          <w:p>
            <w:pPr>
              <w:spacing w:after="0"/>
              <w:rPr>
                <w:rFonts w:ascii="Arial" w:cs="Arial" w:eastAsia="Arial" w:hAnsi="Arial"/>
                <w:sz w:val="13"/>
                <w:szCs w:val="13"/>
                <w:color w:val="0000FF"/>
              </w:rPr>
            </w:pPr>
            <w:hyperlink w:anchor="page36">
              <w:r>
                <w:rPr>
                  <w:rFonts w:ascii="Arial" w:cs="Arial" w:eastAsia="Arial" w:hAnsi="Arial"/>
                  <w:sz w:val="13"/>
                  <w:szCs w:val="13"/>
                  <w:color w:val="0000FF"/>
                </w:rPr>
                <w:t>Report of Independent Registered Public Accounting Firm (PCAOB ID 49)</w:t>
              </w:r>
            </w:hyperlink>
          </w:p>
        </w:tc>
        <w:tc>
          <w:tcPr>
            <w:tcW w:w="4400" w:type="dxa"/>
            <w:vAlign w:val="bottom"/>
            <w:gridSpan w:val="9"/>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36</w:t>
            </w:r>
          </w:p>
        </w:tc>
      </w:tr>
      <w:tr>
        <w:trPr>
          <w:trHeight w:val="340"/>
        </w:trPr>
        <w:tc>
          <w:tcPr>
            <w:tcW w:w="20" w:type="dxa"/>
            <w:vAlign w:val="bottom"/>
          </w:tcPr>
          <w:p>
            <w:pPr>
              <w:spacing w:after="0"/>
              <w:rPr>
                <w:sz w:val="24"/>
                <w:szCs w:val="24"/>
                <w:color w:val="auto"/>
              </w:rPr>
            </w:pPr>
          </w:p>
        </w:tc>
        <w:tc>
          <w:tcPr>
            <w:tcW w:w="6060" w:type="dxa"/>
            <w:vAlign w:val="bottom"/>
            <w:tcBorders>
              <w:bottom w:val="single" w:sz="8" w:color="0000FF"/>
            </w:tcBorders>
            <w:gridSpan w:val="18"/>
          </w:tcPr>
          <w:p>
            <w:pPr>
              <w:spacing w:after="0"/>
              <w:rPr>
                <w:rFonts w:ascii="Arial" w:cs="Arial" w:eastAsia="Arial" w:hAnsi="Arial"/>
                <w:sz w:val="13"/>
                <w:szCs w:val="13"/>
                <w:b w:val="1"/>
                <w:bCs w:val="1"/>
                <w:color w:val="0000FF"/>
              </w:rPr>
            </w:pPr>
            <w:hyperlink w:anchor="page38">
              <w:r>
                <w:rPr>
                  <w:rFonts w:ascii="Arial" w:cs="Arial" w:eastAsia="Arial" w:hAnsi="Arial"/>
                  <w:sz w:val="13"/>
                  <w:szCs w:val="13"/>
                  <w:b w:val="1"/>
                  <w:bCs w:val="1"/>
                  <w:color w:val="0000FF"/>
                </w:rPr>
                <w:t>Item 2. Management’s Discussion and Analysis of Financial Condition and Results of Operations</w:t>
              </w:r>
            </w:hyperlink>
          </w:p>
        </w:tc>
        <w:tc>
          <w:tcPr>
            <w:tcW w:w="2960" w:type="dxa"/>
            <w:vAlign w:val="bottom"/>
            <w:gridSpan w:val="7"/>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38</w:t>
            </w:r>
          </w:p>
        </w:tc>
      </w:tr>
      <w:tr>
        <w:trPr>
          <w:trHeight w:val="340"/>
        </w:trPr>
        <w:tc>
          <w:tcPr>
            <w:tcW w:w="20" w:type="dxa"/>
            <w:vAlign w:val="bottom"/>
          </w:tcPr>
          <w:p>
            <w:pPr>
              <w:spacing w:after="0"/>
              <w:rPr>
                <w:sz w:val="24"/>
                <w:szCs w:val="24"/>
                <w:color w:val="auto"/>
              </w:rPr>
            </w:pPr>
          </w:p>
        </w:tc>
        <w:tc>
          <w:tcPr>
            <w:tcW w:w="4180" w:type="dxa"/>
            <w:vAlign w:val="bottom"/>
            <w:tcBorders>
              <w:bottom w:val="single" w:sz="8" w:color="0000FF"/>
            </w:tcBorders>
            <w:gridSpan w:val="14"/>
          </w:tcPr>
          <w:p>
            <w:pPr>
              <w:spacing w:after="0"/>
              <w:rPr>
                <w:rFonts w:ascii="Arial" w:cs="Arial" w:eastAsia="Arial" w:hAnsi="Arial"/>
                <w:sz w:val="13"/>
                <w:szCs w:val="13"/>
                <w:b w:val="1"/>
                <w:bCs w:val="1"/>
                <w:color w:val="0000FF"/>
              </w:rPr>
            </w:pPr>
            <w:hyperlink w:anchor="page53">
              <w:r>
                <w:rPr>
                  <w:rFonts w:ascii="Arial" w:cs="Arial" w:eastAsia="Arial" w:hAnsi="Arial"/>
                  <w:sz w:val="13"/>
                  <w:szCs w:val="13"/>
                  <w:b w:val="1"/>
                  <w:bCs w:val="1"/>
                  <w:color w:val="0000FF"/>
                </w:rPr>
                <w:t>Item 3. Quantitative and Qualitative Disclosures About Market Risk</w:t>
              </w:r>
            </w:hyperlink>
          </w:p>
        </w:tc>
        <w:tc>
          <w:tcPr>
            <w:tcW w:w="4840" w:type="dxa"/>
            <w:vAlign w:val="bottom"/>
            <w:gridSpan w:val="11"/>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340"/>
        </w:trPr>
        <w:tc>
          <w:tcPr>
            <w:tcW w:w="20" w:type="dxa"/>
            <w:vAlign w:val="bottom"/>
          </w:tcPr>
          <w:p>
            <w:pPr>
              <w:spacing w:after="0"/>
              <w:rPr>
                <w:sz w:val="24"/>
                <w:szCs w:val="24"/>
                <w:color w:val="auto"/>
              </w:rPr>
            </w:pPr>
          </w:p>
        </w:tc>
        <w:tc>
          <w:tcPr>
            <w:tcW w:w="9020" w:type="dxa"/>
            <w:vAlign w:val="bottom"/>
            <w:gridSpan w:val="25"/>
          </w:tcPr>
          <w:p>
            <w:pPr>
              <w:spacing w:after="0"/>
              <w:rPr>
                <w:rFonts w:ascii="Arial" w:cs="Arial" w:eastAsia="Arial" w:hAnsi="Arial"/>
                <w:sz w:val="13"/>
                <w:szCs w:val="13"/>
                <w:b w:val="1"/>
                <w:bCs w:val="1"/>
                <w:color w:val="0000FF"/>
              </w:rPr>
            </w:pPr>
            <w:hyperlink w:anchor="page53">
              <w:r>
                <w:rPr>
                  <w:rFonts w:ascii="Arial" w:cs="Arial" w:eastAsia="Arial" w:hAnsi="Arial"/>
                  <w:sz w:val="13"/>
                  <w:szCs w:val="13"/>
                  <w:b w:val="1"/>
                  <w:bCs w:val="1"/>
                  <w:color w:val="0000FF"/>
                </w:rPr>
                <w:t>Item 4. Controls and Procedures</w:t>
              </w:r>
            </w:hyperlink>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340"/>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gridSpan w:val="12"/>
          </w:tcPr>
          <w:p>
            <w:pPr>
              <w:jc w:val="center"/>
              <w:ind w:right="3020"/>
              <w:spacing w:after="0"/>
              <w:rPr>
                <w:rFonts w:ascii="Arial" w:cs="Arial" w:eastAsia="Arial" w:hAnsi="Arial"/>
                <w:sz w:val="13"/>
                <w:szCs w:val="13"/>
                <w:b w:val="1"/>
                <w:bCs w:val="1"/>
                <w:color w:val="0000FF"/>
              </w:rPr>
            </w:pPr>
            <w:hyperlink w:anchor="page54">
              <w:r>
                <w:rPr>
                  <w:rFonts w:ascii="Arial" w:cs="Arial" w:eastAsia="Arial" w:hAnsi="Arial"/>
                  <w:sz w:val="13"/>
                  <w:szCs w:val="13"/>
                  <w:b w:val="1"/>
                  <w:bCs w:val="1"/>
                  <w:color w:val="0000FF"/>
                </w:rPr>
                <w:t>PART II. OTHER INFORMATION</w:t>
              </w:r>
            </w:hyperlink>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640" w:type="dxa"/>
            <w:vAlign w:val="bottom"/>
            <w:tcBorders>
              <w:bottom w:val="single" w:sz="8" w:color="0000FF"/>
            </w:tcBorders>
            <w:gridSpan w:val="6"/>
          </w:tcPr>
          <w:p>
            <w:pPr>
              <w:spacing w:after="0"/>
              <w:rPr>
                <w:rFonts w:ascii="Arial" w:cs="Arial" w:eastAsia="Arial" w:hAnsi="Arial"/>
                <w:sz w:val="13"/>
                <w:szCs w:val="13"/>
                <w:b w:val="1"/>
                <w:bCs w:val="1"/>
                <w:color w:val="0000FF"/>
              </w:rPr>
            </w:pPr>
            <w:hyperlink w:anchor="page54">
              <w:r>
                <w:rPr>
                  <w:rFonts w:ascii="Arial" w:cs="Arial" w:eastAsia="Arial" w:hAnsi="Arial"/>
                  <w:sz w:val="13"/>
                  <w:szCs w:val="13"/>
                  <w:b w:val="1"/>
                  <w:bCs w:val="1"/>
                  <w:color w:val="0000FF"/>
                </w:rPr>
                <w:t>Item 1. Legal Proceedings</w:t>
              </w:r>
            </w:hyperlink>
          </w:p>
        </w:tc>
        <w:tc>
          <w:tcPr>
            <w:tcW w:w="2400" w:type="dxa"/>
            <w:vAlign w:val="bottom"/>
            <w:gridSpan w:val="7"/>
          </w:tcPr>
          <w:p>
            <w:pPr>
              <w:spacing w:after="0"/>
              <w:rPr>
                <w:sz w:val="24"/>
                <w:szCs w:val="24"/>
                <w:color w:val="auto"/>
              </w:rPr>
            </w:pPr>
          </w:p>
        </w:tc>
        <w:tc>
          <w:tcPr>
            <w:tcW w:w="1960" w:type="dxa"/>
            <w:vAlign w:val="bottom"/>
            <w:tcBorders>
              <w:top w:val="single" w:sz="8" w:color="0000FF"/>
            </w:tcBorders>
            <w:gridSpan w:val="4"/>
          </w:tcPr>
          <w:p>
            <w:pPr>
              <w:spacing w:after="0"/>
              <w:rPr>
                <w:sz w:val="24"/>
                <w:szCs w:val="24"/>
                <w:color w:val="auto"/>
              </w:rPr>
            </w:pPr>
          </w:p>
        </w:tc>
        <w:tc>
          <w:tcPr>
            <w:tcW w:w="3020" w:type="dxa"/>
            <w:vAlign w:val="bottom"/>
            <w:gridSpan w:val="8"/>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54</w:t>
            </w:r>
          </w:p>
        </w:tc>
      </w:tr>
      <w:tr>
        <w:trPr>
          <w:trHeight w:val="340"/>
        </w:trPr>
        <w:tc>
          <w:tcPr>
            <w:tcW w:w="20" w:type="dxa"/>
            <w:vAlign w:val="bottom"/>
          </w:tcPr>
          <w:p>
            <w:pPr>
              <w:spacing w:after="0"/>
              <w:rPr>
                <w:sz w:val="24"/>
                <w:szCs w:val="24"/>
                <w:color w:val="auto"/>
              </w:rPr>
            </w:pPr>
          </w:p>
        </w:tc>
        <w:tc>
          <w:tcPr>
            <w:tcW w:w="1340" w:type="dxa"/>
            <w:vAlign w:val="bottom"/>
            <w:tcBorders>
              <w:bottom w:val="single" w:sz="8" w:color="0000FF"/>
            </w:tcBorders>
            <w:gridSpan w:val="4"/>
          </w:tcPr>
          <w:p>
            <w:pPr>
              <w:spacing w:after="0"/>
              <w:rPr>
                <w:rFonts w:ascii="Arial" w:cs="Arial" w:eastAsia="Arial" w:hAnsi="Arial"/>
                <w:sz w:val="13"/>
                <w:szCs w:val="13"/>
                <w:b w:val="1"/>
                <w:bCs w:val="1"/>
                <w:color w:val="0000FF"/>
                <w:w w:val="99"/>
              </w:rPr>
            </w:pPr>
            <w:hyperlink w:anchor="page54">
              <w:r>
                <w:rPr>
                  <w:rFonts w:ascii="Arial" w:cs="Arial" w:eastAsia="Arial" w:hAnsi="Arial"/>
                  <w:sz w:val="13"/>
                  <w:szCs w:val="13"/>
                  <w:b w:val="1"/>
                  <w:bCs w:val="1"/>
                  <w:color w:val="0000FF"/>
                  <w:w w:val="99"/>
                </w:rPr>
                <w:t>Item 1A. Risk Factors</w:t>
              </w:r>
            </w:hyperlink>
          </w:p>
        </w:tc>
        <w:tc>
          <w:tcPr>
            <w:tcW w:w="7680" w:type="dxa"/>
            <w:vAlign w:val="bottom"/>
            <w:gridSpan w:val="21"/>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54</w:t>
            </w:r>
          </w:p>
        </w:tc>
      </w:tr>
      <w:tr>
        <w:trPr>
          <w:trHeight w:val="340"/>
        </w:trPr>
        <w:tc>
          <w:tcPr>
            <w:tcW w:w="20" w:type="dxa"/>
            <w:vAlign w:val="bottom"/>
          </w:tcPr>
          <w:p>
            <w:pPr>
              <w:spacing w:after="0"/>
              <w:rPr>
                <w:sz w:val="24"/>
                <w:szCs w:val="24"/>
                <w:color w:val="auto"/>
              </w:rPr>
            </w:pPr>
          </w:p>
        </w:tc>
        <w:tc>
          <w:tcPr>
            <w:tcW w:w="4260" w:type="dxa"/>
            <w:vAlign w:val="bottom"/>
            <w:tcBorders>
              <w:bottom w:val="single" w:sz="8" w:color="0000FF"/>
            </w:tcBorders>
            <w:gridSpan w:val="15"/>
          </w:tcPr>
          <w:p>
            <w:pPr>
              <w:spacing w:after="0"/>
              <w:rPr>
                <w:rFonts w:ascii="Arial" w:cs="Arial" w:eastAsia="Arial" w:hAnsi="Arial"/>
                <w:sz w:val="13"/>
                <w:szCs w:val="13"/>
                <w:b w:val="1"/>
                <w:bCs w:val="1"/>
                <w:color w:val="0000FF"/>
              </w:rPr>
            </w:pPr>
            <w:hyperlink w:anchor="page55">
              <w:r>
                <w:rPr>
                  <w:rFonts w:ascii="Arial" w:cs="Arial" w:eastAsia="Arial" w:hAnsi="Arial"/>
                  <w:sz w:val="13"/>
                  <w:szCs w:val="13"/>
                  <w:b w:val="1"/>
                  <w:bCs w:val="1"/>
                  <w:color w:val="0000FF"/>
                </w:rPr>
                <w:t>Item 2. Unregistered Sales of Equity Securities and Use of Proceeds</w:t>
              </w:r>
            </w:hyperlink>
          </w:p>
        </w:tc>
        <w:tc>
          <w:tcPr>
            <w:tcW w:w="4760" w:type="dxa"/>
            <w:vAlign w:val="bottom"/>
            <w:gridSpan w:val="10"/>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55</w:t>
            </w:r>
          </w:p>
        </w:tc>
      </w:tr>
      <w:tr>
        <w:trPr>
          <w:trHeight w:val="340"/>
        </w:trPr>
        <w:tc>
          <w:tcPr>
            <w:tcW w:w="20" w:type="dxa"/>
            <w:vAlign w:val="bottom"/>
          </w:tcPr>
          <w:p>
            <w:pPr>
              <w:spacing w:after="0"/>
              <w:rPr>
                <w:sz w:val="24"/>
                <w:szCs w:val="24"/>
                <w:color w:val="auto"/>
              </w:rPr>
            </w:pPr>
          </w:p>
        </w:tc>
        <w:tc>
          <w:tcPr>
            <w:tcW w:w="2460" w:type="dxa"/>
            <w:vAlign w:val="bottom"/>
            <w:tcBorders>
              <w:bottom w:val="single" w:sz="8" w:color="0000FF"/>
            </w:tcBorders>
            <w:gridSpan w:val="9"/>
          </w:tcPr>
          <w:p>
            <w:pPr>
              <w:spacing w:after="0"/>
              <w:rPr>
                <w:rFonts w:ascii="Arial" w:cs="Arial" w:eastAsia="Arial" w:hAnsi="Arial"/>
                <w:sz w:val="13"/>
                <w:szCs w:val="13"/>
                <w:b w:val="1"/>
                <w:bCs w:val="1"/>
                <w:color w:val="0000FF"/>
              </w:rPr>
            </w:pPr>
            <w:hyperlink w:anchor="page55">
              <w:r>
                <w:rPr>
                  <w:rFonts w:ascii="Arial" w:cs="Arial" w:eastAsia="Arial" w:hAnsi="Arial"/>
                  <w:sz w:val="13"/>
                  <w:szCs w:val="13"/>
                  <w:b w:val="1"/>
                  <w:bCs w:val="1"/>
                  <w:color w:val="0000FF"/>
                </w:rPr>
                <w:t>Item 3. Defaults Upon Senior Securities</w:t>
              </w:r>
            </w:hyperlink>
          </w:p>
        </w:tc>
        <w:tc>
          <w:tcPr>
            <w:tcW w:w="6560" w:type="dxa"/>
            <w:vAlign w:val="bottom"/>
            <w:gridSpan w:val="16"/>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55</w:t>
            </w:r>
          </w:p>
        </w:tc>
      </w:tr>
      <w:tr>
        <w:trPr>
          <w:trHeight w:val="340"/>
        </w:trPr>
        <w:tc>
          <w:tcPr>
            <w:tcW w:w="20" w:type="dxa"/>
            <w:vAlign w:val="bottom"/>
          </w:tcPr>
          <w:p>
            <w:pPr>
              <w:spacing w:after="0"/>
              <w:rPr>
                <w:sz w:val="24"/>
                <w:szCs w:val="24"/>
                <w:color w:val="auto"/>
              </w:rPr>
            </w:pPr>
          </w:p>
        </w:tc>
        <w:tc>
          <w:tcPr>
            <w:tcW w:w="9020" w:type="dxa"/>
            <w:vAlign w:val="bottom"/>
            <w:gridSpan w:val="25"/>
          </w:tcPr>
          <w:p>
            <w:pPr>
              <w:spacing w:after="0"/>
              <w:rPr>
                <w:rFonts w:ascii="Arial" w:cs="Arial" w:eastAsia="Arial" w:hAnsi="Arial"/>
                <w:sz w:val="13"/>
                <w:szCs w:val="13"/>
                <w:b w:val="1"/>
                <w:bCs w:val="1"/>
                <w:color w:val="0000FF"/>
              </w:rPr>
            </w:pPr>
            <w:hyperlink w:anchor="page55">
              <w:r>
                <w:rPr>
                  <w:rFonts w:ascii="Arial" w:cs="Arial" w:eastAsia="Arial" w:hAnsi="Arial"/>
                  <w:sz w:val="13"/>
                  <w:szCs w:val="13"/>
                  <w:b w:val="1"/>
                  <w:bCs w:val="1"/>
                  <w:color w:val="0000FF"/>
                </w:rPr>
                <w:t>Item 4. Mine Safety Disclosures</w:t>
              </w:r>
            </w:hyperlink>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55</w:t>
            </w:r>
          </w:p>
        </w:tc>
      </w:tr>
      <w:tr>
        <w:trPr>
          <w:trHeight w:val="340"/>
        </w:trPr>
        <w:tc>
          <w:tcPr>
            <w:tcW w:w="20" w:type="dxa"/>
            <w:vAlign w:val="bottom"/>
          </w:tcPr>
          <w:p>
            <w:pPr>
              <w:spacing w:after="0"/>
              <w:rPr>
                <w:sz w:val="24"/>
                <w:szCs w:val="24"/>
                <w:color w:val="auto"/>
              </w:rPr>
            </w:pPr>
          </w:p>
        </w:tc>
        <w:tc>
          <w:tcPr>
            <w:tcW w:w="1580" w:type="dxa"/>
            <w:vAlign w:val="bottom"/>
            <w:tcBorders>
              <w:top w:val="single" w:sz="8" w:color="0000FF"/>
              <w:bottom w:val="single" w:sz="8" w:color="0000FF"/>
            </w:tcBorders>
            <w:gridSpan w:val="5"/>
          </w:tcPr>
          <w:p>
            <w:pPr>
              <w:spacing w:after="0"/>
              <w:rPr>
                <w:rFonts w:ascii="Arial" w:cs="Arial" w:eastAsia="Arial" w:hAnsi="Arial"/>
                <w:sz w:val="13"/>
                <w:szCs w:val="13"/>
                <w:b w:val="1"/>
                <w:bCs w:val="1"/>
                <w:color w:val="0000FF"/>
              </w:rPr>
            </w:pPr>
            <w:hyperlink w:anchor="page55">
              <w:r>
                <w:rPr>
                  <w:rFonts w:ascii="Arial" w:cs="Arial" w:eastAsia="Arial" w:hAnsi="Arial"/>
                  <w:sz w:val="13"/>
                  <w:szCs w:val="13"/>
                  <w:b w:val="1"/>
                  <w:bCs w:val="1"/>
                  <w:color w:val="0000FF"/>
                </w:rPr>
                <w:t>Item 5. Other Information</w:t>
              </w:r>
            </w:hyperlink>
          </w:p>
        </w:tc>
        <w:tc>
          <w:tcPr>
            <w:tcW w:w="380" w:type="dxa"/>
            <w:vAlign w:val="bottom"/>
            <w:tcBorders>
              <w:top w:val="single" w:sz="8" w:color="0000FF"/>
            </w:tcBorders>
            <w:gridSpan w:val="2"/>
          </w:tcPr>
          <w:p>
            <w:pPr>
              <w:spacing w:after="0"/>
              <w:rPr>
                <w:sz w:val="24"/>
                <w:szCs w:val="24"/>
                <w:color w:val="auto"/>
              </w:rPr>
            </w:pPr>
          </w:p>
        </w:tc>
        <w:tc>
          <w:tcPr>
            <w:tcW w:w="7060" w:type="dxa"/>
            <w:vAlign w:val="bottom"/>
            <w:gridSpan w:val="18"/>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55</w:t>
            </w:r>
          </w:p>
        </w:tc>
      </w:tr>
      <w:tr>
        <w:trPr>
          <w:trHeight w:val="352"/>
        </w:trPr>
        <w:tc>
          <w:tcPr>
            <w:tcW w:w="20" w:type="dxa"/>
            <w:vAlign w:val="bottom"/>
          </w:tcPr>
          <w:p>
            <w:pPr>
              <w:spacing w:after="0"/>
              <w:rPr>
                <w:sz w:val="24"/>
                <w:szCs w:val="24"/>
                <w:color w:val="auto"/>
              </w:rPr>
            </w:pPr>
          </w:p>
        </w:tc>
        <w:tc>
          <w:tcPr>
            <w:tcW w:w="980" w:type="dxa"/>
            <w:vAlign w:val="bottom"/>
            <w:tcBorders>
              <w:bottom w:val="single" w:sz="8" w:color="0000FF"/>
            </w:tcBorders>
            <w:gridSpan w:val="3"/>
          </w:tcPr>
          <w:p>
            <w:pPr>
              <w:spacing w:after="0"/>
              <w:rPr>
                <w:rFonts w:ascii="Arial" w:cs="Arial" w:eastAsia="Arial" w:hAnsi="Arial"/>
                <w:sz w:val="13"/>
                <w:szCs w:val="13"/>
                <w:b w:val="1"/>
                <w:bCs w:val="1"/>
                <w:color w:val="0000FF"/>
              </w:rPr>
            </w:pPr>
            <w:hyperlink w:anchor="page56">
              <w:r>
                <w:rPr>
                  <w:rFonts w:ascii="Arial" w:cs="Arial" w:eastAsia="Arial" w:hAnsi="Arial"/>
                  <w:sz w:val="13"/>
                  <w:szCs w:val="13"/>
                  <w:b w:val="1"/>
                  <w:bCs w:val="1"/>
                  <w:color w:val="0000FF"/>
                </w:rPr>
                <w:t>Item 6. Exhibits</w:t>
              </w:r>
            </w:hyperlink>
          </w:p>
        </w:tc>
        <w:tc>
          <w:tcPr>
            <w:tcW w:w="8040" w:type="dxa"/>
            <w:vAlign w:val="bottom"/>
            <w:gridSpan w:val="22"/>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56</w:t>
            </w:r>
          </w:p>
        </w:tc>
      </w:tr>
      <w:tr>
        <w:trPr>
          <w:trHeight w:val="340"/>
        </w:trPr>
        <w:tc>
          <w:tcPr>
            <w:tcW w:w="20" w:type="dxa"/>
            <w:vAlign w:val="bottom"/>
          </w:tcPr>
          <w:p>
            <w:pPr>
              <w:spacing w:after="0"/>
              <w:rPr>
                <w:sz w:val="24"/>
                <w:szCs w:val="24"/>
                <w:color w:val="auto"/>
              </w:rPr>
            </w:pPr>
          </w:p>
        </w:tc>
        <w:tc>
          <w:tcPr>
            <w:tcW w:w="9020" w:type="dxa"/>
            <w:vAlign w:val="bottom"/>
            <w:gridSpan w:val="25"/>
          </w:tcPr>
          <w:p>
            <w:pPr>
              <w:spacing w:after="0"/>
              <w:rPr>
                <w:rFonts w:ascii="Arial" w:cs="Arial" w:eastAsia="Arial" w:hAnsi="Arial"/>
                <w:sz w:val="13"/>
                <w:szCs w:val="13"/>
                <w:b w:val="1"/>
                <w:bCs w:val="1"/>
                <w:color w:val="0000FF"/>
              </w:rPr>
            </w:pPr>
            <w:hyperlink w:anchor="page57">
              <w:r>
                <w:rPr>
                  <w:rFonts w:ascii="Arial" w:cs="Arial" w:eastAsia="Arial" w:hAnsi="Arial"/>
                  <w:sz w:val="13"/>
                  <w:szCs w:val="13"/>
                  <w:b w:val="1"/>
                  <w:bCs w:val="1"/>
                  <w:color w:val="0000FF"/>
                </w:rPr>
                <w:t>SIGNATURES</w:t>
              </w:r>
            </w:hyperlink>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57</w:t>
            </w:r>
          </w:p>
        </w:tc>
      </w:tr>
      <w:tr>
        <w:trPr>
          <w:trHeight w:val="354"/>
        </w:trPr>
        <w:tc>
          <w:tcPr>
            <w:tcW w:w="20" w:type="dxa"/>
            <w:vAlign w:val="bottom"/>
          </w:tcPr>
          <w:p>
            <w:pPr>
              <w:spacing w:after="0"/>
              <w:rPr>
                <w:sz w:val="24"/>
                <w:szCs w:val="24"/>
                <w:color w:val="auto"/>
              </w:rPr>
            </w:pPr>
          </w:p>
        </w:tc>
        <w:tc>
          <w:tcPr>
            <w:tcW w:w="860" w:type="dxa"/>
            <w:vAlign w:val="bottom"/>
            <w:tcBorders>
              <w:top w:val="single" w:sz="8" w:color="0000FF"/>
            </w:tcBorders>
            <w:gridSpan w:val="2"/>
          </w:tcPr>
          <w:p>
            <w:pPr>
              <w:spacing w:after="0"/>
              <w:rPr>
                <w:sz w:val="24"/>
                <w:szCs w:val="24"/>
                <w:color w:val="auto"/>
              </w:rPr>
            </w:pPr>
          </w:p>
        </w:tc>
        <w:tc>
          <w:tcPr>
            <w:tcW w:w="5140" w:type="dxa"/>
            <w:vAlign w:val="bottom"/>
            <w:gridSpan w:val="15"/>
          </w:tcPr>
          <w:p>
            <w:pPr>
              <w:jc w:val="right"/>
              <w:ind w:right="70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20" w:type="dxa"/>
            <w:vAlign w:val="bottom"/>
            <w:tcBorders>
              <w:bottom w:val="single" w:sz="8" w:color="EEEEEE"/>
            </w:tcBorders>
          </w:tcPr>
          <w:p>
            <w:pPr>
              <w:spacing w:after="0"/>
              <w:rPr>
                <w:sz w:val="9"/>
                <w:szCs w:val="9"/>
                <w:color w:val="auto"/>
              </w:rPr>
            </w:pPr>
          </w:p>
        </w:tc>
        <w:tc>
          <w:tcPr>
            <w:tcW w:w="320" w:type="dxa"/>
            <w:vAlign w:val="bottom"/>
            <w:tcBorders>
              <w:bottom w:val="single" w:sz="8" w:color="EEEEEE"/>
            </w:tcBorders>
          </w:tcPr>
          <w:p>
            <w:pPr>
              <w:spacing w:after="0"/>
              <w:rPr>
                <w:sz w:val="9"/>
                <w:szCs w:val="9"/>
                <w:color w:val="auto"/>
              </w:rPr>
            </w:pPr>
          </w:p>
        </w:tc>
        <w:tc>
          <w:tcPr>
            <w:tcW w:w="54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24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3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44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74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460" w:type="dxa"/>
            <w:vAlign w:val="bottom"/>
            <w:tcBorders>
              <w:bottom w:val="single" w:sz="8" w:color="EEEEEE"/>
            </w:tcBorders>
          </w:tcPr>
          <w:p>
            <w:pPr>
              <w:spacing w:after="0"/>
              <w:rPr>
                <w:sz w:val="9"/>
                <w:szCs w:val="9"/>
                <w:color w:val="auto"/>
              </w:rPr>
            </w:pPr>
          </w:p>
        </w:tc>
        <w:tc>
          <w:tcPr>
            <w:tcW w:w="14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138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28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700" w:type="dxa"/>
            <w:vAlign w:val="bottom"/>
            <w:tcBorders>
              <w:bottom w:val="single" w:sz="8" w:color="EEEEEE"/>
            </w:tcBorders>
          </w:tcPr>
          <w:p>
            <w:pPr>
              <w:spacing w:after="0"/>
              <w:rPr>
                <w:sz w:val="9"/>
                <w:szCs w:val="9"/>
                <w:color w:val="auto"/>
              </w:rPr>
            </w:pPr>
          </w:p>
        </w:tc>
        <w:tc>
          <w:tcPr>
            <w:tcW w:w="1400" w:type="dxa"/>
            <w:vAlign w:val="bottom"/>
            <w:tcBorders>
              <w:bottom w:val="single" w:sz="8" w:color="EEEEEE"/>
            </w:tcBorders>
          </w:tcPr>
          <w:p>
            <w:pPr>
              <w:spacing w:after="0"/>
              <w:rPr>
                <w:sz w:val="9"/>
                <w:szCs w:val="9"/>
                <w:color w:val="auto"/>
              </w:rPr>
            </w:pPr>
          </w:p>
        </w:tc>
        <w:tc>
          <w:tcPr>
            <w:tcW w:w="1520" w:type="dxa"/>
            <w:vAlign w:val="bottom"/>
            <w:tcBorders>
              <w:bottom w:val="single" w:sz="8" w:color="EEEEEE"/>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-4435475</wp:posOffset>
            </wp:positionV>
            <wp:extent cx="228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80"/>
          </w:cols>
          <w:pgMar w:left="660" w:top="734" w:right="66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3"/>
          <w:szCs w:val="13"/>
          <w:b w:val="1"/>
          <w:bCs w:val="1"/>
          <w:color w:val="auto"/>
        </w:rPr>
        <w:t>PART I—CONSOLIDATED FINANCIAL INFORMATION</w:t>
      </w:r>
    </w:p>
    <w:p>
      <w:pPr>
        <w:spacing w:after="0" w:line="171" w:lineRule="exact"/>
        <w:rPr>
          <w:sz w:val="20"/>
          <w:szCs w:val="20"/>
          <w:color w:val="auto"/>
        </w:rPr>
      </w:pPr>
    </w:p>
    <w:p>
      <w:pPr>
        <w:ind w:firstLine="420"/>
        <w:spacing w:after="0" w:line="251"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 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Item 1.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CONSOLIDATED STATEMENTS OF ASSETS AND LIABILITIES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March 31, 2023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September 30, 2022</w:t>
            </w:r>
          </w:p>
        </w:tc>
        <w:tc>
          <w:tcPr>
            <w:tcW w:w="0" w:type="dxa"/>
            <w:vAlign w:val="bottom"/>
          </w:tcPr>
          <w:p>
            <w:pPr>
              <w:spacing w:after="0"/>
              <w:rPr>
                <w:sz w:val="1"/>
                <w:szCs w:val="1"/>
                <w:color w:val="auto"/>
              </w:rPr>
            </w:pPr>
          </w:p>
        </w:tc>
      </w:tr>
      <w:tr>
        <w:trPr>
          <w:trHeight w:val="184"/>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CFF"/>
          </w:tcPr>
          <w:p>
            <w:pPr>
              <w:ind w:left="20"/>
              <w:spacing w:after="0"/>
              <w:rPr>
                <w:sz w:val="20"/>
                <w:szCs w:val="20"/>
                <w:color w:val="auto"/>
              </w:rPr>
            </w:pPr>
            <w:r>
              <w:rPr>
                <w:rFonts w:ascii="Arial" w:cs="Arial" w:eastAsia="Arial" w:hAnsi="Arial"/>
                <w:sz w:val="12"/>
                <w:szCs w:val="12"/>
                <w:b w:val="1"/>
                <w:bCs w:val="1"/>
                <w:color w:val="auto"/>
              </w:rPr>
              <w:t>Assets</w:t>
            </w:r>
          </w:p>
        </w:tc>
        <w:tc>
          <w:tcPr>
            <w:tcW w:w="160" w:type="dxa"/>
            <w:vAlign w:val="bottom"/>
            <w:shd w:val="clear" w:color="auto" w:fill="CCECFF"/>
          </w:tcPr>
          <w:p>
            <w:pPr>
              <w:spacing w:after="0"/>
              <w:rPr>
                <w:sz w:val="15"/>
                <w:szCs w:val="15"/>
                <w:color w:val="auto"/>
              </w:rPr>
            </w:pPr>
          </w:p>
        </w:tc>
        <w:tc>
          <w:tcPr>
            <w:tcW w:w="1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3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Investments at fair value</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Non-controlled, non-affiliated investments (cost—$876,705 and $882,513, respectively)</w:t>
            </w:r>
          </w:p>
        </w:tc>
        <w:tc>
          <w:tcPr>
            <w:tcW w:w="160" w:type="dxa"/>
            <w:vAlign w:val="bottom"/>
            <w:shd w:val="clear" w:color="auto" w:fill="CCECFF"/>
          </w:tcPr>
          <w:p>
            <w:pPr>
              <w:jc w:val="right"/>
              <w:ind w:right="14"/>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879,572</w:t>
            </w:r>
          </w:p>
        </w:tc>
        <w:tc>
          <w:tcPr>
            <w:tcW w:w="120" w:type="dxa"/>
            <w:vAlign w:val="bottom"/>
            <w:shd w:val="clear" w:color="auto" w:fill="CCECFF"/>
          </w:tcPr>
          <w:p>
            <w:pPr>
              <w:spacing w:after="0"/>
              <w:rPr>
                <w:sz w:val="16"/>
                <w:szCs w:val="16"/>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932,155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Non-controlled, affiliated investments (cost—$54,813 and $37,612, respectively)</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51,807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34,760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Controlled, affiliated investments (cost—$233,082 and $381,904, respectively)</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201,132</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259,386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Total investments (cost—$1,164,600 and $1,302,029, respectively)</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1,132,511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1,226,301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 (cost—$63,105 and $52,844, respectively)</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63,135</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52,666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Interest receivable</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4,419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3,593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Receivable for investments sold</w:t>
            </w:r>
          </w:p>
        </w:tc>
        <w:tc>
          <w:tcPr>
            <w:tcW w:w="16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29,494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Distribution receivable</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4,834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vMerge w:val="restart"/>
            <w:shd w:val="clear" w:color="auto" w:fill="CCECFF"/>
          </w:tcPr>
          <w:p>
            <w:pPr>
              <w:ind w:left="20"/>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shd w:val="clear" w:color="auto" w:fill="CCECFF"/>
          </w:tcPr>
          <w:p>
            <w:pPr>
              <w:spacing w:after="0"/>
              <w:rPr>
                <w:sz w:val="15"/>
                <w:szCs w:val="15"/>
                <w:color w:val="auto"/>
              </w:rPr>
            </w:pPr>
          </w:p>
        </w:tc>
        <w:tc>
          <w:tcPr>
            <w:tcW w:w="12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12,036</w:t>
            </w:r>
          </w:p>
        </w:tc>
        <w:tc>
          <w:tcPr>
            <w:tcW w:w="1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4,036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320" w:type="dxa"/>
            <w:vAlign w:val="bottom"/>
            <w:vMerge w:val="continue"/>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280" w:type="dxa"/>
            <w:vAlign w:val="bottom"/>
            <w:vMerge w:val="continue"/>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136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73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1280" w:type="dxa"/>
            <w:vAlign w:val="bottom"/>
            <w:vMerge w:val="continue"/>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136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66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1,216,935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1,318,510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shd w:val="clear" w:color="auto" w:fill="CCECFF"/>
          </w:tcPr>
          <w:p>
            <w:pPr>
              <w:spacing w:after="0"/>
              <w:rPr>
                <w:sz w:val="15"/>
                <w:szCs w:val="15"/>
                <w:color w:val="auto"/>
              </w:rPr>
            </w:pPr>
          </w:p>
        </w:tc>
        <w:tc>
          <w:tcPr>
            <w:tcW w:w="1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3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Distributions payable</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12,067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9,784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Payable for investments purchased</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15,149</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4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Truist Credit Facility payable, at fair value (cost—$377,420 and $385,920, respectively) (See Notes 5 and 10)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362,268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376,687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2026 Notes payable, net (par— $150,000) (See Notes 5 and 10)</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147,218</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146,767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2026 Notes-2 payable, net (par— $165,000) (See Notes 5 and 10)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161,800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161,373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SBA debentures payable, net (par—zero and $20,000, respectively) (See Notes 5 and 10)</w:t>
            </w:r>
          </w:p>
        </w:tc>
        <w:tc>
          <w:tcPr>
            <w:tcW w:w="16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19,686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Base management fee payable (See Note 3)</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4,040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4,849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Incentive fee payable (See Note 3)</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3,530</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4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Interest payable on debt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6,093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6,264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Accrued expenses</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9,055</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6,639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16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721,220</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732,945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Commitments and contingencies (See Note 11)</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assets</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320" w:type="dxa"/>
            <w:vAlign w:val="bottom"/>
          </w:tcPr>
          <w:p>
            <w:pPr>
              <w:ind w:left="20"/>
              <w:spacing w:after="0"/>
              <w:rPr>
                <w:sz w:val="20"/>
                <w:szCs w:val="20"/>
                <w:color w:val="auto"/>
              </w:rPr>
            </w:pPr>
            <w:r>
              <w:rPr>
                <w:rFonts w:ascii="Arial" w:cs="Arial" w:eastAsia="Arial" w:hAnsi="Arial"/>
                <w:sz w:val="13"/>
                <w:szCs w:val="13"/>
                <w:color w:val="auto"/>
              </w:rPr>
              <w:t>Common stock, 65,224,500 shares issued and outstanding</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20" w:type="dxa"/>
            <w:vAlign w:val="bottom"/>
          </w:tcPr>
          <w:p>
            <w:pPr>
              <w:ind w:left="120"/>
              <w:spacing w:after="0"/>
              <w:rPr>
                <w:sz w:val="20"/>
                <w:szCs w:val="20"/>
                <w:color w:val="auto"/>
              </w:rPr>
            </w:pPr>
            <w:r>
              <w:rPr>
                <w:rFonts w:ascii="Arial" w:cs="Arial" w:eastAsia="Arial" w:hAnsi="Arial"/>
                <w:sz w:val="13"/>
                <w:szCs w:val="13"/>
                <w:color w:val="auto"/>
              </w:rPr>
              <w:t>Par value $0.001 per share and 100,000,000 shares authorized</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Paid-in capital in excess of par value</w:t>
            </w: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748,169</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748,169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3"/>
                <w:szCs w:val="13"/>
                <w:color w:val="auto"/>
              </w:rPr>
              <w:t>(252,519 )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3"/>
                <w:szCs w:val="13"/>
                <w:color w:val="auto"/>
              </w:rPr>
              <w:t>(162,669 )</w:t>
            </w:r>
          </w:p>
        </w:tc>
        <w:tc>
          <w:tcPr>
            <w:tcW w:w="0" w:type="dxa"/>
            <w:vAlign w:val="bottom"/>
          </w:tcPr>
          <w:p>
            <w:pPr>
              <w:spacing w:after="0"/>
              <w:rPr>
                <w:sz w:val="1"/>
                <w:szCs w:val="1"/>
                <w:color w:val="auto"/>
              </w:rPr>
            </w:pPr>
          </w:p>
        </w:tc>
      </w:tr>
      <w:tr>
        <w:trPr>
          <w:trHeight w:val="185"/>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b w:val="1"/>
                <w:bCs w:val="1"/>
                <w:color w:val="auto"/>
              </w:rPr>
              <w:t>Total net assets</w:t>
            </w:r>
          </w:p>
        </w:tc>
        <w:tc>
          <w:tcPr>
            <w:tcW w:w="160" w:type="dxa"/>
            <w:vAlign w:val="bottom"/>
            <w:shd w:val="clear" w:color="auto" w:fill="CCECFF"/>
          </w:tcPr>
          <w:p>
            <w:pPr>
              <w:jc w:val="right"/>
              <w:ind w:right="14"/>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495,715</w:t>
            </w:r>
          </w:p>
        </w:tc>
        <w:tc>
          <w:tcPr>
            <w:tcW w:w="120" w:type="dxa"/>
            <w:vAlign w:val="bottom"/>
            <w:shd w:val="clear" w:color="auto" w:fill="CCECFF"/>
          </w:tcPr>
          <w:p>
            <w:pPr>
              <w:spacing w:after="0"/>
              <w:rPr>
                <w:sz w:val="16"/>
                <w:szCs w:val="16"/>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585,565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660"/>
              <w:spacing w:after="0"/>
              <w:rPr>
                <w:sz w:val="20"/>
                <w:szCs w:val="20"/>
                <w:color w:val="auto"/>
              </w:rPr>
            </w:pPr>
            <w:r>
              <w:rPr>
                <w:rFonts w:ascii="Arial" w:cs="Arial" w:eastAsia="Arial" w:hAnsi="Arial"/>
                <w:sz w:val="13"/>
                <w:szCs w:val="13"/>
                <w:b w:val="1"/>
                <w:bCs w:val="1"/>
                <w:color w:val="auto"/>
              </w:rPr>
              <w:t>Total liabilities and net assets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1,216,935</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1,318,510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b w:val="1"/>
                <w:bCs w:val="1"/>
                <w:color w:val="auto"/>
              </w:rPr>
              <w:t>Net asset value per share</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7.60</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8.98</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ectPr>
          <w:pgSz w:w="11900" w:h="16840" w:orient="portrait"/>
          <w:cols w:equalWidth="0" w:num="1">
            <w:col w:w="10640"/>
          </w:cols>
          <w:pgMar w:left="580" w:top="734" w:right="68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OPERATIONS (Unaudited)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9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Investment income:</w:t>
            </w:r>
          </w:p>
        </w:tc>
        <w:tc>
          <w:tcPr>
            <w:tcW w:w="12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20"/>
              <w:spacing w:after="0"/>
              <w:rPr>
                <w:sz w:val="20"/>
                <w:szCs w:val="20"/>
                <w:color w:val="auto"/>
              </w:rPr>
            </w:pPr>
            <w:r>
              <w:rPr>
                <w:rFonts w:ascii="Arial" w:cs="Arial" w:eastAsia="Arial" w:hAnsi="Arial"/>
                <w:sz w:val="13"/>
                <w:szCs w:val="13"/>
                <w:color w:val="auto"/>
              </w:rPr>
              <w:t>From non-controlled, non-affiliated investments: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Interest</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26,759</w:t>
            </w:r>
          </w:p>
        </w:tc>
        <w:tc>
          <w:tcPr>
            <w:tcW w:w="100" w:type="dxa"/>
            <w:vAlign w:val="bottom"/>
            <w:shd w:val="clear" w:color="auto" w:fill="CCECFF"/>
          </w:tcPr>
          <w:p>
            <w:pPr>
              <w:spacing w:after="0"/>
              <w:rPr>
                <w:sz w:val="16"/>
                <w:szCs w:val="16"/>
                <w:color w:val="auto"/>
              </w:rPr>
            </w:pPr>
          </w:p>
        </w:tc>
        <w:tc>
          <w:tcPr>
            <w:tcW w:w="320" w:type="dxa"/>
            <w:vAlign w:val="bottom"/>
            <w:gridSpan w:val="2"/>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14,543</w:t>
            </w:r>
          </w:p>
        </w:tc>
        <w:tc>
          <w:tcPr>
            <w:tcW w:w="100" w:type="dxa"/>
            <w:vAlign w:val="bottom"/>
            <w:shd w:val="clear" w:color="auto" w:fill="CCECFF"/>
          </w:tcPr>
          <w:p>
            <w:pPr>
              <w:spacing w:after="0"/>
              <w:rPr>
                <w:sz w:val="16"/>
                <w:szCs w:val="16"/>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48,990</w:t>
            </w:r>
          </w:p>
        </w:tc>
        <w:tc>
          <w:tcPr>
            <w:tcW w:w="100" w:type="dxa"/>
            <w:vAlign w:val="bottom"/>
            <w:shd w:val="clear" w:color="auto" w:fill="CCECFF"/>
          </w:tcPr>
          <w:p>
            <w:pPr>
              <w:spacing w:after="0"/>
              <w:rPr>
                <w:sz w:val="16"/>
                <w:szCs w:val="16"/>
                <w:color w:val="auto"/>
              </w:rPr>
            </w:pPr>
          </w:p>
        </w:tc>
        <w:tc>
          <w:tcPr>
            <w:tcW w:w="300" w:type="dxa"/>
            <w:vAlign w:val="bottom"/>
            <w:gridSpan w:val="2"/>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30,083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Payment-in-kind</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Dividend income</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1,131</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1,131</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Other income</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20"/>
              <w:spacing w:after="0"/>
              <w:rPr>
                <w:sz w:val="20"/>
                <w:szCs w:val="20"/>
                <w:color w:val="auto"/>
              </w:rPr>
            </w:pPr>
            <w:r>
              <w:rPr>
                <w:rFonts w:ascii="Arial" w:cs="Arial" w:eastAsia="Arial" w:hAnsi="Arial"/>
                <w:sz w:val="13"/>
                <w:szCs w:val="13"/>
                <w:color w:val="auto"/>
              </w:rPr>
              <w:t>From non-controlled, affiliated investments: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20"/>
              <w:spacing w:after="0"/>
              <w:rPr>
                <w:sz w:val="20"/>
                <w:szCs w:val="20"/>
                <w:color w:val="auto"/>
              </w:rPr>
            </w:pPr>
            <w:r>
              <w:rPr>
                <w:rFonts w:ascii="Arial" w:cs="Arial" w:eastAsia="Arial" w:hAnsi="Arial"/>
                <w:sz w:val="13"/>
                <w:szCs w:val="13"/>
                <w:color w:val="auto"/>
              </w:rPr>
              <w:t>From controlled, affiliated investments: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Payment-in-kind</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1,425</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1,789</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3,551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Dividend income</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Total investment income</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36,349</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24,339</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66,312</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52,687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Base management fee (See Note 3)</w:t>
            </w:r>
          </w:p>
        </w:tc>
        <w:tc>
          <w:tcPr>
            <w:tcW w:w="12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4,040</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4,981</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8,642</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10,090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Incentive fee (See Note 3)</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Interest and expenses on debt (See Note 10)</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10,587</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6,498</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20,316</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13,385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Administrative services expenses (See Note 3)</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General and administrative expenses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835</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723</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1,676</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1,446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40" w:type="dxa"/>
            <w:vAlign w:val="bottom"/>
          </w:tcPr>
          <w:p>
            <w:pPr>
              <w:ind w:left="180"/>
              <w:spacing w:after="0"/>
              <w:rPr>
                <w:sz w:val="20"/>
                <w:szCs w:val="20"/>
                <w:color w:val="auto"/>
              </w:rPr>
            </w:pPr>
            <w:r>
              <w:rPr>
                <w:rFonts w:ascii="Arial" w:cs="Arial" w:eastAsia="Arial" w:hAnsi="Arial"/>
                <w:sz w:val="13"/>
                <w:szCs w:val="13"/>
                <w:b w:val="1"/>
                <w:bCs w:val="1"/>
                <w:color w:val="auto"/>
              </w:rPr>
              <w:t>Expenses before provision for taxes</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19,259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36,888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28,078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Provision for taxes on net investment income</w:t>
            </w:r>
          </w:p>
        </w:tc>
        <w:tc>
          <w:tcPr>
            <w:tcW w:w="12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2,450</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19,709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39,338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28,478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investment income</w:t>
            </w:r>
          </w:p>
        </w:tc>
        <w:tc>
          <w:tcPr>
            <w:tcW w:w="12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16,640</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11,687</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26,974</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24,209</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Realized and unrealized gain (loss) on investments and debt: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realized gain (loss) on investments and debt:</w:t>
            </w:r>
          </w:p>
        </w:tc>
        <w:tc>
          <w:tcPr>
            <w:tcW w:w="12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Non-controlled, non-affiliated investments</w:t>
            </w:r>
          </w:p>
        </w:tc>
        <w:tc>
          <w:tcPr>
            <w:tcW w:w="12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(14,613 )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(10,549 )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Non-controlled and controlled, affiliated investments</w:t>
            </w:r>
          </w:p>
        </w:tc>
        <w:tc>
          <w:tcPr>
            <w:tcW w:w="1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(133,098 )</w:t>
            </w: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140,898</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(133,098 )</w:t>
            </w: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109,624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Debt extinguishment</w:t>
            </w:r>
          </w:p>
        </w:tc>
        <w:tc>
          <w:tcPr>
            <w:tcW w:w="12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(289 )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(1,132 )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(289 )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(2,801 )</w:t>
            </w: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Provision for taxes on realized gain on investments</w:t>
            </w:r>
          </w:p>
        </w:tc>
        <w:tc>
          <w:tcPr>
            <w:tcW w:w="1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(717 )</w:t>
            </w: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(5,060 )</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(717 )</w:t>
            </w: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(5,060 )</w:t>
            </w:r>
          </w:p>
        </w:tc>
        <w:tc>
          <w:tcPr>
            <w:tcW w:w="0" w:type="dxa"/>
            <w:vAlign w:val="bottom"/>
          </w:tcPr>
          <w:p>
            <w:pPr>
              <w:spacing w:after="0"/>
              <w:rPr>
                <w:sz w:val="1"/>
                <w:szCs w:val="1"/>
                <w:color w:val="auto"/>
              </w:rPr>
            </w:pPr>
          </w:p>
        </w:tc>
      </w:tr>
      <w:tr>
        <w:trPr>
          <w:trHeight w:val="183"/>
        </w:trPr>
        <w:tc>
          <w:tcPr>
            <w:tcW w:w="5940" w:type="dxa"/>
            <w:vAlign w:val="bottom"/>
          </w:tcPr>
          <w:p>
            <w:pPr>
              <w:ind w:left="180"/>
              <w:spacing w:after="0"/>
              <w:rPr>
                <w:sz w:val="20"/>
                <w:szCs w:val="20"/>
                <w:color w:val="auto"/>
              </w:rPr>
            </w:pPr>
            <w:r>
              <w:rPr>
                <w:rFonts w:ascii="Arial" w:cs="Arial" w:eastAsia="Arial" w:hAnsi="Arial"/>
                <w:sz w:val="13"/>
                <w:szCs w:val="13"/>
                <w:b w:val="1"/>
                <w:bCs w:val="1"/>
                <w:color w:val="auto"/>
              </w:rPr>
              <w:t>Net realized gain (loss) on investments and debt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(148,717 )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136,595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(144,653 )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108,853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5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change in unrealized appreciation (depreciation) on:</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Non-controlled, non-affiliated investments</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(158,062 )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(46,567 )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(207,665 )</w:t>
            </w: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Non-controlled and controlled, affiliated investments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131,459</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6,610</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90,411</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102,982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Arial" w:cs="Arial" w:eastAsia="Arial" w:hAnsi="Arial"/>
                <w:sz w:val="13"/>
                <w:szCs w:val="13"/>
                <w:color w:val="auto"/>
              </w:rPr>
              <w:t>Provision for taxes on unrealized appreciation (depreciation) on investments</w:t>
            </w:r>
          </w:p>
        </w:tc>
        <w:tc>
          <w:tcPr>
            <w:tcW w:w="1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59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Debt appreciation (depreciation) (See Notes 5 and 10)</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5,919</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40" w:type="dxa"/>
            <w:vAlign w:val="bottom"/>
          </w:tcPr>
          <w:p>
            <w:pPr>
              <w:ind w:left="180"/>
              <w:spacing w:after="0"/>
              <w:rPr>
                <w:sz w:val="20"/>
                <w:szCs w:val="20"/>
                <w:color w:val="auto"/>
              </w:rPr>
            </w:pPr>
            <w:r>
              <w:rPr>
                <w:rFonts w:ascii="Arial" w:cs="Arial" w:eastAsia="Arial" w:hAnsi="Arial"/>
                <w:sz w:val="13"/>
                <w:szCs w:val="13"/>
                <w:b w:val="1"/>
                <w:bCs w:val="1"/>
                <w:color w:val="auto"/>
              </w:rPr>
              <w:t>Net change in unrealized appreciation (depreciation) on investments and debt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136,949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(145,122 )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50,659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(104,394 )</w:t>
            </w:r>
          </w:p>
        </w:tc>
        <w:tc>
          <w:tcPr>
            <w:tcW w:w="0" w:type="dxa"/>
            <w:vAlign w:val="bottom"/>
          </w:tcPr>
          <w:p>
            <w:pPr>
              <w:spacing w:after="0"/>
              <w:rPr>
                <w:sz w:val="1"/>
                <w:szCs w:val="1"/>
                <w:color w:val="auto"/>
              </w:rPr>
            </w:pPr>
          </w:p>
        </w:tc>
      </w:tr>
      <w:tr>
        <w:trPr>
          <w:trHeight w:val="180"/>
        </w:trPr>
        <w:tc>
          <w:tcPr>
            <w:tcW w:w="59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realized and unrealized gain (loss) from investments and debt</w:t>
            </w:r>
          </w:p>
        </w:tc>
        <w:tc>
          <w:tcPr>
            <w:tcW w:w="1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(11,768 )</w:t>
            </w: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(8,527 )</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(93,994 )</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4,459</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4,872</w:t>
            </w:r>
          </w:p>
        </w:tc>
        <w:tc>
          <w:tcPr>
            <w:tcW w:w="100" w:type="dxa"/>
            <w:vAlign w:val="bottom"/>
          </w:tcPr>
          <w:p>
            <w:pPr>
              <w:spacing w:after="0"/>
              <w:rPr>
                <w:sz w:val="15"/>
                <w:szCs w:val="15"/>
                <w:color w:val="auto"/>
              </w:rPr>
            </w:pPr>
          </w:p>
        </w:tc>
        <w:tc>
          <w:tcPr>
            <w:tcW w:w="32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3,160</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(67,020 )</w:t>
            </w:r>
          </w:p>
        </w:tc>
        <w:tc>
          <w:tcPr>
            <w:tcW w:w="3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28,668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shd w:val="clear" w:color="auto" w:fill="CCECFF"/>
          </w:tcPr>
          <w:p>
            <w:pPr>
              <w:ind w:left="20"/>
              <w:spacing w:after="0" w:line="129" w:lineRule="exact"/>
              <w:rPr>
                <w:sz w:val="20"/>
                <w:szCs w:val="20"/>
                <w:color w:val="auto"/>
              </w:rPr>
            </w:pPr>
            <w:r>
              <w:rPr>
                <w:rFonts w:ascii="Arial" w:cs="Arial" w:eastAsia="Arial" w:hAnsi="Arial"/>
                <w:sz w:val="13"/>
                <w:szCs w:val="13"/>
                <w:b w:val="1"/>
                <w:bCs w:val="1"/>
                <w:color w:val="auto"/>
              </w:rPr>
              <w:t>Net increase (decrease) in net assets resulting from operations per common share (See Note</w:t>
            </w:r>
          </w:p>
        </w:tc>
        <w:tc>
          <w:tcPr>
            <w:tcW w:w="1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CCECFF"/>
          </w:tcPr>
          <w:p>
            <w:pPr>
              <w:spacing w:after="0"/>
              <w:rPr>
                <w:sz w:val="11"/>
                <w:szCs w:val="11"/>
                <w:color w:val="auto"/>
              </w:rPr>
            </w:pPr>
          </w:p>
        </w:tc>
        <w:tc>
          <w:tcPr>
            <w:tcW w:w="100" w:type="dxa"/>
            <w:vAlign w:val="bottom"/>
            <w:vMerge w:val="restart"/>
            <w:shd w:val="clear" w:color="auto" w:fill="CCECFF"/>
          </w:tcPr>
          <w:p>
            <w:pPr>
              <w:spacing w:after="0"/>
              <w:rPr>
                <w:sz w:val="11"/>
                <w:szCs w:val="11"/>
                <w:color w:val="auto"/>
              </w:rPr>
            </w:pPr>
          </w:p>
        </w:tc>
        <w:tc>
          <w:tcPr>
            <w:tcW w:w="220" w:type="dxa"/>
            <w:vAlign w:val="bottom"/>
            <w:vMerge w:val="restart"/>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CFF"/>
          </w:tcPr>
          <w:p>
            <w:pPr>
              <w:spacing w:after="0"/>
              <w:rPr>
                <w:sz w:val="11"/>
                <w:szCs w:val="11"/>
                <w:color w:val="auto"/>
              </w:rPr>
            </w:pPr>
          </w:p>
        </w:tc>
        <w:tc>
          <w:tcPr>
            <w:tcW w:w="100" w:type="dxa"/>
            <w:vAlign w:val="bottom"/>
            <w:vMerge w:val="restart"/>
            <w:shd w:val="clear" w:color="auto" w:fill="CCECFF"/>
          </w:tcPr>
          <w:p>
            <w:pPr>
              <w:spacing w:after="0"/>
              <w:rPr>
                <w:sz w:val="11"/>
                <w:szCs w:val="11"/>
                <w:color w:val="auto"/>
              </w:rPr>
            </w:pPr>
          </w:p>
        </w:tc>
        <w:tc>
          <w:tcPr>
            <w:tcW w:w="1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3"/>
                <w:szCs w:val="13"/>
                <w:color w:val="auto"/>
              </w:rPr>
              <w:t>(1.03 )</w:t>
            </w:r>
          </w:p>
        </w:tc>
        <w:tc>
          <w:tcPr>
            <w:tcW w:w="300" w:type="dxa"/>
            <w:vAlign w:val="bottom"/>
            <w:gridSpan w:val="2"/>
            <w:vMerge w:val="restart"/>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0.43</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940" w:type="dxa"/>
            <w:vAlign w:val="bottom"/>
            <w:shd w:val="clear" w:color="auto" w:fill="CCECFF"/>
          </w:tcPr>
          <w:p>
            <w:pPr>
              <w:ind w:left="20"/>
              <w:spacing w:after="0" w:line="148" w:lineRule="exact"/>
              <w:rPr>
                <w:sz w:val="20"/>
                <w:szCs w:val="20"/>
                <w:color w:val="auto"/>
              </w:rPr>
            </w:pPr>
            <w:r>
              <w:rPr>
                <w:rFonts w:ascii="Arial" w:cs="Arial" w:eastAsia="Arial" w:hAnsi="Arial"/>
                <w:sz w:val="13"/>
                <w:szCs w:val="13"/>
                <w:b w:val="1"/>
                <w:bCs w:val="1"/>
                <w:color w:val="auto"/>
              </w:rPr>
              <w:t>7)</w:t>
            </w:r>
          </w:p>
        </w:tc>
        <w:tc>
          <w:tcPr>
            <w:tcW w:w="120" w:type="dxa"/>
            <w:vAlign w:val="bottom"/>
            <w:vMerge w:val="continue"/>
            <w:shd w:val="clear" w:color="auto" w:fill="CCECFF"/>
          </w:tcPr>
          <w:p>
            <w:pPr>
              <w:spacing w:after="0"/>
              <w:rPr>
                <w:sz w:val="16"/>
                <w:szCs w:val="16"/>
                <w:color w:val="auto"/>
              </w:rPr>
            </w:pPr>
          </w:p>
        </w:tc>
        <w:tc>
          <w:tcPr>
            <w:tcW w:w="88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vMerge w:val="continue"/>
            <w:shd w:val="clear" w:color="auto" w:fill="CCECFF"/>
          </w:tcPr>
          <w:p>
            <w:pPr>
              <w:spacing w:after="0"/>
              <w:rPr>
                <w:sz w:val="16"/>
                <w:szCs w:val="16"/>
                <w:color w:val="auto"/>
              </w:rPr>
            </w:pPr>
          </w:p>
        </w:tc>
        <w:tc>
          <w:tcPr>
            <w:tcW w:w="220" w:type="dxa"/>
            <w:vAlign w:val="bottom"/>
            <w:vMerge w:val="continue"/>
            <w:shd w:val="clear" w:color="auto" w:fill="CCECFF"/>
          </w:tcPr>
          <w:p>
            <w:pPr>
              <w:spacing w:after="0"/>
              <w:rPr>
                <w:sz w:val="16"/>
                <w:szCs w:val="16"/>
                <w:color w:val="auto"/>
              </w:rPr>
            </w:pPr>
          </w:p>
        </w:tc>
        <w:tc>
          <w:tcPr>
            <w:tcW w:w="78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vMerge w:val="continue"/>
            <w:shd w:val="clear" w:color="auto" w:fill="CCECFF"/>
          </w:tcPr>
          <w:p>
            <w:pPr>
              <w:spacing w:after="0"/>
              <w:rPr>
                <w:sz w:val="16"/>
                <w:szCs w:val="16"/>
                <w:color w:val="auto"/>
              </w:rPr>
            </w:pPr>
          </w:p>
        </w:tc>
        <w:tc>
          <w:tcPr>
            <w:tcW w:w="140" w:type="dxa"/>
            <w:vAlign w:val="bottom"/>
            <w:vMerge w:val="continue"/>
            <w:shd w:val="clear" w:color="auto" w:fill="CCECFF"/>
          </w:tcPr>
          <w:p>
            <w:pPr>
              <w:spacing w:after="0"/>
              <w:rPr>
                <w:sz w:val="16"/>
                <w:szCs w:val="16"/>
                <w:color w:val="auto"/>
              </w:rPr>
            </w:pPr>
          </w:p>
        </w:tc>
        <w:tc>
          <w:tcPr>
            <w:tcW w:w="940" w:type="dxa"/>
            <w:vAlign w:val="bottom"/>
            <w:gridSpan w:val="2"/>
            <w:vMerge w:val="continue"/>
            <w:shd w:val="clear" w:color="auto" w:fill="CCECFF"/>
          </w:tcPr>
          <w:p>
            <w:pPr>
              <w:spacing w:after="0"/>
              <w:rPr>
                <w:sz w:val="16"/>
                <w:szCs w:val="16"/>
                <w:color w:val="auto"/>
              </w:rPr>
            </w:pPr>
          </w:p>
        </w:tc>
        <w:tc>
          <w:tcPr>
            <w:tcW w:w="300" w:type="dxa"/>
            <w:vAlign w:val="bottom"/>
            <w:gridSpan w:val="2"/>
            <w:vMerge w:val="continue"/>
            <w:shd w:val="clear" w:color="auto" w:fill="CCECFF"/>
          </w:tcPr>
          <w:p>
            <w:pPr>
              <w:spacing w:after="0"/>
              <w:rPr>
                <w:sz w:val="16"/>
                <w:szCs w:val="16"/>
                <w:color w:val="auto"/>
              </w:rPr>
            </w:pPr>
          </w:p>
        </w:tc>
        <w:tc>
          <w:tcPr>
            <w:tcW w:w="760" w:type="dxa"/>
            <w:vAlign w:val="bottom"/>
            <w:vMerge w:val="continue"/>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940" w:type="dxa"/>
            <w:vAlign w:val="bottom"/>
            <w:tcBorders>
              <w:top w:val="single" w:sz="8" w:color="CCECFF"/>
            </w:tcBorders>
          </w:tcPr>
          <w:p>
            <w:pPr>
              <w:ind w:left="20"/>
              <w:spacing w:after="0"/>
              <w:rPr>
                <w:sz w:val="20"/>
                <w:szCs w:val="20"/>
                <w:color w:val="auto"/>
              </w:rPr>
            </w:pPr>
            <w:r>
              <w:rPr>
                <w:rFonts w:ascii="Arial" w:cs="Arial" w:eastAsia="Arial" w:hAnsi="Arial"/>
                <w:sz w:val="13"/>
                <w:szCs w:val="13"/>
                <w:color w:val="auto"/>
              </w:rPr>
              <w:t>Net investment income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0.26</w:t>
            </w:r>
          </w:p>
        </w:tc>
        <w:tc>
          <w:tcPr>
            <w:tcW w:w="10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0.18</w:t>
            </w:r>
          </w:p>
        </w:tc>
        <w:tc>
          <w:tcPr>
            <w:tcW w:w="10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10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0.36</w:t>
            </w:r>
          </w:p>
        </w:tc>
        <w:tc>
          <w:tcPr>
            <w:tcW w:w="8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40" w:orient="portrait"/>
          <w:cols w:equalWidth="0" w:num="1">
            <w:col w:w="10560"/>
          </w:cols>
          <w:pgMar w:left="660" w:top="734" w:right="6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CHANGES IN NET ASSETS (Unaudited)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Arial" w:cs="Arial" w:eastAsia="Arial" w:hAnsi="Arial"/>
                <w:sz w:val="13"/>
                <w:szCs w:val="13"/>
                <w:color w:val="auto"/>
              </w:rPr>
              <w:t>Net investment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16,640</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11,687</w:t>
            </w:r>
          </w:p>
        </w:tc>
        <w:tc>
          <w:tcPr>
            <w:tcW w:w="10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26,974</w:t>
            </w:r>
          </w:p>
        </w:tc>
        <w:tc>
          <w:tcPr>
            <w:tcW w:w="1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24,209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Net realized gain (loss) on investments and debt</w:t>
            </w:r>
          </w:p>
        </w:tc>
        <w:tc>
          <w:tcPr>
            <w:tcW w:w="16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(148,000 )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141,655</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(143,936 )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113,913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135,409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(151,452 )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43,844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(104,683 )</w:t>
            </w:r>
          </w:p>
        </w:tc>
        <w:tc>
          <w:tcPr>
            <w:tcW w:w="0" w:type="dxa"/>
            <w:vAlign w:val="bottom"/>
          </w:tcPr>
          <w:p>
            <w:pPr>
              <w:spacing w:after="0"/>
              <w:rPr>
                <w:sz w:val="1"/>
                <w:szCs w:val="1"/>
                <w:color w:val="auto"/>
              </w:rPr>
            </w:pPr>
          </w:p>
        </w:tc>
      </w:tr>
      <w:tr>
        <w:trPr>
          <w:trHeight w:val="185"/>
        </w:trPr>
        <w:tc>
          <w:tcPr>
            <w:tcW w:w="54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Net change in provision for taxes on net realized gain (loss) on investments</w:t>
            </w:r>
          </w:p>
        </w:tc>
        <w:tc>
          <w:tcPr>
            <w:tcW w:w="16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(717 )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(5,060 )</w:t>
            </w:r>
          </w:p>
        </w:tc>
        <w:tc>
          <w:tcPr>
            <w:tcW w:w="1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(717 )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(5,060 )</w:t>
            </w:r>
          </w:p>
        </w:tc>
        <w:tc>
          <w:tcPr>
            <w:tcW w:w="0" w:type="dxa"/>
            <w:vAlign w:val="bottom"/>
          </w:tcPr>
          <w:p>
            <w:pPr>
              <w:spacing w:after="0"/>
              <w:rPr>
                <w:sz w:val="1"/>
                <w:szCs w:val="1"/>
                <w:color w:val="auto"/>
              </w:rPr>
            </w:pPr>
          </w:p>
        </w:tc>
      </w:tr>
      <w:tr>
        <w:trPr>
          <w:trHeight w:val="161"/>
        </w:trPr>
        <w:tc>
          <w:tcPr>
            <w:tcW w:w="5440" w:type="dxa"/>
            <w:vAlign w:val="bottom"/>
          </w:tcPr>
          <w:p>
            <w:pPr>
              <w:ind w:left="180"/>
              <w:spacing w:after="0"/>
              <w:rPr>
                <w:sz w:val="20"/>
                <w:szCs w:val="20"/>
                <w:color w:val="auto"/>
              </w:rPr>
            </w:pPr>
            <w:r>
              <w:rPr>
                <w:rFonts w:ascii="Arial" w:cs="Arial" w:eastAsia="Arial" w:hAnsi="Arial"/>
                <w:sz w:val="13"/>
                <w:szCs w:val="13"/>
                <w:color w:val="auto"/>
              </w:rPr>
              <w:t>Net change in provision for taxes on unrealized appreciation (depreciation) on</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40" w:type="dxa"/>
            <w:vAlign w:val="bottom"/>
          </w:tcPr>
          <w:p>
            <w:pPr>
              <w:ind w:left="180"/>
              <w:spacing w:after="0"/>
              <w:rPr>
                <w:sz w:val="20"/>
                <w:szCs w:val="20"/>
                <w:color w:val="auto"/>
              </w:rPr>
            </w:pPr>
            <w:r>
              <w:rPr>
                <w:rFonts w:ascii="Arial" w:cs="Arial" w:eastAsia="Arial" w:hAnsi="Arial"/>
                <w:sz w:val="13"/>
                <w:szCs w:val="13"/>
                <w:color w:val="auto"/>
              </w:rPr>
              <w:t>investments</w:t>
            </w: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5440" w:type="dxa"/>
            <w:vAlign w:val="bottom"/>
            <w:vMerge w:val="restart"/>
            <w:shd w:val="clear" w:color="auto" w:fill="CCECFF"/>
          </w:tcPr>
          <w:p>
            <w:pPr>
              <w:ind w:left="180"/>
              <w:spacing w:after="0"/>
              <w:rPr>
                <w:sz w:val="20"/>
                <w:szCs w:val="20"/>
                <w:color w:val="auto"/>
              </w:rPr>
            </w:pPr>
            <w:r>
              <w:rPr>
                <w:rFonts w:ascii="Arial" w:cs="Arial" w:eastAsia="Arial" w:hAnsi="Arial"/>
                <w:sz w:val="13"/>
                <w:szCs w:val="13"/>
                <w:color w:val="auto"/>
              </w:rPr>
              <w:t>Net change in unrealized (appreciation) depreciation on debt</w:t>
            </w:r>
          </w:p>
        </w:tc>
        <w:tc>
          <w:tcPr>
            <w:tcW w:w="1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1,540</w:t>
            </w: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5,919</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vMerge w:val="continue"/>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vMerge w:val="continue"/>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18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(67,020 )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28,668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Distributions to stockholders:</w:t>
            </w:r>
          </w:p>
        </w:tc>
        <w:tc>
          <w:tcPr>
            <w:tcW w:w="16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b w:val="1"/>
                <w:bCs w:val="1"/>
                <w:color w:val="auto"/>
              </w:rPr>
              <w:t>(12,066 )</w:t>
            </w: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b w:val="1"/>
                <w:bCs w:val="1"/>
                <w:color w:val="auto"/>
              </w:rPr>
              <w:t>(9,389)</w:t>
            </w: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b w:val="1"/>
                <w:bCs w:val="1"/>
                <w:color w:val="auto"/>
              </w:rPr>
              <w:t>(22,830 )</w:t>
            </w: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b w:val="1"/>
                <w:bCs w:val="1"/>
                <w:color w:val="auto"/>
              </w:rPr>
              <w:t>(17,432 )</w:t>
            </w:r>
          </w:p>
        </w:tc>
        <w:tc>
          <w:tcPr>
            <w:tcW w:w="0" w:type="dxa"/>
            <w:vAlign w:val="bottom"/>
          </w:tcPr>
          <w:p>
            <w:pPr>
              <w:spacing w:after="0"/>
              <w:rPr>
                <w:sz w:val="1"/>
                <w:szCs w:val="1"/>
                <w:color w:val="auto"/>
              </w:rPr>
            </w:pPr>
          </w:p>
        </w:tc>
      </w:tr>
      <w:tr>
        <w:trPr>
          <w:trHeight w:val="180"/>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Capital Transactions: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Repurchase of common stock (See Note 13)</w:t>
            </w:r>
          </w:p>
        </w:tc>
        <w:tc>
          <w:tcPr>
            <w:tcW w:w="16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b w:val="1"/>
                <w:bCs w:val="1"/>
                <w:color w:val="auto"/>
              </w:rPr>
              <w:t>(7,055)</w:t>
            </w: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b w:val="1"/>
                <w:bCs w:val="1"/>
                <w:color w:val="auto"/>
              </w:rPr>
              <w:t>(7,055)</w:t>
            </w:r>
          </w:p>
        </w:tc>
        <w:tc>
          <w:tcPr>
            <w:tcW w:w="0" w:type="dxa"/>
            <w:vAlign w:val="bottom"/>
          </w:tcPr>
          <w:p>
            <w:pPr>
              <w:spacing w:after="0"/>
              <w:rPr>
                <w:sz w:val="1"/>
                <w:szCs w:val="1"/>
                <w:color w:val="auto"/>
              </w:rPr>
            </w:pPr>
          </w:p>
        </w:tc>
      </w:tr>
      <w:tr>
        <w:trPr>
          <w:trHeight w:val="180"/>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net assets</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(7,194 )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(13,284 )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(89,850 )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assets:</w:t>
            </w:r>
          </w:p>
        </w:tc>
        <w:tc>
          <w:tcPr>
            <w:tcW w:w="1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Arial" w:cs="Arial" w:eastAsia="Arial" w:hAnsi="Arial"/>
                <w:sz w:val="13"/>
                <w:szCs w:val="13"/>
                <w:color w:val="auto"/>
              </w:rPr>
              <w:t>Beginning of period</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502,909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677,609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585,565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660,144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End of period</w:t>
            </w:r>
          </w:p>
        </w:tc>
        <w:tc>
          <w:tcPr>
            <w:tcW w:w="160" w:type="dxa"/>
            <w:vAlign w:val="bottom"/>
            <w:shd w:val="clear" w:color="auto" w:fill="CCEC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495,715</w:t>
            </w:r>
          </w:p>
        </w:tc>
        <w:tc>
          <w:tcPr>
            <w:tcW w:w="120" w:type="dxa"/>
            <w:vAlign w:val="bottom"/>
            <w:shd w:val="clear" w:color="auto" w:fill="CCECFF"/>
          </w:tcPr>
          <w:p>
            <w:pPr>
              <w:spacing w:after="0"/>
              <w:rPr>
                <w:sz w:val="19"/>
                <w:szCs w:val="19"/>
                <w:color w:val="auto"/>
              </w:rPr>
            </w:pPr>
          </w:p>
        </w:tc>
        <w:tc>
          <w:tcPr>
            <w:tcW w:w="36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664,325</w:t>
            </w:r>
          </w:p>
        </w:tc>
        <w:tc>
          <w:tcPr>
            <w:tcW w:w="100" w:type="dxa"/>
            <w:vAlign w:val="bottom"/>
            <w:shd w:val="clear" w:color="auto" w:fill="CCECFF"/>
          </w:tcPr>
          <w:p>
            <w:pPr>
              <w:spacing w:after="0"/>
              <w:rPr>
                <w:sz w:val="19"/>
                <w:szCs w:val="19"/>
                <w:color w:val="auto"/>
              </w:rPr>
            </w:pPr>
          </w:p>
        </w:tc>
        <w:tc>
          <w:tcPr>
            <w:tcW w:w="32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495,715</w:t>
            </w:r>
          </w:p>
        </w:tc>
        <w:tc>
          <w:tcPr>
            <w:tcW w:w="100" w:type="dxa"/>
            <w:vAlign w:val="bottom"/>
            <w:shd w:val="clear" w:color="auto" w:fill="CCECFF"/>
          </w:tcPr>
          <w:p>
            <w:pPr>
              <w:spacing w:after="0"/>
              <w:rPr>
                <w:sz w:val="19"/>
                <w:szCs w:val="19"/>
                <w:color w:val="auto"/>
              </w:rPr>
            </w:pPr>
          </w:p>
        </w:tc>
        <w:tc>
          <w:tcPr>
            <w:tcW w:w="36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664,325</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440" w:type="dxa"/>
            <w:vAlign w:val="bottom"/>
            <w:tcBorders>
              <w:top w:val="single" w:sz="8" w:color="CCECFF"/>
            </w:tcBorders>
          </w:tcPr>
          <w:p>
            <w:pPr>
              <w:ind w:left="20"/>
              <w:spacing w:after="0"/>
              <w:rPr>
                <w:sz w:val="20"/>
                <w:szCs w:val="20"/>
                <w:color w:val="auto"/>
              </w:rPr>
            </w:pPr>
            <w:r>
              <w:rPr>
                <w:rFonts w:ascii="Arial" w:cs="Arial" w:eastAsia="Arial" w:hAnsi="Arial"/>
                <w:sz w:val="13"/>
                <w:szCs w:val="13"/>
                <w:b w:val="1"/>
                <w:bCs w:val="1"/>
                <w:color w:val="auto"/>
              </w:rPr>
              <w:t>Capital share activity:</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44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3"/>
                <w:szCs w:val="13"/>
                <w:color w:val="auto"/>
              </w:rPr>
              <w:t>Shares of common stock repurchased</w:t>
            </w:r>
          </w:p>
        </w:tc>
        <w:tc>
          <w:tcPr>
            <w:tcW w:w="16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913,454</w:t>
            </w: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913,454</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40" w:orient="portrait"/>
          <w:cols w:equalWidth="0" w:num="1">
            <w:col w:w="10560"/>
          </w:cols>
          <w:pgMar w:left="660" w:top="734" w:right="68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 (Unaudited)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60" w:type="dxa"/>
            <w:vAlign w:val="bottom"/>
          </w:tcPr>
          <w:p>
            <w:pPr>
              <w:spacing w:after="0"/>
              <w:rPr>
                <w:sz w:val="15"/>
                <w:szCs w:val="15"/>
                <w:color w:val="auto"/>
              </w:rPr>
            </w:pPr>
          </w:p>
        </w:tc>
        <w:tc>
          <w:tcPr>
            <w:tcW w:w="2660" w:type="dxa"/>
            <w:vAlign w:val="bottom"/>
            <w:gridSpan w:val="5"/>
          </w:tcPr>
          <w:p>
            <w:pPr>
              <w:jc w:val="right"/>
              <w:ind w:right="94"/>
              <w:spacing w:after="0"/>
              <w:rPr>
                <w:sz w:val="20"/>
                <w:szCs w:val="20"/>
                <w:color w:val="auto"/>
              </w:rPr>
            </w:pPr>
            <w:r>
              <w:rPr>
                <w:rFonts w:ascii="Arial" w:cs="Arial" w:eastAsia="Arial" w:hAnsi="Arial"/>
                <w:sz w:val="13"/>
                <w:szCs w:val="13"/>
                <w:b w:val="1"/>
                <w:bCs w:val="1"/>
                <w:color w:val="auto"/>
              </w:rPr>
              <w:t>Six Months Ended March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340"/>
              <w:spacing w:after="0"/>
              <w:rPr>
                <w:sz w:val="20"/>
                <w:szCs w:val="20"/>
                <w:color w:val="auto"/>
              </w:rPr>
            </w:pPr>
            <w:r>
              <w:rPr>
                <w:rFonts w:ascii="Arial" w:cs="Arial" w:eastAsia="Arial" w:hAnsi="Arial"/>
                <w:sz w:val="13"/>
                <w:szCs w:val="13"/>
                <w:color w:val="auto"/>
              </w:rPr>
              <w:t>Net increase (decrease) in net assets resulting from operations</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(67,020 )</w:t>
            </w: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28,668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260" w:type="dxa"/>
            <w:vAlign w:val="bottom"/>
            <w:shd w:val="clear" w:color="auto" w:fill="CCECFF"/>
          </w:tcPr>
          <w:p>
            <w:pPr>
              <w:ind w:left="340"/>
              <w:spacing w:after="0"/>
              <w:rPr>
                <w:sz w:val="20"/>
                <w:szCs w:val="20"/>
                <w:color w:val="auto"/>
              </w:rPr>
            </w:pPr>
            <w:r>
              <w:rPr>
                <w:rFonts w:ascii="Arial" w:cs="Arial" w:eastAsia="Arial" w:hAnsi="Arial"/>
                <w:sz w:val="13"/>
                <w:szCs w:val="13"/>
                <w:color w:val="auto"/>
              </w:rPr>
              <w:t>Adjustments to reconcile net increase (decrease) in net assets resulting from</w:t>
            </w:r>
          </w:p>
        </w:tc>
        <w:tc>
          <w:tcPr>
            <w:tcW w:w="92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60" w:type="dxa"/>
            <w:vAlign w:val="bottom"/>
            <w:shd w:val="clear" w:color="auto" w:fill="CCECFF"/>
          </w:tcPr>
          <w:p>
            <w:pPr>
              <w:ind w:left="440"/>
              <w:spacing w:after="0"/>
              <w:rPr>
                <w:sz w:val="20"/>
                <w:szCs w:val="20"/>
                <w:color w:val="auto"/>
              </w:rPr>
            </w:pPr>
            <w:r>
              <w:rPr>
                <w:rFonts w:ascii="Arial" w:cs="Arial" w:eastAsia="Arial" w:hAnsi="Arial"/>
                <w:sz w:val="13"/>
                <w:szCs w:val="13"/>
                <w:color w:val="auto"/>
              </w:rPr>
              <w:t>operations to net cash provided by (used in) operating activities:</w:t>
            </w: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Net change in net unrealized (appreciation) depreciation on investments</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(43,844 )</w:t>
            </w: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104,683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Net change in unrealized appreciation (depreciation) on debt</w:t>
            </w:r>
          </w:p>
        </w:tc>
        <w:tc>
          <w:tcPr>
            <w:tcW w:w="92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(5,919 )</w:t>
            </w: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(289 )</w:t>
            </w: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Net realized (gain) loss on investments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143,647</w:t>
            </w:r>
          </w:p>
        </w:tc>
        <w:tc>
          <w:tcPr>
            <w:tcW w:w="120" w:type="dxa"/>
            <w:vAlign w:val="bottom"/>
          </w:tcPr>
          <w:p>
            <w:pPr>
              <w:spacing w:after="0"/>
              <w:rPr>
                <w:sz w:val="15"/>
                <w:szCs w:val="15"/>
                <w:color w:val="auto"/>
              </w:rPr>
            </w:pP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(116,714 )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Debt extinguishment realized loss</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2,801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Net accretion of discount and amortization of premium</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(4,717 )</w:t>
            </w: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(3,515 )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Purchases of investments</w:t>
            </w:r>
          </w:p>
        </w:tc>
        <w:tc>
          <w:tcPr>
            <w:tcW w:w="92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(144,489 )</w:t>
            </w: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w w:val="97"/>
              </w:rPr>
              <w:t>(473,128 )</w:t>
            </w: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Payment-in-kind income</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(1,812 )</w:t>
            </w: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(7,688 )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Proceeds from dispositions of investments</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144,780</w:t>
            </w:r>
          </w:p>
        </w:tc>
        <w:tc>
          <w:tcPr>
            <w:tcW w:w="12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537,695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Amortization of deferred financing costs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903</w:t>
            </w:r>
          </w:p>
        </w:tc>
        <w:tc>
          <w:tcPr>
            <w:tcW w:w="120" w:type="dxa"/>
            <w:vAlign w:val="bottom"/>
          </w:tcPr>
          <w:p>
            <w:pPr>
              <w:spacing w:after="0"/>
              <w:rPr>
                <w:sz w:val="15"/>
                <w:szCs w:val="15"/>
                <w:color w:val="auto"/>
              </w:rPr>
            </w:pP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(Increase) or Decrease in:</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820"/>
              <w:spacing w:after="0"/>
              <w:rPr>
                <w:sz w:val="20"/>
                <w:szCs w:val="20"/>
                <w:color w:val="auto"/>
              </w:rPr>
            </w:pPr>
            <w:r>
              <w:rPr>
                <w:rFonts w:ascii="Arial" w:cs="Arial" w:eastAsia="Arial" w:hAnsi="Arial"/>
                <w:sz w:val="13"/>
                <w:szCs w:val="13"/>
                <w:color w:val="auto"/>
              </w:rPr>
              <w:t>Interest receivable</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(826 )</w:t>
            </w: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820"/>
              <w:spacing w:after="0"/>
              <w:rPr>
                <w:sz w:val="20"/>
                <w:szCs w:val="20"/>
                <w:color w:val="auto"/>
              </w:rPr>
            </w:pPr>
            <w:r>
              <w:rPr>
                <w:rFonts w:ascii="Arial" w:cs="Arial" w:eastAsia="Arial" w:hAnsi="Arial"/>
                <w:sz w:val="13"/>
                <w:szCs w:val="13"/>
                <w:color w:val="auto"/>
              </w:rPr>
              <w:t>Receivables from investments sold</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29,494</w:t>
            </w:r>
          </w:p>
        </w:tc>
        <w:tc>
          <w:tcPr>
            <w:tcW w:w="12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12,793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820"/>
              <w:spacing w:after="0"/>
              <w:rPr>
                <w:sz w:val="20"/>
                <w:szCs w:val="20"/>
                <w:color w:val="auto"/>
              </w:rPr>
            </w:pPr>
            <w:r>
              <w:rPr>
                <w:rFonts w:ascii="Arial" w:cs="Arial" w:eastAsia="Arial" w:hAnsi="Arial"/>
                <w:sz w:val="13"/>
                <w:szCs w:val="13"/>
                <w:color w:val="auto"/>
              </w:rPr>
              <w:t>Distribution receivable</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(2,414 )</w:t>
            </w: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(726 )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820"/>
              <w:spacing w:after="0"/>
              <w:rPr>
                <w:sz w:val="20"/>
                <w:szCs w:val="20"/>
                <w:color w:val="auto"/>
              </w:rPr>
            </w:pPr>
            <w:r>
              <w:rPr>
                <w:rFonts w:ascii="Arial" w:cs="Arial" w:eastAsia="Arial" w:hAnsi="Arial"/>
                <w:sz w:val="13"/>
                <w:szCs w:val="13"/>
                <w:color w:val="auto"/>
              </w:rPr>
              <w:t>Prepiad expenses and other assets</w:t>
            </w:r>
          </w:p>
        </w:tc>
        <w:tc>
          <w:tcPr>
            <w:tcW w:w="92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(8,000 )</w:t>
            </w: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Increase or (Decrease) in:</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820"/>
              <w:spacing w:after="0"/>
              <w:rPr>
                <w:sz w:val="20"/>
                <w:szCs w:val="20"/>
                <w:color w:val="auto"/>
              </w:rPr>
            </w:pPr>
            <w:r>
              <w:rPr>
                <w:rFonts w:ascii="Arial" w:cs="Arial" w:eastAsia="Arial" w:hAnsi="Arial"/>
                <w:sz w:val="13"/>
                <w:szCs w:val="13"/>
                <w:color w:val="auto"/>
              </w:rPr>
              <w:t>Payable for investments purchased</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15,149</w:t>
            </w:r>
          </w:p>
        </w:tc>
        <w:tc>
          <w:tcPr>
            <w:tcW w:w="12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820"/>
              <w:spacing w:after="0"/>
              <w:rPr>
                <w:sz w:val="20"/>
                <w:szCs w:val="20"/>
                <w:color w:val="auto"/>
              </w:rPr>
            </w:pPr>
            <w:r>
              <w:rPr>
                <w:rFonts w:ascii="Arial" w:cs="Arial" w:eastAsia="Arial" w:hAnsi="Arial"/>
                <w:sz w:val="13"/>
                <w:szCs w:val="13"/>
                <w:color w:val="auto"/>
              </w:rPr>
              <w:t>Interest payable on debt</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(171 )</w:t>
            </w: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820"/>
              <w:spacing w:after="0"/>
              <w:rPr>
                <w:sz w:val="20"/>
                <w:szCs w:val="20"/>
                <w:color w:val="auto"/>
              </w:rPr>
            </w:pPr>
            <w:r>
              <w:rPr>
                <w:rFonts w:ascii="Arial" w:cs="Arial" w:eastAsia="Arial" w:hAnsi="Arial"/>
                <w:sz w:val="13"/>
                <w:szCs w:val="13"/>
                <w:color w:val="auto"/>
              </w:rPr>
              <w:t>Base management fee payable, net</w:t>
            </w:r>
          </w:p>
        </w:tc>
        <w:tc>
          <w:tcPr>
            <w:tcW w:w="92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(809 )</w:t>
            </w: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401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820"/>
              <w:spacing w:after="0"/>
              <w:rPr>
                <w:sz w:val="20"/>
                <w:szCs w:val="20"/>
                <w:color w:val="auto"/>
              </w:rPr>
            </w:pPr>
            <w:r>
              <w:rPr>
                <w:rFonts w:ascii="Arial" w:cs="Arial" w:eastAsia="Arial" w:hAnsi="Arial"/>
                <w:sz w:val="13"/>
                <w:szCs w:val="13"/>
                <w:color w:val="auto"/>
              </w:rPr>
              <w:t>Performance-based incentive fee payable, net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3,530</w:t>
            </w:r>
          </w:p>
        </w:tc>
        <w:tc>
          <w:tcPr>
            <w:tcW w:w="120" w:type="dxa"/>
            <w:vAlign w:val="bottom"/>
          </w:tcPr>
          <w:p>
            <w:pPr>
              <w:spacing w:after="0"/>
              <w:rPr>
                <w:sz w:val="15"/>
                <w:szCs w:val="15"/>
                <w:color w:val="auto"/>
              </w:rPr>
            </w:pP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(575 )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820"/>
              <w:spacing w:after="0"/>
              <w:rPr>
                <w:sz w:val="20"/>
                <w:szCs w:val="20"/>
                <w:color w:val="auto"/>
              </w:rPr>
            </w:pPr>
            <w:r>
              <w:rPr>
                <w:rFonts w:ascii="Arial" w:cs="Arial" w:eastAsia="Arial" w:hAnsi="Arial"/>
                <w:sz w:val="13"/>
                <w:szCs w:val="13"/>
                <w:color w:val="auto"/>
              </w:rPr>
              <w:t>Deferred tax liability</w:t>
            </w:r>
          </w:p>
        </w:tc>
        <w:tc>
          <w:tcPr>
            <w:tcW w:w="92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(896 )</w:t>
            </w: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260" w:type="dxa"/>
            <w:vAlign w:val="bottom"/>
          </w:tcPr>
          <w:p>
            <w:pPr>
              <w:ind w:left="820"/>
              <w:spacing w:after="0"/>
              <w:rPr>
                <w:sz w:val="20"/>
                <w:szCs w:val="20"/>
                <w:color w:val="auto"/>
              </w:rPr>
            </w:pPr>
            <w:r>
              <w:rPr>
                <w:rFonts w:ascii="Arial" w:cs="Arial" w:eastAsia="Arial" w:hAnsi="Arial"/>
                <w:sz w:val="13"/>
                <w:szCs w:val="13"/>
                <w:color w:val="auto"/>
              </w:rPr>
              <w:t>Accrued other expenses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2,416</w:t>
            </w:r>
          </w:p>
        </w:tc>
        <w:tc>
          <w:tcPr>
            <w:tcW w:w="120" w:type="dxa"/>
            <w:vAlign w:val="bottom"/>
          </w:tcPr>
          <w:p>
            <w:pPr>
              <w:spacing w:after="0"/>
              <w:rPr>
                <w:sz w:val="15"/>
                <w:szCs w:val="15"/>
                <w:color w:val="auto"/>
              </w:rPr>
            </w:pP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(221 )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980"/>
              <w:spacing w:after="0"/>
              <w:rPr>
                <w:sz w:val="20"/>
                <w:szCs w:val="20"/>
                <w:color w:val="auto"/>
              </w:rPr>
            </w:pPr>
            <w:r>
              <w:rPr>
                <w:rFonts w:ascii="Arial" w:cs="Arial" w:eastAsia="Arial" w:hAnsi="Arial"/>
                <w:sz w:val="13"/>
                <w:szCs w:val="13"/>
                <w:color w:val="auto"/>
              </w:rPr>
              <w:t>Net cash provided by (used in) operating activities</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59,291</w:t>
            </w:r>
          </w:p>
        </w:tc>
        <w:tc>
          <w:tcPr>
            <w:tcW w:w="12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89,754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Repurchase of common stock</w:t>
            </w: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(7,055 )</w:t>
            </w: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Distributions paid to stockholders</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(20,546 )</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(16,091 )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Net repayments of the 2024 Notes issuance</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(86,250 )</w:t>
            </w: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Proceeds from 2026 Notes-2 issuance</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160,519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Repayments under SBA debentures</w:t>
            </w:r>
          </w:p>
        </w:tc>
        <w:tc>
          <w:tcPr>
            <w:tcW w:w="92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(20,000 )</w:t>
            </w:r>
          </w:p>
        </w:tc>
        <w:tc>
          <w:tcPr>
            <w:tcW w:w="1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(36,358 )</w:t>
            </w:r>
          </w:p>
        </w:tc>
        <w:tc>
          <w:tcPr>
            <w:tcW w:w="0" w:type="dxa"/>
            <w:vAlign w:val="bottom"/>
          </w:tcPr>
          <w:p>
            <w:pPr>
              <w:spacing w:after="0"/>
              <w:rPr>
                <w:sz w:val="1"/>
                <w:szCs w:val="1"/>
                <w:color w:val="auto"/>
              </w:rPr>
            </w:pPr>
          </w:p>
        </w:tc>
      </w:tr>
      <w:tr>
        <w:trPr>
          <w:trHeight w:val="175"/>
        </w:trPr>
        <w:tc>
          <w:tcPr>
            <w:tcW w:w="7260" w:type="dxa"/>
            <w:vAlign w:val="bottom"/>
          </w:tcPr>
          <w:p>
            <w:pPr>
              <w:ind w:left="660"/>
              <w:spacing w:after="0"/>
              <w:rPr>
                <w:sz w:val="20"/>
                <w:szCs w:val="20"/>
                <w:color w:val="auto"/>
              </w:rPr>
            </w:pPr>
            <w:r>
              <w:rPr>
                <w:rFonts w:ascii="Arial" w:cs="Arial" w:eastAsia="Arial" w:hAnsi="Arial"/>
                <w:sz w:val="13"/>
                <w:szCs w:val="13"/>
                <w:color w:val="auto"/>
              </w:rPr>
              <w:t>Borrowings under Truist Credit Facility</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75,500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496,841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660"/>
              <w:spacing w:after="0"/>
              <w:rPr>
                <w:sz w:val="20"/>
                <w:szCs w:val="20"/>
                <w:color w:val="auto"/>
              </w:rPr>
            </w:pPr>
            <w:r>
              <w:rPr>
                <w:rFonts w:ascii="Arial" w:cs="Arial" w:eastAsia="Arial" w:hAnsi="Arial"/>
                <w:sz w:val="13"/>
                <w:szCs w:val="13"/>
                <w:color w:val="auto"/>
              </w:rPr>
              <w:t>Repayments under Truist Credit Facility</w:t>
            </w:r>
          </w:p>
        </w:tc>
        <w:tc>
          <w:tcPr>
            <w:tcW w:w="92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(84,000 )</w:t>
            </w:r>
          </w:p>
        </w:tc>
        <w:tc>
          <w:tcPr>
            <w:tcW w:w="1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w w:val="97"/>
              </w:rPr>
              <w:t>(595,466 )</w:t>
            </w:r>
          </w:p>
        </w:tc>
        <w:tc>
          <w:tcPr>
            <w:tcW w:w="0" w:type="dxa"/>
            <w:vAlign w:val="bottom"/>
          </w:tcPr>
          <w:p>
            <w:pPr>
              <w:spacing w:after="0"/>
              <w:rPr>
                <w:sz w:val="1"/>
                <w:szCs w:val="1"/>
                <w:color w:val="auto"/>
              </w:rPr>
            </w:pPr>
          </w:p>
        </w:tc>
      </w:tr>
      <w:tr>
        <w:trPr>
          <w:trHeight w:val="175"/>
        </w:trPr>
        <w:tc>
          <w:tcPr>
            <w:tcW w:w="7260" w:type="dxa"/>
            <w:vAlign w:val="bottom"/>
          </w:tcPr>
          <w:p>
            <w:pPr>
              <w:ind w:left="980"/>
              <w:spacing w:after="0"/>
              <w:rPr>
                <w:sz w:val="20"/>
                <w:szCs w:val="20"/>
                <w:color w:val="auto"/>
              </w:rPr>
            </w:pPr>
            <w:r>
              <w:rPr>
                <w:rFonts w:ascii="Arial" w:cs="Arial" w:eastAsia="Arial" w:hAnsi="Arial"/>
                <w:sz w:val="13"/>
                <w:szCs w:val="13"/>
                <w:color w:val="auto"/>
              </w:rPr>
              <w:t>Net cash provided by (used in) financing activities</w:t>
            </w: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(49,046 )</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(83,860 )</w:t>
            </w: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increase (decrease) in cash equivalents</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10,245</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5,894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260" w:type="dxa"/>
            <w:vAlign w:val="bottom"/>
            <w:vMerge w:val="restart"/>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9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2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Cash and cash equivalents, beginning of period</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52,666</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20,357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end of period</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63,134</w:t>
            </w:r>
          </w:p>
        </w:tc>
        <w:tc>
          <w:tcPr>
            <w:tcW w:w="120" w:type="dxa"/>
            <w:vAlign w:val="bottom"/>
          </w:tcPr>
          <w:p>
            <w:pPr>
              <w:spacing w:after="0"/>
              <w:rPr>
                <w:sz w:val="15"/>
                <w:szCs w:val="15"/>
                <w:color w:val="auto"/>
              </w:rPr>
            </w:pP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26,251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rPr>
                <w:sz w:val="20"/>
                <w:szCs w:val="20"/>
                <w:color w:val="auto"/>
              </w:rPr>
            </w:pPr>
            <w:r>
              <w:rPr>
                <w:rFonts w:ascii="Arial" w:cs="Arial" w:eastAsia="Arial" w:hAnsi="Arial"/>
                <w:sz w:val="13"/>
                <w:szCs w:val="13"/>
                <w:color w:val="auto"/>
              </w:rPr>
              <w:t>Interest paid</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19,584</w:t>
            </w:r>
          </w:p>
        </w:tc>
        <w:tc>
          <w:tcPr>
            <w:tcW w:w="120" w:type="dxa"/>
            <w:vAlign w:val="bottom"/>
          </w:tcPr>
          <w:p>
            <w:pPr>
              <w:spacing w:after="0"/>
              <w:rPr>
                <w:sz w:val="15"/>
                <w:szCs w:val="15"/>
                <w:color w:val="auto"/>
              </w:rPr>
            </w:pP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10,594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3"/>
                <w:szCs w:val="13"/>
                <w:color w:val="auto"/>
              </w:rPr>
              <w:t>Taxes paid</w:t>
            </w:r>
          </w:p>
        </w:tc>
        <w:tc>
          <w:tcPr>
            <w:tcW w:w="920" w:type="dxa"/>
            <w:vAlign w:val="bottom"/>
            <w:tcBorders>
              <w:bottom w:val="single" w:sz="8" w:color="auto"/>
            </w:tcBorders>
            <w:shd w:val="clear" w:color="auto" w:fill="CCECFF"/>
          </w:tcPr>
          <w:p>
            <w:pPr>
              <w:jc w:val="right"/>
              <w:ind w:right="77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299</w:t>
            </w:r>
          </w:p>
        </w:tc>
        <w:tc>
          <w:tcPr>
            <w:tcW w:w="1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CCECFF"/>
            </w:tcBorders>
            <w:shd w:val="clear" w:color="auto" w:fill="CCECFF"/>
          </w:tcPr>
          <w:p>
            <w:pPr>
              <w:spacing w:after="0"/>
              <w:rPr>
                <w:sz w:val="17"/>
                <w:szCs w:val="17"/>
                <w:color w:val="auto"/>
              </w:rPr>
            </w:pPr>
          </w:p>
        </w:tc>
        <w:tc>
          <w:tcPr>
            <w:tcW w:w="920" w:type="dxa"/>
            <w:vAlign w:val="bottom"/>
            <w:tcBorders>
              <w:bottom w:val="single" w:sz="8" w:color="auto"/>
            </w:tcBorders>
            <w:shd w:val="clear" w:color="auto" w:fill="CCECFF"/>
          </w:tcPr>
          <w:p>
            <w:pPr>
              <w:jc w:val="right"/>
              <w:ind w:right="754"/>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5,055</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Arial" w:cs="Arial" w:eastAsia="Arial" w:hAnsi="Arial"/>
                <w:sz w:val="13"/>
                <w:szCs w:val="13"/>
                <w:color w:val="auto"/>
              </w:rPr>
              <w:t>Non-cash exchanges and conversions</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12,628</w:t>
            </w:r>
          </w:p>
        </w:tc>
        <w:tc>
          <w:tcPr>
            <w:tcW w:w="120" w:type="dxa"/>
            <w:vAlign w:val="bottom"/>
          </w:tcPr>
          <w:p>
            <w:pPr>
              <w:spacing w:after="0"/>
              <w:rPr>
                <w:sz w:val="13"/>
                <w:szCs w:val="13"/>
                <w:color w:val="auto"/>
              </w:rPr>
            </w:pPr>
          </w:p>
        </w:tc>
        <w:tc>
          <w:tcPr>
            <w:tcW w:w="106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(31,274 )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40" w:orient="portrait"/>
          <w:cols w:equalWidth="0" w:num="1">
            <w:col w:w="10560"/>
          </w:cols>
          <w:pgMar w:left="660" w:top="734"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(Unaudited)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7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80" w:type="dxa"/>
            <w:vAlign w:val="bottom"/>
          </w:tcPr>
          <w:p>
            <w:pPr>
              <w:jc w:val="center"/>
              <w:ind w:left="112"/>
              <w:spacing w:after="0"/>
              <w:rPr>
                <w:sz w:val="20"/>
                <w:szCs w:val="20"/>
                <w:color w:val="auto"/>
              </w:rPr>
            </w:pPr>
            <w:r>
              <w:rPr>
                <w:rFonts w:ascii="Arial" w:cs="Arial" w:eastAsia="Arial" w:hAnsi="Arial"/>
                <w:sz w:val="10"/>
                <w:szCs w:val="10"/>
                <w:b w:val="1"/>
                <w:bCs w:val="1"/>
                <w:color w:val="auto"/>
                <w:w w:val="94"/>
              </w:rPr>
              <w:t>Maturity /</w:t>
            </w:r>
          </w:p>
        </w:tc>
        <w:tc>
          <w:tcPr>
            <w:tcW w:w="1960" w:type="dxa"/>
            <w:vAlign w:val="bottom"/>
          </w:tcPr>
          <w:p>
            <w:pPr>
              <w:spacing w:after="0"/>
              <w:rPr>
                <w:sz w:val="10"/>
                <w:szCs w:val="10"/>
                <w:color w:val="auto"/>
              </w:rPr>
            </w:pPr>
          </w:p>
        </w:tc>
        <w:tc>
          <w:tcPr>
            <w:tcW w:w="98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Spread Above</w:t>
            </w:r>
          </w:p>
        </w:tc>
        <w:tc>
          <w:tcPr>
            <w:tcW w:w="88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2080" w:type="dxa"/>
            <w:vAlign w:val="bottom"/>
          </w:tcPr>
          <w:p>
            <w:pPr>
              <w:spacing w:after="0"/>
              <w:rPr>
                <w:sz w:val="11"/>
                <w:szCs w:val="11"/>
                <w:color w:val="auto"/>
              </w:rPr>
            </w:pPr>
          </w:p>
        </w:tc>
        <w:tc>
          <w:tcPr>
            <w:tcW w:w="980" w:type="dxa"/>
            <w:vAlign w:val="bottom"/>
          </w:tcPr>
          <w:p>
            <w:pPr>
              <w:jc w:val="center"/>
              <w:ind w:left="112"/>
              <w:spacing w:after="0"/>
              <w:rPr>
                <w:sz w:val="20"/>
                <w:szCs w:val="20"/>
                <w:color w:val="auto"/>
              </w:rPr>
            </w:pPr>
            <w:r>
              <w:rPr>
                <w:rFonts w:ascii="Arial" w:cs="Arial" w:eastAsia="Arial" w:hAnsi="Arial"/>
                <w:sz w:val="10"/>
                <w:szCs w:val="10"/>
                <w:b w:val="1"/>
                <w:bCs w:val="1"/>
                <w:color w:val="auto"/>
                <w:w w:val="93"/>
              </w:rPr>
              <w:t>Expiration</w:t>
            </w:r>
          </w:p>
        </w:tc>
        <w:tc>
          <w:tcPr>
            <w:tcW w:w="19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3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b w:val="1"/>
                <w:bCs w:val="1"/>
                <w:color w:val="auto"/>
              </w:rPr>
              <w:t>Investments in Non-Controlled, Non-Affiliated Portfolio</w:t>
            </w:r>
          </w:p>
        </w:tc>
        <w:tc>
          <w:tcPr>
            <w:tcW w:w="98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CFF"/>
          </w:tcPr>
          <w:p>
            <w:pPr>
              <w:ind w:left="20"/>
              <w:spacing w:after="0" w:line="135" w:lineRule="exact"/>
              <w:rPr>
                <w:sz w:val="20"/>
                <w:szCs w:val="20"/>
                <w:color w:val="auto"/>
              </w:rPr>
            </w:pPr>
            <w:r>
              <w:rPr>
                <w:rFonts w:ascii="Arial" w:cs="Arial" w:eastAsia="Arial" w:hAnsi="Arial"/>
                <w:sz w:val="10"/>
                <w:szCs w:val="10"/>
                <w:b w:val="1"/>
                <w:bCs w:val="1"/>
                <w:color w:val="auto"/>
              </w:rPr>
              <w:t xml:space="preserve">Companies—177.4% of Net Assets </w:t>
            </w:r>
            <w:r>
              <w:rPr>
                <w:rFonts w:ascii="Arial" w:cs="Arial" w:eastAsia="Arial" w:hAnsi="Arial"/>
                <w:sz w:val="12"/>
                <w:szCs w:val="12"/>
                <w:b w:val="1"/>
                <w:bCs w:val="1"/>
                <w:color w:val="auto"/>
                <w:vertAlign w:val="superscript"/>
              </w:rPr>
              <w:t>(1), (2)</w:t>
            </w:r>
          </w:p>
        </w:tc>
        <w:tc>
          <w:tcPr>
            <w:tcW w:w="98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b w:val="1"/>
                <w:bCs w:val="1"/>
                <w:color w:val="auto"/>
              </w:rPr>
              <w:t>First Lien Secured Debt—118.9% of Net Assets</w:t>
            </w:r>
          </w:p>
        </w:tc>
        <w:tc>
          <w:tcPr>
            <w:tcW w:w="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A1 Garage Merger Sub, LLC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12/22/2028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L+660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1,705</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1,681</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1,680</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A1 Garage Merger Sub, LLC - Unfunded Term Loan</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12/21/2024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5,253</w:t>
            </w:r>
          </w:p>
        </w:tc>
        <w:tc>
          <w:tcPr>
            <w:tcW w:w="260" w:type="dxa"/>
            <w:vAlign w:val="bottom"/>
          </w:tcPr>
          <w:p>
            <w:pPr>
              <w:spacing w:after="0"/>
              <w:rPr>
                <w:sz w:val="10"/>
                <w:szCs w:val="1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9"/>
        </w:trPr>
        <w:tc>
          <w:tcPr>
            <w:tcW w:w="2860" w:type="dxa"/>
            <w:vAlign w:val="bottom"/>
            <w:gridSpan w:val="2"/>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A1 Garage Merger Sub, LLC (Revolver)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gridSpan w:val="2"/>
            <w:vMerge w:val="continue"/>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12/22/2028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2,532</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(38 )</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Ad.net Acquisition,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05/07/2026</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11.16 %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176</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Ad.net Acquisition,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05/07/2026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Altamira Technologies,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07/24/2025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10.55 %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Altamira Technologies,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07/24/2025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Anteriad, LLC (f/k/a MeritDirect,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05/23/2024</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11.46 %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1,268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1,243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1,243</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Anteriad, LLC (f/k/a MeritDirect,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05/23/2024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(48 )</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Any Hour Services</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07/21/2027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10.49 %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L+563</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4,099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4,077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3,986</w:t>
            </w:r>
          </w:p>
        </w:tc>
        <w:tc>
          <w:tcPr>
            <w:tcW w:w="0" w:type="dxa"/>
            <w:vAlign w:val="bottom"/>
          </w:tcPr>
          <w:p>
            <w:pPr>
              <w:spacing w:after="0"/>
              <w:rPr>
                <w:sz w:val="1"/>
                <w:szCs w:val="1"/>
                <w:color w:val="auto"/>
              </w:rPr>
            </w:pPr>
          </w:p>
        </w:tc>
      </w:tr>
      <w:tr>
        <w:trPr>
          <w:trHeight w:val="139"/>
        </w:trPr>
        <w:tc>
          <w:tcPr>
            <w:tcW w:w="2860" w:type="dxa"/>
            <w:vAlign w:val="bottom"/>
            <w:gridSpan w:val="2"/>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Any Hour Services (Revolver)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gridSpan w:val="2"/>
            <w:vMerge w:val="continue"/>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07/21/2027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1,147</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(32 )</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Apex Service Partners,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07/31/2025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7.60 %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1,331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1,331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1,324</w:t>
            </w:r>
          </w:p>
        </w:tc>
        <w:tc>
          <w:tcPr>
            <w:tcW w:w="0" w:type="dxa"/>
            <w:vAlign w:val="bottom"/>
          </w:tcPr>
          <w:p>
            <w:pPr>
              <w:spacing w:after="0"/>
              <w:rPr>
                <w:sz w:val="1"/>
                <w:szCs w:val="1"/>
                <w:color w:val="auto"/>
              </w:rPr>
            </w:pPr>
          </w:p>
        </w:tc>
      </w:tr>
      <w:tr>
        <w:trPr>
          <w:trHeight w:val="139"/>
        </w:trPr>
        <w:tc>
          <w:tcPr>
            <w:tcW w:w="78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07/31/2025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9.08 %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1,893</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1,876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1,883</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Apex Service Partners,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07/31/2025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10.26 %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466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466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464</w:t>
            </w:r>
          </w:p>
        </w:tc>
        <w:tc>
          <w:tcPr>
            <w:tcW w:w="0" w:type="dxa"/>
            <w:vAlign w:val="bottom"/>
          </w:tcPr>
          <w:p>
            <w:pPr>
              <w:spacing w:after="0"/>
              <w:rPr>
                <w:sz w:val="1"/>
                <w:szCs w:val="1"/>
                <w:color w:val="auto"/>
              </w:rPr>
            </w:pPr>
          </w:p>
        </w:tc>
      </w:tr>
      <w:tr>
        <w:trPr>
          <w:trHeight w:val="139"/>
        </w:trPr>
        <w:tc>
          <w:tcPr>
            <w:tcW w:w="2860" w:type="dxa"/>
            <w:vAlign w:val="bottom"/>
            <w:gridSpan w:val="2"/>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Apex Service Partners, LLC (Revolver)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gridSpan w:val="2"/>
            <w:vMerge w:val="continue"/>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07/31/2025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466</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Applied Technical Services,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12/29/2026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10.91 %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2,234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2,211</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Applied Technical Services, LLC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04/21/2023</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Applied Technical Services,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12/29/2026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12.47 %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P+475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825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809</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Applied Technical Services,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12/29/2026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(4 )</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Arcfield Acquisition Corp.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03/07/2028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(45 )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Berwick Industrial Park</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05/02/2023</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Buildings and Real Estate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4,005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3,936</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Beta Plus Technologies, Inc.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07/01/2029</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9.42 %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SOFR+475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4,975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4,886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4,378</w:t>
            </w:r>
          </w:p>
        </w:tc>
        <w:tc>
          <w:tcPr>
            <w:tcW w:w="0" w:type="dxa"/>
            <w:vAlign w:val="bottom"/>
          </w:tcPr>
          <w:p>
            <w:pPr>
              <w:spacing w:after="0"/>
              <w:rPr>
                <w:sz w:val="1"/>
                <w:szCs w:val="1"/>
                <w:color w:val="auto"/>
              </w:rPr>
            </w:pPr>
          </w:p>
        </w:tc>
      </w:tr>
      <w:tr>
        <w:trPr>
          <w:trHeight w:val="148"/>
        </w:trPr>
        <w:tc>
          <w:tcPr>
            <w:tcW w:w="7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BioDerm, Inc.</w:t>
            </w:r>
          </w:p>
        </w:tc>
        <w:tc>
          <w:tcPr>
            <w:tcW w:w="2080" w:type="dxa"/>
            <w:vAlign w:val="bottom"/>
            <w:shd w:val="clear" w:color="auto" w:fill="CCECFF"/>
          </w:tcPr>
          <w:p>
            <w:pPr>
              <w:spacing w:after="0"/>
              <w:rPr>
                <w:sz w:val="12"/>
                <w:szCs w:val="12"/>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01/31/2028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8,895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8,865</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BioDerm, Inc.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01/31/2028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Blackhawk Industrial Distribution, Inc.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1,375</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Blackhawk Industrial Distribution, Inc.</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3,808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(67 )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Blackhawk Industrial Distribution, Inc. (Revolver)</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332</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Blackhawk Industrial Distribution, Inc.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3,203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(104 )</w:t>
            </w:r>
          </w:p>
        </w:tc>
        <w:tc>
          <w:tcPr>
            <w:tcW w:w="0" w:type="dxa"/>
            <w:vAlign w:val="bottom"/>
          </w:tcPr>
          <w:p>
            <w:pPr>
              <w:spacing w:after="0"/>
              <w:rPr>
                <w:sz w:val="1"/>
                <w:szCs w:val="1"/>
                <w:color w:val="auto"/>
              </w:rPr>
            </w:pPr>
          </w:p>
        </w:tc>
      </w:tr>
      <w:tr>
        <w:trPr>
          <w:trHeight w:val="123"/>
        </w:trPr>
        <w:tc>
          <w:tcPr>
            <w:tcW w:w="780" w:type="dxa"/>
            <w:vAlign w:val="bottom"/>
            <w:shd w:val="clear" w:color="auto" w:fill="CCECFF"/>
          </w:tcPr>
          <w:p>
            <w:pPr>
              <w:spacing w:after="0"/>
              <w:rPr>
                <w:sz w:val="10"/>
                <w:szCs w:val="10"/>
                <w:color w:val="auto"/>
              </w:rPr>
            </w:pPr>
          </w:p>
        </w:tc>
        <w:tc>
          <w:tcPr>
            <w:tcW w:w="20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10.73</w:t>
            </w: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9,967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9,967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9,967</w:t>
            </w:r>
          </w:p>
        </w:tc>
        <w:tc>
          <w:tcPr>
            <w:tcW w:w="0" w:type="dxa"/>
            <w:vAlign w:val="bottom"/>
          </w:tcPr>
          <w:p>
            <w:pPr>
              <w:spacing w:after="0"/>
              <w:rPr>
                <w:sz w:val="1"/>
                <w:szCs w:val="1"/>
                <w:color w:val="auto"/>
              </w:rPr>
            </w:pPr>
          </w:p>
        </w:tc>
      </w:tr>
      <w:tr>
        <w:trPr>
          <w:trHeight w:val="129"/>
        </w:trPr>
        <w:tc>
          <w:tcPr>
            <w:tcW w:w="780" w:type="dxa"/>
            <w:vAlign w:val="bottom"/>
            <w:shd w:val="clear" w:color="auto" w:fill="CCECFF"/>
          </w:tcPr>
          <w:p>
            <w:pPr>
              <w:ind w:left="20"/>
              <w:spacing w:after="0"/>
              <w:rPr>
                <w:sz w:val="20"/>
                <w:szCs w:val="20"/>
                <w:color w:val="auto"/>
              </w:rPr>
            </w:pPr>
            <w:r>
              <w:rPr>
                <w:rFonts w:ascii="Arial" w:cs="Arial" w:eastAsia="Arial" w:hAnsi="Arial"/>
                <w:sz w:val="10"/>
                <w:szCs w:val="10"/>
                <w:color w:val="auto"/>
                <w:w w:val="95"/>
              </w:rPr>
              <w:t>Broder Bros., Co.</w:t>
            </w:r>
          </w:p>
        </w:tc>
        <w:tc>
          <w:tcPr>
            <w:tcW w:w="2080" w:type="dxa"/>
            <w:vAlign w:val="bottom"/>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12/04/2025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Cartessa Aesthetics,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06/14/2028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10.90 %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34,229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33,618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33,887</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Cartessa Aesthetics, LLC - (Revolver)</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06/14/2028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1,253</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Cartessa Aesthetics, LLC -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06/14/2028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(23 )</w:t>
            </w:r>
          </w:p>
        </w:tc>
        <w:tc>
          <w:tcPr>
            <w:tcW w:w="0" w:type="dxa"/>
            <w:vAlign w:val="bottom"/>
          </w:tcPr>
          <w:p>
            <w:pPr>
              <w:spacing w:after="0"/>
              <w:rPr>
                <w:sz w:val="1"/>
                <w:szCs w:val="1"/>
                <w:color w:val="auto"/>
              </w:rPr>
            </w:pPr>
          </w:p>
        </w:tc>
      </w:tr>
      <w:tr>
        <w:trPr>
          <w:trHeight w:val="144"/>
        </w:trPr>
        <w:tc>
          <w:tcPr>
            <w:tcW w:w="780" w:type="dxa"/>
            <w:vAlign w:val="bottom"/>
            <w:shd w:val="clear" w:color="auto" w:fill="CCECFF"/>
          </w:tcPr>
          <w:p>
            <w:pPr>
              <w:ind w:left="20"/>
              <w:spacing w:after="0"/>
              <w:rPr>
                <w:sz w:val="20"/>
                <w:szCs w:val="20"/>
                <w:color w:val="auto"/>
              </w:rPr>
            </w:pPr>
            <w:r>
              <w:rPr>
                <w:rFonts w:ascii="Arial" w:cs="Arial" w:eastAsia="Arial" w:hAnsi="Arial"/>
                <w:sz w:val="10"/>
                <w:szCs w:val="10"/>
                <w:color w:val="auto"/>
              </w:rPr>
              <w:t>CF512, Inc.</w:t>
            </w:r>
          </w:p>
        </w:tc>
        <w:tc>
          <w:tcPr>
            <w:tcW w:w="2080" w:type="dxa"/>
            <w:vAlign w:val="bottom"/>
            <w:shd w:val="clear" w:color="auto" w:fill="CCECFF"/>
          </w:tcPr>
          <w:p>
            <w:pPr>
              <w:spacing w:after="0"/>
              <w:rPr>
                <w:sz w:val="12"/>
                <w:szCs w:val="12"/>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08/20/2026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6,686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6,607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6,552</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CF512, Inc.(Revolver)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08/20/2026</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Compex Legal Services, Inc.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02/09/2026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10.45 %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849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849</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Compex Legal Services, Inc.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02/07/2025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10.45 %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393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393</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Compex Legal Services,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02/07/2025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Connatix Buyer, Inc.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07/14/2023</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3,158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(87 )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Connatix Buyer,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07/13/2027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1,859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(70 )</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Confluent Health,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11/30/2028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11.00 %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P+300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1,860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1,860</w:t>
            </w:r>
          </w:p>
        </w:tc>
        <w:tc>
          <w:tcPr>
            <w:tcW w:w="0" w:type="dxa"/>
            <w:vAlign w:val="bottom"/>
          </w:tcPr>
          <w:p>
            <w:pPr>
              <w:spacing w:after="0"/>
              <w:rPr>
                <w:sz w:val="1"/>
                <w:szCs w:val="1"/>
                <w:color w:val="auto"/>
              </w:rPr>
            </w:pPr>
          </w:p>
        </w:tc>
      </w:tr>
      <w:tr>
        <w:trPr>
          <w:trHeight w:val="139"/>
        </w:trPr>
        <w:tc>
          <w:tcPr>
            <w:tcW w:w="78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Crane 1 Services, Inc.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08/16/2027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2,588</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2,562</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2,562</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Crane 1 Services, Inc.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08/16/2027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10.91 %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139"/>
        </w:trPr>
        <w:tc>
          <w:tcPr>
            <w:tcW w:w="2860" w:type="dxa"/>
            <w:vAlign w:val="bottom"/>
            <w:gridSpan w:val="2"/>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Crane 1 Services, Inc. (Revolver)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gridSpan w:val="2"/>
            <w:vMerge w:val="continue"/>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08/16/2027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214</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DermaRite Industries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06/30/2023</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Manufacturing / Basic Industries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12.16 %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8,755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8,749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3,169</w:t>
            </w:r>
          </w:p>
        </w:tc>
        <w:tc>
          <w:tcPr>
            <w:tcW w:w="0" w:type="dxa"/>
            <w:vAlign w:val="bottom"/>
          </w:tcPr>
          <w:p>
            <w:pPr>
              <w:spacing w:after="0"/>
              <w:rPr>
                <w:sz w:val="1"/>
                <w:szCs w:val="1"/>
                <w:color w:val="auto"/>
              </w:rPr>
            </w:pPr>
          </w:p>
        </w:tc>
      </w:tr>
      <w:tr>
        <w:trPr>
          <w:trHeight w:val="139"/>
        </w:trPr>
        <w:tc>
          <w:tcPr>
            <w:tcW w:w="78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80" w:type="dxa"/>
            <w:vAlign w:val="bottom"/>
            <w:shd w:val="clear" w:color="auto" w:fill="CCECFF"/>
          </w:tcPr>
          <w:p>
            <w:pPr>
              <w:ind w:left="20"/>
              <w:spacing w:after="0"/>
              <w:rPr>
                <w:sz w:val="20"/>
                <w:szCs w:val="20"/>
                <w:color w:val="auto"/>
              </w:rPr>
            </w:pPr>
            <w:r>
              <w:rPr>
                <w:rFonts w:ascii="Arial" w:cs="Arial" w:eastAsia="Arial" w:hAnsi="Arial"/>
                <w:sz w:val="10"/>
                <w:szCs w:val="10"/>
                <w:color w:val="auto"/>
                <w:w w:val="96"/>
              </w:rPr>
              <w:t>Dr. Squatch, LLC</w:t>
            </w:r>
          </w:p>
        </w:tc>
        <w:tc>
          <w:tcPr>
            <w:tcW w:w="2080" w:type="dxa"/>
            <w:vAlign w:val="bottom"/>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08/31/2027</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12,853</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12,688</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12,661</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2080" w:type="dxa"/>
            <w:vAlign w:val="bottom"/>
            <w:vMerge w:val="restart"/>
          </w:tcPr>
          <w:p>
            <w:pPr>
              <w:ind w:left="40"/>
              <w:spacing w:after="0"/>
              <w:rPr>
                <w:sz w:val="20"/>
                <w:szCs w:val="20"/>
                <w:color w:val="auto"/>
              </w:rPr>
            </w:pPr>
            <w:r>
              <w:rPr>
                <w:rFonts w:ascii="Arial" w:cs="Arial" w:eastAsia="Arial" w:hAnsi="Arial"/>
                <w:sz w:val="6"/>
                <w:szCs w:val="6"/>
                <w:color w:val="auto"/>
              </w:rPr>
              <w:t>(7)</w:t>
            </w: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80" w:type="dxa"/>
            <w:vAlign w:val="bottom"/>
          </w:tcPr>
          <w:p>
            <w:pPr>
              <w:ind w:left="20"/>
              <w:spacing w:after="0"/>
              <w:rPr>
                <w:sz w:val="20"/>
                <w:szCs w:val="20"/>
                <w:color w:val="auto"/>
              </w:rPr>
            </w:pPr>
            <w:r>
              <w:rPr>
                <w:rFonts w:ascii="Arial" w:cs="Arial" w:eastAsia="Arial" w:hAnsi="Arial"/>
                <w:sz w:val="10"/>
                <w:szCs w:val="10"/>
                <w:color w:val="auto"/>
                <w:w w:val="96"/>
              </w:rPr>
              <w:t>Dr. Squatch, LLC</w:t>
            </w:r>
          </w:p>
        </w:tc>
        <w:tc>
          <w:tcPr>
            <w:tcW w:w="2080" w:type="dxa"/>
            <w:vAlign w:val="bottom"/>
            <w:vMerge w:val="continue"/>
          </w:tcPr>
          <w:p>
            <w:pPr>
              <w:spacing w:after="0"/>
              <w:rPr>
                <w:sz w:val="10"/>
                <w:szCs w:val="10"/>
                <w:color w:val="auto"/>
              </w:rPr>
            </w:pP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08/27/2026</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(10 )</w:t>
            </w:r>
          </w:p>
        </w:tc>
        <w:tc>
          <w:tcPr>
            <w:tcW w:w="0" w:type="dxa"/>
            <w:vAlign w:val="bottom"/>
          </w:tcPr>
          <w:p>
            <w:pPr>
              <w:spacing w:after="0"/>
              <w:rPr>
                <w:sz w:val="1"/>
                <w:szCs w:val="1"/>
                <w:color w:val="auto"/>
              </w:rPr>
            </w:pPr>
          </w:p>
        </w:tc>
      </w:tr>
      <w:tr>
        <w:trPr>
          <w:trHeight w:val="139"/>
        </w:trPr>
        <w:tc>
          <w:tcPr>
            <w:tcW w:w="78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80" w:type="dxa"/>
            <w:vAlign w:val="bottom"/>
            <w:shd w:val="clear" w:color="auto" w:fill="CCECFF"/>
          </w:tcPr>
          <w:p>
            <w:pPr>
              <w:ind w:left="20"/>
              <w:spacing w:after="0"/>
              <w:rPr>
                <w:sz w:val="20"/>
                <w:szCs w:val="20"/>
                <w:color w:val="auto"/>
              </w:rPr>
            </w:pPr>
            <w:r>
              <w:rPr>
                <w:rFonts w:ascii="Arial" w:cs="Arial" w:eastAsia="Arial" w:hAnsi="Arial"/>
                <w:sz w:val="10"/>
                <w:szCs w:val="10"/>
                <w:color w:val="auto"/>
                <w:w w:val="96"/>
              </w:rPr>
              <w:t>Dr. Squatch, LLC</w:t>
            </w:r>
          </w:p>
        </w:tc>
        <w:tc>
          <w:tcPr>
            <w:tcW w:w="208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(Revolver)</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08/31/2027</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1,551</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1,551</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1,527</w:t>
            </w:r>
          </w:p>
        </w:tc>
        <w:tc>
          <w:tcPr>
            <w:tcW w:w="0" w:type="dxa"/>
            <w:vAlign w:val="bottom"/>
          </w:tcPr>
          <w:p>
            <w:pPr>
              <w:spacing w:after="0"/>
              <w:rPr>
                <w:sz w:val="1"/>
                <w:szCs w:val="1"/>
                <w:color w:val="auto"/>
              </w:rPr>
            </w:pPr>
          </w:p>
        </w:tc>
      </w:tr>
      <w:tr>
        <w:trPr>
          <w:trHeight w:val="135"/>
        </w:trPr>
        <w:tc>
          <w:tcPr>
            <w:tcW w:w="2860" w:type="dxa"/>
            <w:vAlign w:val="bottom"/>
            <w:gridSpan w:val="2"/>
            <w:vMerge w:val="restart"/>
          </w:tcPr>
          <w:p>
            <w:pPr>
              <w:ind w:left="20"/>
              <w:spacing w:after="0"/>
              <w:rPr>
                <w:sz w:val="20"/>
                <w:szCs w:val="20"/>
                <w:color w:val="auto"/>
              </w:rPr>
            </w:pPr>
            <w:r>
              <w:rPr>
                <w:rFonts w:ascii="Arial" w:cs="Arial" w:eastAsia="Arial" w:hAnsi="Arial"/>
                <w:sz w:val="10"/>
                <w:szCs w:val="10"/>
                <w:color w:val="auto"/>
              </w:rPr>
              <w:t xml:space="preserve">Dr. Squatch, LLC (Revolver) </w:t>
            </w:r>
            <w:r>
              <w:rPr>
                <w:rFonts w:ascii="Arial" w:cs="Arial" w:eastAsia="Arial" w:hAnsi="Arial"/>
                <w:sz w:val="12"/>
                <w:szCs w:val="12"/>
                <w:color w:val="auto"/>
                <w:vertAlign w:val="superscript"/>
              </w:rPr>
              <w:t>(7)</w:t>
            </w: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60" w:type="dxa"/>
            <w:vAlign w:val="bottom"/>
            <w:gridSpan w:val="2"/>
            <w:vMerge w:val="continue"/>
          </w:tcPr>
          <w:p>
            <w:pPr>
              <w:spacing w:after="0"/>
              <w:rPr>
                <w:sz w:val="11"/>
                <w:szCs w:val="11"/>
                <w:color w:val="auto"/>
              </w:rPr>
            </w:pP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08/31/2027</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775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DRS Holdings III, Inc.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11/03/2025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10.59 %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DRS Holdings III, Inc.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11/03/2025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05/01/2028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Hotels, Motels, Inns and Gaming</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12.42 %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19,059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18,930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18,881</w:t>
            </w:r>
          </w:p>
        </w:tc>
        <w:tc>
          <w:tcPr>
            <w:tcW w:w="0" w:type="dxa"/>
            <w:vAlign w:val="bottom"/>
          </w:tcPr>
          <w:p>
            <w:pPr>
              <w:spacing w:after="0"/>
              <w:rPr>
                <w:sz w:val="1"/>
                <w:szCs w:val="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ECM Industries,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12/23/2025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9.77 %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L+450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93</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ECM Industries,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12/23/2025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421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(18 )</w:t>
            </w:r>
          </w:p>
        </w:tc>
        <w:tc>
          <w:tcPr>
            <w:tcW w:w="0" w:type="dxa"/>
            <w:vAlign w:val="bottom"/>
          </w:tcPr>
          <w:p>
            <w:pPr>
              <w:spacing w:after="0"/>
              <w:rPr>
                <w:sz w:val="1"/>
                <w:szCs w:val="1"/>
                <w:color w:val="auto"/>
              </w:rPr>
            </w:pPr>
          </w:p>
        </w:tc>
      </w:tr>
      <w:tr>
        <w:trPr>
          <w:trHeight w:val="140"/>
        </w:trPr>
        <w:tc>
          <w:tcPr>
            <w:tcW w:w="780" w:type="dxa"/>
            <w:vAlign w:val="bottom"/>
          </w:tcPr>
          <w:p>
            <w:pPr>
              <w:ind w:left="20"/>
              <w:spacing w:after="0"/>
              <w:rPr>
                <w:sz w:val="20"/>
                <w:szCs w:val="20"/>
                <w:color w:val="auto"/>
              </w:rPr>
            </w:pPr>
            <w:r>
              <w:rPr>
                <w:rFonts w:ascii="Arial" w:cs="Arial" w:eastAsia="Arial" w:hAnsi="Arial"/>
                <w:sz w:val="10"/>
                <w:szCs w:val="10"/>
                <w:color w:val="auto"/>
              </w:rPr>
              <w:t>EDS Buyer, LLC</w:t>
            </w:r>
          </w:p>
        </w:tc>
        <w:tc>
          <w:tcPr>
            <w:tcW w:w="2080" w:type="dxa"/>
            <w:vAlign w:val="bottom"/>
          </w:tcPr>
          <w:p>
            <w:pPr>
              <w:spacing w:after="0"/>
              <w:rPr>
                <w:sz w:val="12"/>
                <w:szCs w:val="12"/>
                <w:color w:val="auto"/>
              </w:rPr>
            </w:pP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12/22/2028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11.15 %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6,250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6,161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6,094</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EDS Buyer, LLC - Unfunded Term Loan</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12/22/2028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5,625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(70 )</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EDS Buyer, LLC -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12/22/2028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1,687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(42 )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Exigo Intermediate II, LLC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03/15/2027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10.59 %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24,750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24,438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24,255</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0"/>
                <w:szCs w:val="10"/>
                <w:color w:val="auto"/>
              </w:rPr>
              <w:t xml:space="preserve">Exigo Intermediate II, LLC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03/15/2024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7,424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(93 )</w:t>
            </w:r>
          </w:p>
        </w:tc>
        <w:tc>
          <w:tcPr>
            <w:tcW w:w="0" w:type="dxa"/>
            <w:vAlign w:val="bottom"/>
          </w:tcPr>
          <w:p>
            <w:pPr>
              <w:spacing w:after="0"/>
              <w:rPr>
                <w:sz w:val="1"/>
                <w:szCs w:val="1"/>
                <w:color w:val="auto"/>
              </w:rPr>
            </w:pPr>
          </w:p>
        </w:tc>
      </w:tr>
      <w:tr>
        <w:trPr>
          <w:trHeight w:val="144"/>
        </w:trPr>
        <w:tc>
          <w:tcPr>
            <w:tcW w:w="2860" w:type="dxa"/>
            <w:vAlign w:val="bottom"/>
            <w:gridSpan w:val="2"/>
            <w:shd w:val="clear" w:color="auto" w:fill="CCECFF"/>
          </w:tcPr>
          <w:p>
            <w:pPr>
              <w:ind w:left="20"/>
              <w:spacing w:after="0"/>
              <w:rPr>
                <w:sz w:val="20"/>
                <w:szCs w:val="20"/>
                <w:color w:val="auto"/>
              </w:rPr>
            </w:pPr>
            <w:r>
              <w:rPr>
                <w:rFonts w:ascii="Arial" w:cs="Arial" w:eastAsia="Arial" w:hAnsi="Arial"/>
                <w:sz w:val="10"/>
                <w:szCs w:val="10"/>
                <w:color w:val="auto"/>
              </w:rPr>
              <w:t xml:space="preserve">Exigo Intermediate II,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03/15/2027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1,856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(37 )</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980" w:type="dxa"/>
            <w:vAlign w:val="bottom"/>
          </w:tcPr>
          <w:p>
            <w:pPr>
              <w:jc w:val="center"/>
              <w:ind w:left="152"/>
              <w:spacing w:after="0"/>
              <w:rPr>
                <w:sz w:val="20"/>
                <w:szCs w:val="20"/>
                <w:color w:val="auto"/>
              </w:rPr>
            </w:pPr>
            <w:r>
              <w:rPr>
                <w:rFonts w:ascii="Arial" w:cs="Arial" w:eastAsia="Arial" w:hAnsi="Arial"/>
                <w:sz w:val="10"/>
                <w:szCs w:val="10"/>
                <w:b w:val="1"/>
                <w:bCs w:val="1"/>
                <w:color w:val="auto"/>
                <w:w w:val="94"/>
              </w:rPr>
              <w:t>Maturity /</w:t>
            </w:r>
          </w:p>
        </w:tc>
        <w:tc>
          <w:tcPr>
            <w:tcW w:w="2000" w:type="dxa"/>
            <w:vAlign w:val="bottom"/>
          </w:tcPr>
          <w:p>
            <w:pPr>
              <w:spacing w:after="0"/>
              <w:rPr>
                <w:sz w:val="10"/>
                <w:szCs w:val="10"/>
                <w:color w:val="auto"/>
              </w:rPr>
            </w:pPr>
          </w:p>
        </w:tc>
        <w:tc>
          <w:tcPr>
            <w:tcW w:w="96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Spread Above</w:t>
            </w:r>
          </w:p>
        </w:tc>
        <w:tc>
          <w:tcPr>
            <w:tcW w:w="88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80" w:type="dxa"/>
            <w:vAlign w:val="bottom"/>
          </w:tcPr>
          <w:p>
            <w:pPr>
              <w:jc w:val="center"/>
              <w:ind w:left="152"/>
              <w:spacing w:after="0"/>
              <w:rPr>
                <w:sz w:val="20"/>
                <w:szCs w:val="20"/>
                <w:color w:val="auto"/>
              </w:rPr>
            </w:pPr>
            <w:r>
              <w:rPr>
                <w:rFonts w:ascii="Arial" w:cs="Arial" w:eastAsia="Arial" w:hAnsi="Arial"/>
                <w:sz w:val="10"/>
                <w:szCs w:val="10"/>
                <w:b w:val="1"/>
                <w:bCs w:val="1"/>
                <w:color w:val="auto"/>
                <w:w w:val="93"/>
              </w:rPr>
              <w:t>Expiration</w:t>
            </w: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6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3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Fairbanks Morse Defense</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06/17/2028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9.48 %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L+475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738</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735</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702</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rPr>
                <w:sz w:val="20"/>
                <w:szCs w:val="20"/>
                <w:color w:val="auto"/>
              </w:rPr>
            </w:pPr>
            <w:r>
              <w:rPr>
                <w:rFonts w:ascii="Arial" w:cs="Arial" w:eastAsia="Arial" w:hAnsi="Arial"/>
                <w:sz w:val="10"/>
                <w:szCs w:val="10"/>
                <w:color w:val="auto"/>
              </w:rPr>
              <w:t>Five Star Buyer, Inc.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02/23/2028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Entertainment</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11.90 %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L+700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5,173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5,070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5,069</w:t>
            </w:r>
          </w:p>
        </w:tc>
        <w:tc>
          <w:tcPr>
            <w:tcW w:w="0" w:type="dxa"/>
            <w:vAlign w:val="bottom"/>
          </w:tcPr>
          <w:p>
            <w:pPr>
              <w:spacing w:after="0"/>
              <w:rPr>
                <w:sz w:val="1"/>
                <w:szCs w:val="1"/>
                <w:color w:val="auto"/>
              </w:rPr>
            </w:pPr>
          </w:p>
        </w:tc>
      </w:tr>
      <w:tr>
        <w:trPr>
          <w:trHeight w:val="139"/>
        </w:trPr>
        <w:tc>
          <w:tcPr>
            <w:tcW w:w="2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Five Star Buyer, Inc. - Unfunded Term Loan</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02/23/2028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Entertainment</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1,079</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(22 )</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rPr>
                <w:sz w:val="20"/>
                <w:szCs w:val="20"/>
                <w:color w:val="auto"/>
              </w:rPr>
            </w:pPr>
            <w:r>
              <w:rPr>
                <w:rFonts w:ascii="Arial" w:cs="Arial" w:eastAsia="Arial" w:hAnsi="Arial"/>
                <w:sz w:val="10"/>
                <w:szCs w:val="10"/>
                <w:color w:val="auto"/>
              </w:rPr>
              <w:t>Five Star Buyer, Inc. - Unfunded 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02/23/2028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Entertainment</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670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05/14/2026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16,637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16,408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16,055</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Gantech Acquisition Corp. (Revolver)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05/14/2026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11.09 %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862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863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833</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Gantech Acquisition Corp.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05/14/2026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(40 )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Graffiti Buyer, Inc.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08/10/2027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10.66 %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225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225</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Graffiti Buyer, Inc.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08/10/2023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Graffiti Buyer, Inc. (Revolver)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08/10/2027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10.66 %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451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451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446</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Graffiti Buyer,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08/10/2027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12/31/2026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Insurance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10.30 %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157</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Hancock Roofing and Construction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12/31/2026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Holdco Sands Intermediate, LLC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11/23/2028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10.17 %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1,876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1,889</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Holdco Sands Intermediate,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11/23/2027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(39 )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HV Watterson Holdings, LLC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12/17/2026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11.41 %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HV Watterson Holdings, LLC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12/17/2026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(43 )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HV Watterson Holdings, LLC - (Revolver)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12/17/2026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11.41 %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1,022</w:t>
            </w:r>
          </w:p>
        </w:tc>
        <w:tc>
          <w:tcPr>
            <w:tcW w:w="0" w:type="dxa"/>
            <w:vAlign w:val="bottom"/>
          </w:tcPr>
          <w:p>
            <w:pPr>
              <w:spacing w:after="0"/>
              <w:rPr>
                <w:sz w:val="1"/>
                <w:szCs w:val="1"/>
                <w:color w:val="auto"/>
              </w:rPr>
            </w:pPr>
          </w:p>
        </w:tc>
      </w:tr>
      <w:tr>
        <w:trPr>
          <w:trHeight w:val="196"/>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 - (Revolver)</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12/17/2026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w:t>
            </w:r>
          </w:p>
        </w:tc>
        <w:tc>
          <w:tcPr>
            <w:tcW w:w="260" w:type="dxa"/>
            <w:vAlign w:val="bottom"/>
            <w:shd w:val="clear" w:color="auto" w:fill="CCECFF"/>
          </w:tcPr>
          <w:p>
            <w:pPr>
              <w:spacing w:after="0"/>
              <w:rPr>
                <w:sz w:val="17"/>
                <w:szCs w:val="17"/>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line="196" w:lineRule="exact"/>
              <w:rPr>
                <w:sz w:val="20"/>
                <w:szCs w:val="20"/>
                <w:color w:val="auto"/>
              </w:rPr>
            </w:pPr>
            <w:r>
              <w:rPr>
                <w:rFonts w:ascii="Arial" w:cs="Arial" w:eastAsia="Arial" w:hAnsi="Arial"/>
                <w:sz w:val="10"/>
                <w:szCs w:val="10"/>
                <w:color w:val="auto"/>
              </w:rPr>
              <w:t xml:space="preserve">(5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12/10/2024</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9.78 %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11,237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11,140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11,069</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HW Holdco, LLC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12/10/2024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1,858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 xml:space="preserve">HW Holdco, LLC (Revolver) </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12/10/2024</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3,387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(51 )</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Icon Partners III, LP</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05/11/2028</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L+450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1,395</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IDC Infusion Services, Inc.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12/30/2026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11.90 %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L+700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3,667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3,568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3,593</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IDC Infusion Services,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12/30/2026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4,167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(146 )</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 xml:space="preserve">IG Investments Holdings, LLC (Revolver) </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09/22/2027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477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Imagine Acquisitionco, LLC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11/15/2027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(47 )</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 xml:space="preserve">Imagine Acquisitionco, LLC (Revolver) </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11/15/2027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(51 )</w:t>
            </w:r>
          </w:p>
        </w:tc>
        <w:tc>
          <w:tcPr>
            <w:tcW w:w="0" w:type="dxa"/>
            <w:vAlign w:val="bottom"/>
          </w:tcPr>
          <w:p>
            <w:pPr>
              <w:spacing w:after="0"/>
              <w:rPr>
                <w:sz w:val="1"/>
                <w:szCs w:val="1"/>
                <w:color w:val="auto"/>
              </w:rPr>
            </w:pPr>
          </w:p>
        </w:tc>
      </w:tr>
      <w:tr>
        <w:trPr>
          <w:trHeight w:val="172"/>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color w:val="auto"/>
              </w:rPr>
              <w:t>Inception Fertility Ventures, LLC</w:t>
            </w:r>
          </w:p>
        </w:tc>
        <w:tc>
          <w:tcPr>
            <w:tcW w:w="980" w:type="dxa"/>
            <w:vAlign w:val="bottom"/>
            <w:tcBorders>
              <w:bottom w:val="single" w:sz="8" w:color="CCECFF"/>
            </w:tcBorders>
            <w:shd w:val="clear" w:color="auto" w:fill="CCECFF"/>
          </w:tcPr>
          <w:p>
            <w:pPr>
              <w:jc w:val="center"/>
              <w:ind w:left="132"/>
              <w:spacing w:after="0"/>
              <w:rPr>
                <w:sz w:val="20"/>
                <w:szCs w:val="20"/>
                <w:color w:val="auto"/>
              </w:rPr>
            </w:pPr>
            <w:r>
              <w:rPr>
                <w:rFonts w:ascii="Arial" w:cs="Arial" w:eastAsia="Arial" w:hAnsi="Arial"/>
                <w:sz w:val="10"/>
                <w:szCs w:val="10"/>
                <w:color w:val="auto"/>
                <w:w w:val="95"/>
              </w:rPr>
              <w:t>12/07/2023</w:t>
            </w:r>
          </w:p>
        </w:tc>
        <w:tc>
          <w:tcPr>
            <w:tcW w:w="2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11.95 %</w:t>
            </w:r>
          </w:p>
        </w:tc>
        <w:tc>
          <w:tcPr>
            <w:tcW w:w="1020" w:type="dxa"/>
            <w:vAlign w:val="bottom"/>
            <w:tcBorders>
              <w:bottom w:val="single" w:sz="8" w:color="CCECFF"/>
            </w:tcBorders>
            <w:shd w:val="clear" w:color="auto" w:fill="CCECFF"/>
          </w:tcPr>
          <w:p>
            <w:pPr>
              <w:jc w:val="right"/>
              <w:ind w:right="192"/>
              <w:spacing w:after="0"/>
              <w:rPr>
                <w:sz w:val="20"/>
                <w:szCs w:val="20"/>
                <w:color w:val="auto"/>
              </w:rPr>
            </w:pPr>
            <w:r>
              <w:rPr>
                <w:rFonts w:ascii="Arial" w:cs="Arial" w:eastAsia="Arial" w:hAnsi="Arial"/>
                <w:sz w:val="10"/>
                <w:szCs w:val="10"/>
                <w:color w:val="auto"/>
              </w:rPr>
              <w:t>3M L+715</w:t>
            </w:r>
          </w:p>
        </w:tc>
        <w:tc>
          <w:tcPr>
            <w:tcW w:w="88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20,403</w:t>
            </w:r>
          </w:p>
        </w:tc>
        <w:tc>
          <w:tcPr>
            <w:tcW w:w="260" w:type="dxa"/>
            <w:vAlign w:val="bottom"/>
            <w:tcBorders>
              <w:bottom w:val="single" w:sz="8" w:color="CCECFF"/>
            </w:tcBorders>
            <w:shd w:val="clear" w:color="auto" w:fill="CCECFF"/>
          </w:tcPr>
          <w:p>
            <w:pPr>
              <w:spacing w:after="0"/>
              <w:rPr>
                <w:sz w:val="14"/>
                <w:szCs w:val="14"/>
                <w:color w:val="auto"/>
              </w:rPr>
            </w:pPr>
          </w:p>
        </w:tc>
        <w:tc>
          <w:tcPr>
            <w:tcW w:w="68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20,248</w:t>
            </w:r>
          </w:p>
        </w:tc>
        <w:tc>
          <w:tcPr>
            <w:tcW w:w="18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19,995</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rPr>
                <w:sz w:val="20"/>
                <w:szCs w:val="20"/>
                <w:color w:val="auto"/>
              </w:rPr>
            </w:pPr>
            <w:r>
              <w:rPr>
                <w:rFonts w:ascii="Arial" w:cs="Arial" w:eastAsia="Arial" w:hAnsi="Arial"/>
                <w:sz w:val="10"/>
                <w:szCs w:val="10"/>
                <w:color w:val="auto"/>
              </w:rPr>
              <w:t>Infinity Home Services Holdco, Inc.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12/28/2028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11.73 %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L+685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517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517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506</w:t>
            </w:r>
          </w:p>
        </w:tc>
        <w:tc>
          <w:tcPr>
            <w:tcW w:w="0" w:type="dxa"/>
            <w:vAlign w:val="bottom"/>
          </w:tcPr>
          <w:p>
            <w:pPr>
              <w:spacing w:after="0"/>
              <w:rPr>
                <w:sz w:val="1"/>
                <w:szCs w:val="1"/>
                <w:color w:val="auto"/>
              </w:rPr>
            </w:pPr>
          </w:p>
        </w:tc>
      </w:tr>
      <w:tr>
        <w:trPr>
          <w:trHeight w:val="139"/>
        </w:trPr>
        <w:tc>
          <w:tcPr>
            <w:tcW w:w="2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Infinity Home Services Holdco, Inc. - Unfunded Term Loan</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12/28/2023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3,230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(65 )</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rPr>
                <w:sz w:val="20"/>
                <w:szCs w:val="20"/>
                <w:color w:val="auto"/>
              </w:rPr>
            </w:pPr>
            <w:r>
              <w:rPr>
                <w:rFonts w:ascii="Arial" w:cs="Arial" w:eastAsia="Arial" w:hAnsi="Arial"/>
                <w:sz w:val="10"/>
                <w:szCs w:val="10"/>
                <w:color w:val="auto"/>
              </w:rPr>
              <w:t>Infinity Home Services Holdco, Inc.(Revolver)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12/28/2028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13.75 %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95</w:t>
            </w:r>
          </w:p>
        </w:tc>
        <w:tc>
          <w:tcPr>
            <w:tcW w:w="0" w:type="dxa"/>
            <w:vAlign w:val="bottom"/>
          </w:tcPr>
          <w:p>
            <w:pPr>
              <w:spacing w:after="0"/>
              <w:rPr>
                <w:sz w:val="1"/>
                <w:szCs w:val="1"/>
                <w:color w:val="auto"/>
              </w:rPr>
            </w:pPr>
          </w:p>
        </w:tc>
      </w:tr>
      <w:tr>
        <w:trPr>
          <w:trHeight w:val="139"/>
        </w:trPr>
        <w:tc>
          <w:tcPr>
            <w:tcW w:w="284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Infinity Home Services Holdco, Inc.(Revolver)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vMerge w:val="continue"/>
            <w:shd w:val="clear" w:color="auto" w:fill="CCECFF"/>
          </w:tcPr>
          <w:p>
            <w:pPr>
              <w:spacing w:after="0"/>
              <w:rPr>
                <w:sz w:val="11"/>
                <w:szCs w:val="11"/>
                <w:color w:val="auto"/>
              </w:rPr>
            </w:pP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12/28/2028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678</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 xml:space="preserve">Infolinks Media Buyco, LLC </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11/01/2023</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2,372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Integrity Marketing Acquisition, LLC</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08/27/2025</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9,885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9,831</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ITI Holdings, Inc.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03/03/2028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10.58 %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8,883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8,751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8,705</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ITI Holdings, Inc. (Revolver)</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03/03/2028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10.45 %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942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923</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 xml:space="preserve">ITI Holdings, Inc. (Revolver) </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03/03/2028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548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K2 Pure Solutions NoCal, L.P.</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12/20/2023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10,853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10,853</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K2 Pure Solutions NoCal, L.P. (Revolver)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12/20/2023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12.91 %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L+800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485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485</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K2 Pure Solutions NoCal, L.P.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12/20/2023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11/10/2027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11.16 %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24,219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23,734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23,856</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Kinetic Purchaser, LLC (Revolver)</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11/10/2026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3,883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3,883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3,825</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 xml:space="preserve">Kinetic Purchaser, LLC (Revolver) </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11/10/2026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(15 )</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Lash OpCo, LLC</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02/18/2027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11.84 %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2,757</w:t>
            </w:r>
          </w:p>
        </w:tc>
        <w:tc>
          <w:tcPr>
            <w:tcW w:w="0" w:type="dxa"/>
            <w:vAlign w:val="bottom"/>
          </w:tcPr>
          <w:p>
            <w:pPr>
              <w:spacing w:after="0"/>
              <w:rPr>
                <w:sz w:val="1"/>
                <w:szCs w:val="1"/>
                <w:color w:val="auto"/>
              </w:rPr>
            </w:pPr>
          </w:p>
        </w:tc>
      </w:tr>
      <w:tr>
        <w:trPr>
          <w:trHeight w:val="136"/>
        </w:trPr>
        <w:tc>
          <w:tcPr>
            <w:tcW w:w="2840" w:type="dxa"/>
            <w:vAlign w:val="bottom"/>
            <w:vMerge w:val="restart"/>
          </w:tcPr>
          <w:p>
            <w:pPr>
              <w:ind w:left="20"/>
              <w:spacing w:after="0"/>
              <w:rPr>
                <w:sz w:val="20"/>
                <w:szCs w:val="20"/>
                <w:color w:val="auto"/>
              </w:rPr>
            </w:pPr>
            <w:r>
              <w:rPr>
                <w:rFonts w:ascii="Arial" w:cs="Arial" w:eastAsia="Arial" w:hAnsi="Arial"/>
                <w:sz w:val="10"/>
                <w:szCs w:val="10"/>
                <w:color w:val="auto"/>
              </w:rPr>
              <w:t>Lash OpCo, LLC (Revolver)</w:t>
            </w:r>
          </w:p>
        </w:tc>
        <w:tc>
          <w:tcPr>
            <w:tcW w:w="980" w:type="dxa"/>
            <w:vAlign w:val="bottom"/>
            <w:vMerge w:val="restart"/>
          </w:tcPr>
          <w:p>
            <w:pPr>
              <w:jc w:val="center"/>
              <w:ind w:left="132"/>
              <w:spacing w:after="0"/>
              <w:rPr>
                <w:sz w:val="20"/>
                <w:szCs w:val="20"/>
                <w:color w:val="auto"/>
              </w:rPr>
            </w:pPr>
            <w:r>
              <w:rPr>
                <w:rFonts w:ascii="Arial" w:cs="Arial" w:eastAsia="Arial" w:hAnsi="Arial"/>
                <w:sz w:val="10"/>
                <w:szCs w:val="10"/>
                <w:color w:val="auto"/>
                <w:w w:val="95"/>
              </w:rPr>
              <w:t>08/16/2026</w:t>
            </w: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vMerge w:val="restart"/>
          </w:tcPr>
          <w:p>
            <w:pPr>
              <w:jc w:val="right"/>
              <w:ind w:right="52"/>
              <w:spacing w:after="0"/>
              <w:rPr>
                <w:sz w:val="20"/>
                <w:szCs w:val="20"/>
                <w:color w:val="auto"/>
              </w:rPr>
            </w:pPr>
            <w:r>
              <w:rPr>
                <w:rFonts w:ascii="Arial" w:cs="Arial" w:eastAsia="Arial" w:hAnsi="Arial"/>
                <w:sz w:val="10"/>
                <w:szCs w:val="10"/>
                <w:color w:val="auto"/>
              </w:rPr>
              <w:t>11.84 %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1,092</w:t>
            </w:r>
          </w:p>
        </w:tc>
        <w:tc>
          <w:tcPr>
            <w:tcW w:w="260" w:type="dxa"/>
            <w:vAlign w:val="bottom"/>
          </w:tcPr>
          <w:p>
            <w:pPr>
              <w:spacing w:after="0"/>
              <w:rPr>
                <w:sz w:val="11"/>
                <w:szCs w:val="11"/>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0"/>
                <w:szCs w:val="10"/>
                <w:color w:val="auto"/>
              </w:rPr>
              <w:t>1,092</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1,070</w:t>
            </w:r>
          </w:p>
        </w:tc>
        <w:tc>
          <w:tcPr>
            <w:tcW w:w="0" w:type="dxa"/>
            <w:vAlign w:val="bottom"/>
          </w:tcPr>
          <w:p>
            <w:pPr>
              <w:spacing w:after="0"/>
              <w:rPr>
                <w:sz w:val="1"/>
                <w:szCs w:val="1"/>
                <w:color w:val="auto"/>
              </w:rPr>
            </w:pPr>
          </w:p>
        </w:tc>
      </w:tr>
      <w:tr>
        <w:trPr>
          <w:trHeight w:val="88"/>
        </w:trPr>
        <w:tc>
          <w:tcPr>
            <w:tcW w:w="284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Lash OpCo,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08/16/2026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(15 )</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rPr>
                <w:sz w:val="20"/>
                <w:szCs w:val="20"/>
                <w:color w:val="auto"/>
              </w:rPr>
            </w:pPr>
            <w:r>
              <w:rPr>
                <w:rFonts w:ascii="Arial" w:cs="Arial" w:eastAsia="Arial" w:hAnsi="Arial"/>
                <w:sz w:val="10"/>
                <w:szCs w:val="10"/>
                <w:color w:val="auto"/>
              </w:rPr>
              <w:t>LAV Gear Holdings, Inc.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10/31/2024</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Entertainment</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10.55 %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2,102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2,083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2,072</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(PIK 5.50%)</w:t>
            </w: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rPr>
                <w:sz w:val="20"/>
                <w:szCs w:val="20"/>
                <w:color w:val="auto"/>
              </w:rPr>
            </w:pPr>
            <w:r>
              <w:rPr>
                <w:rFonts w:ascii="Arial" w:cs="Arial" w:eastAsia="Arial" w:hAnsi="Arial"/>
                <w:sz w:val="10"/>
                <w:szCs w:val="10"/>
                <w:color w:val="auto"/>
              </w:rPr>
              <w:t>LAV Gear Holdings, Inc. - Unfunded Term Loan</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10/31/2024</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Entertainment</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Ledge Lounger, Inc.</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11/09/2026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9,131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8,992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8,949</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Ledge Lounger, Inc. (Revolver)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11/09/2026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11.15 %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966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947</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Ledge Lounger,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11/09/2026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Lightspeed Buyer Inc.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02/03/2026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10.34 %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2,196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2,154</w:t>
            </w:r>
          </w:p>
        </w:tc>
        <w:tc>
          <w:tcPr>
            <w:tcW w:w="0" w:type="dxa"/>
            <w:vAlign w:val="bottom"/>
          </w:tcPr>
          <w:p>
            <w:pPr>
              <w:spacing w:after="0"/>
              <w:rPr>
                <w:sz w:val="1"/>
                <w:szCs w:val="1"/>
                <w:color w:val="auto"/>
              </w:rPr>
            </w:pPr>
          </w:p>
        </w:tc>
      </w:tr>
      <w:tr>
        <w:trPr>
          <w:trHeight w:val="18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Lightspeed Buyer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02/03/2026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1,166</w:t>
            </w:r>
          </w:p>
        </w:tc>
        <w:tc>
          <w:tcPr>
            <w:tcW w:w="260" w:type="dxa"/>
            <w:vAlign w:val="bottom"/>
            <w:shd w:val="clear" w:color="auto" w:fill="CCECFF"/>
          </w:tcPr>
          <w:p>
            <w:pPr>
              <w:spacing w:after="0"/>
              <w:rPr>
                <w:sz w:val="16"/>
                <w:szCs w:val="16"/>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Limerick Town Cener, LLC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09/27/2023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Real Estate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12.50 %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2,985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2,994</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LJ Avalon Holdings, LLC - Unfunded Term Loan</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07/31/2024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Environmental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LJ Avalon Holdings, LLC (Revolver)</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01/31/2030</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587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LSF9 Atlantis Holdings, LLC</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03/31/2029</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Retail</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SOFR+725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5,641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5,684</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Mars Acquisition Holdings Corp.</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05/14/2026</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10.55 %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4,901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4,814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4,852</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Mars Acquisition Holdings Corp. (Revolver)</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05/14/2026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1,209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color w:val="auto"/>
              </w:rPr>
              <w:t xml:space="preserve">MBS Holdings, Inc. (Revolver) </w:t>
            </w:r>
            <w:r>
              <w:rPr>
                <w:rFonts w:ascii="Arial" w:cs="Arial" w:eastAsia="Arial" w:hAnsi="Arial"/>
                <w:sz w:val="12"/>
                <w:szCs w:val="12"/>
                <w:color w:val="auto"/>
                <w:vertAlign w:val="superscript"/>
              </w:rPr>
              <w:t>(7)</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04/16/2027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694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Buyer, Inc.</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07/25/2028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20,236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19,911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19,785</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MDI Buyer, Inc. (Revolver)</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07/25/2028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10.30 %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668</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MDI Buyer,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07/25/2028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Meadowlark Acquirer, LLC</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12/10/2027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10.41 %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1,929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1,927</w:t>
            </w: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Meadowlark Acquirer, LLC Term Loan I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840" w:type="dxa"/>
            <w:vAlign w:val="bottom"/>
            <w:vMerge w:val="restart"/>
          </w:tcPr>
          <w:p>
            <w:pPr>
              <w:ind w:left="20"/>
              <w:spacing w:after="0"/>
              <w:rPr>
                <w:sz w:val="20"/>
                <w:szCs w:val="20"/>
                <w:color w:val="auto"/>
              </w:rPr>
            </w:pPr>
            <w:r>
              <w:rPr>
                <w:rFonts w:ascii="Arial" w:cs="Arial" w:eastAsia="Arial" w:hAnsi="Arial"/>
                <w:sz w:val="10"/>
                <w:szCs w:val="10"/>
                <w:color w:val="auto"/>
              </w:rPr>
              <w:t xml:space="preserve">Meadowlark Acquirer, LLC Term Loan II </w:t>
            </w:r>
            <w:r>
              <w:rPr>
                <w:rFonts w:ascii="Arial" w:cs="Arial" w:eastAsia="Arial" w:hAnsi="Arial"/>
                <w:sz w:val="12"/>
                <w:szCs w:val="12"/>
                <w:color w:val="auto"/>
                <w:vertAlign w:val="superscript"/>
              </w:rPr>
              <w:t>(7)</w:t>
            </w:r>
          </w:p>
        </w:tc>
        <w:tc>
          <w:tcPr>
            <w:tcW w:w="980" w:type="dxa"/>
            <w:vAlign w:val="bottom"/>
            <w:vMerge w:val="restart"/>
          </w:tcPr>
          <w:p>
            <w:pPr>
              <w:jc w:val="center"/>
              <w:ind w:left="132"/>
              <w:spacing w:after="0"/>
              <w:rPr>
                <w:sz w:val="20"/>
                <w:szCs w:val="20"/>
                <w:color w:val="auto"/>
              </w:rPr>
            </w:pPr>
            <w:r>
              <w:rPr>
                <w:rFonts w:ascii="Arial" w:cs="Arial" w:eastAsia="Arial" w:hAnsi="Arial"/>
                <w:sz w:val="10"/>
                <w:szCs w:val="10"/>
                <w:color w:val="auto"/>
                <w:w w:val="95"/>
              </w:rPr>
              <w:t>12/10/2027</w:t>
            </w: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8,922</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Meadowlark Acquirer,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132"/>
              <w:spacing w:after="0"/>
              <w:rPr>
                <w:sz w:val="20"/>
                <w:szCs w:val="20"/>
                <w:color w:val="auto"/>
              </w:rPr>
            </w:pPr>
            <w:r>
              <w:rPr>
                <w:rFonts w:ascii="Arial" w:cs="Arial" w:eastAsia="Arial" w:hAnsi="Arial"/>
                <w:sz w:val="10"/>
                <w:szCs w:val="10"/>
                <w:color w:val="auto"/>
                <w:w w:val="95"/>
              </w:rPr>
              <w:t>12/10/2027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(17 )</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940" w:type="dxa"/>
            <w:vAlign w:val="bottom"/>
          </w:tcPr>
          <w:p>
            <w:pPr>
              <w:spacing w:after="0"/>
              <w:rPr>
                <w:sz w:val="10"/>
                <w:szCs w:val="10"/>
                <w:color w:val="auto"/>
              </w:rPr>
            </w:pPr>
          </w:p>
        </w:tc>
        <w:tc>
          <w:tcPr>
            <w:tcW w:w="900" w:type="dxa"/>
            <w:vAlign w:val="bottom"/>
          </w:tcPr>
          <w:p>
            <w:pPr>
              <w:jc w:val="center"/>
              <w:ind w:left="32"/>
              <w:spacing w:after="0"/>
              <w:rPr>
                <w:sz w:val="20"/>
                <w:szCs w:val="20"/>
                <w:color w:val="auto"/>
              </w:rPr>
            </w:pPr>
            <w:r>
              <w:rPr>
                <w:rFonts w:ascii="Arial" w:cs="Arial" w:eastAsia="Arial" w:hAnsi="Arial"/>
                <w:sz w:val="10"/>
                <w:szCs w:val="10"/>
                <w:b w:val="1"/>
                <w:bCs w:val="1"/>
                <w:color w:val="auto"/>
                <w:w w:val="94"/>
              </w:rPr>
              <w:t>Maturity /</w:t>
            </w:r>
          </w:p>
        </w:tc>
        <w:tc>
          <w:tcPr>
            <w:tcW w:w="1960" w:type="dxa"/>
            <w:vAlign w:val="bottom"/>
          </w:tcPr>
          <w:p>
            <w:pPr>
              <w:spacing w:after="0"/>
              <w:rPr>
                <w:sz w:val="10"/>
                <w:szCs w:val="10"/>
                <w:color w:val="auto"/>
              </w:rPr>
            </w:pPr>
          </w:p>
        </w:tc>
        <w:tc>
          <w:tcPr>
            <w:tcW w:w="98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Spread Above</w:t>
            </w:r>
          </w:p>
        </w:tc>
        <w:tc>
          <w:tcPr>
            <w:tcW w:w="88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00" w:type="dxa"/>
            <w:vAlign w:val="bottom"/>
          </w:tcPr>
          <w:p>
            <w:pPr>
              <w:jc w:val="center"/>
              <w:ind w:left="32"/>
              <w:spacing w:after="0"/>
              <w:rPr>
                <w:sz w:val="20"/>
                <w:szCs w:val="20"/>
                <w:color w:val="auto"/>
              </w:rPr>
            </w:pPr>
            <w:r>
              <w:rPr>
                <w:rFonts w:ascii="Arial" w:cs="Arial" w:eastAsia="Arial" w:hAnsi="Arial"/>
                <w:sz w:val="10"/>
                <w:szCs w:val="10"/>
                <w:b w:val="1"/>
                <w:bCs w:val="1"/>
                <w:color w:val="auto"/>
                <w:w w:val="93"/>
              </w:rPr>
              <w:t>Expiration</w:t>
            </w:r>
          </w:p>
        </w:tc>
        <w:tc>
          <w:tcPr>
            <w:tcW w:w="19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3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09/28/2027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1,862</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1,845</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1,784</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09/28/2027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 - Unfunded Term Loan A</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06/16/2023</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Municipal Emergency Services, Inc. - Unfunded Term Loan B</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12/16/2024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2,510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(105 )</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09/28/2027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1,128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1,081</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09/28/2027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(32 )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NBH Group LLC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08/19/2026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Neptune Flood Incorporated</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10/14/2026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Financial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10.82 %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3,117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3,099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3,117</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One Stop Mailing,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05/07/2027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Cargo Transport</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6,972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6,763</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ORL Acquisition, Inc.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09/03/2027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10.41 %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4,431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4,362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4,387</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ORL Acquisition, Inc.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09/03/2027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Ox Two,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05/18/2026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Building Materials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12.41 %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L+725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15,313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15,138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14,853</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Ox Two, LLC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05/18/2026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Building Materials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(73 )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Pequod Merger Sub, Inc. - Term Loan</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12/02/2026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Financial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11.32 %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L+640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11,532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11,301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11,301</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Pequod Merger Sub, Inc. - Unfunded Term Loan</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12/02/2026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Financial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2,847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Pequod Merger Sub, Inc.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12/02/2026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Financial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PL Acquisitionco, LLC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11/09/2027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Retail</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3,236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(146 )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Pragmatic Institute,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07/06/2028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10.64 %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35,163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34,685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34,636</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Pragmatic Institute, LLC Term Loan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07/06/2028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7,193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(36 )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Pragmatic Institute, LL (Revolver)</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07/06/2028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10.64 %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959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945</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Pragmatic Institute, LL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07/06/2028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3,836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(58 )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11/19/2026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11.21 %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1,487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1,476</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Quantic Electronics, LLC - Unfunded Term Loan</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11/19/2026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584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(3 )</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11/19/2026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11.21 %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423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423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416</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Quantic Electronics, LLC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11/19/2026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Questex,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09/09/2024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8.98 %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21,488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21,365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21,273</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Questex, LLC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09/09/2024</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3,590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(36 )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Radius Aerospace, Inc.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03/31/2025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364</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Radius Aerospace, Inc.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03/31/2025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1,856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(37 )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Rancho Health MSO, Inc.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12/18/2025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10.48 %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289</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Rancho Health MSO, Inc. - Unfunded Term Loan</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12/18/2025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Rancho Health MSO, Inc.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12/18/2025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02/28/2028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10.83 %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SOFR+600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5,940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5,861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5,665</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01/29/2026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11.41 %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180</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Recteq, LLC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01/29/2026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939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(38 )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Research Now Group, Inc. and Dynata,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12/20/2024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10.31 %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Riverpoint Medical, LLC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06/20/2025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Riverside Assessments,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03/10/2025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Education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12,773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12,581</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Sales Benchmark Index LLC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01/03/2025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Sargent &amp; Greenleaf Inc.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12/20/2024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12.26 %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L+450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453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445</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Sargent &amp; Greenleaf Inc.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12/20/2024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154</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07/14/2025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11.41 %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4,622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4,562</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Schlesinger Global, Inc. (Revolver)</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07/14/2025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11.41 %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30</w:t>
            </w:r>
          </w:p>
        </w:tc>
      </w:tr>
      <w:tr>
        <w:trPr>
          <w:trHeight w:val="148"/>
        </w:trPr>
        <w:tc>
          <w:tcPr>
            <w:tcW w:w="29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(PIK 0.5%)</w:t>
            </w: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Schlesinger Global, Inc. (Revolver)</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07/14/2025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Buyer,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06/13/2029</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4,776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4,657</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Seaway Buyer, LLC (Revolver)</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06/13/2029</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3,126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(78 )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Shiftkey,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06/21/2027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17,865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17,710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17,472</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Sigma Defense Systems,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12/18/2025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13.66 %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L+850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31,273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30,655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30,725</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Sigma Defense Systems, LLC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12/18/2025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13.66 %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L+850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2,232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2,232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2,193</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Sigma Defense Systems, LLC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12/18/2025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Signature Systems Holding Company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05/03/2024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Solutionreach, Inc.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01/17/2024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Communications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1,665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(80 )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03/01/2028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L+565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9,656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9,542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9,386</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Spendmend Holdings LLC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03/01/2028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2,784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(57 )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 - Funded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03/01/2028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L+565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561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545</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Spendmend Holdings LLC - Unfunded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03/01/2028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841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(24 )</w:t>
            </w:r>
          </w:p>
        </w:tc>
      </w:tr>
      <w:tr>
        <w:trPr>
          <w:trHeight w:val="135"/>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System Planning and Analysis, Inc. - (Revolver)</w:t>
            </w:r>
          </w:p>
        </w:tc>
        <w:tc>
          <w:tcPr>
            <w:tcW w:w="90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29"/>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(f/k/a Management Consulting &amp; Research,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08/16/2027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L+590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836</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836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823</w:t>
            </w:r>
          </w:p>
        </w:tc>
      </w:tr>
      <w:tr>
        <w:trPr>
          <w:trHeight w:val="135"/>
        </w:trPr>
        <w:tc>
          <w:tcPr>
            <w:tcW w:w="294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System Planning and Analysis, Inc. - (Revolver) </w:t>
            </w:r>
            <w:r>
              <w:rPr>
                <w:rFonts w:ascii="Arial" w:cs="Arial" w:eastAsia="Arial" w:hAnsi="Arial"/>
                <w:sz w:val="12"/>
                <w:szCs w:val="12"/>
                <w:color w:val="auto"/>
                <w:vertAlign w:val="superscript"/>
              </w:rPr>
              <w:t>(7)</w:t>
            </w:r>
          </w:p>
        </w:tc>
        <w:tc>
          <w:tcPr>
            <w:tcW w:w="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5"/>
        </w:trPr>
        <w:tc>
          <w:tcPr>
            <w:tcW w:w="2940" w:type="dxa"/>
            <w:vAlign w:val="bottom"/>
          </w:tcPr>
          <w:p>
            <w:pPr>
              <w:ind w:left="20"/>
              <w:spacing w:after="0"/>
              <w:rPr>
                <w:sz w:val="20"/>
                <w:szCs w:val="20"/>
                <w:color w:val="auto"/>
              </w:rPr>
            </w:pPr>
            <w:r>
              <w:rPr>
                <w:rFonts w:ascii="Arial" w:cs="Arial" w:eastAsia="Arial" w:hAnsi="Arial"/>
                <w:sz w:val="10"/>
                <w:szCs w:val="10"/>
                <w:color w:val="auto"/>
              </w:rPr>
              <w:t>(f/k/a Management Consulting &amp; Research,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08/16/2027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2,089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(31 )</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Aegis Technologies Group,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10/31/2025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11.55 %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1,104</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The Bluebird Group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07/27/2026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12.15 %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L+725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4,835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4,757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4,767</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The Bluebird Group LLC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07/27/2026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The Vertex Companies,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08/30/2027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9.96 %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1,729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1,709</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The Vertex Companies, LLC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08/30/2027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The Vertex Companies, LLC (Revolver)</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08/30/2027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10.01 %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192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188</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The Vertex Companies, LLC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08/30/2027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TVC Enterprises, LLC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03/26/2026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10.59 %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12,597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12,365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12,408</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TVC Enterprises, LLC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03/26/2026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Transportation</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1,370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(21 )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TWS Acquisition Corporation</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06/16/2025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Education</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11.39 %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1,143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1,143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1,143</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TWS Acquisition Corporation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06/16/2025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Education</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Tyto Athene, LLC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04/01/2026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(34 )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Unique Indoor Comfort,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05/24/2027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10.30 %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36,648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36,266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36,428</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Unique Indoor Comfort, LLC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05/24/2027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6,540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26</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Unique Indoor Comfort, LLC (Revolver) </w:t>
            </w:r>
            <w:r>
              <w:rPr>
                <w:rFonts w:ascii="Arial" w:cs="Arial" w:eastAsia="Arial" w:hAnsi="Arial"/>
                <w:sz w:val="12"/>
                <w:szCs w:val="12"/>
                <w:color w:val="auto"/>
                <w:vertAlign w:val="superscript"/>
              </w:rPr>
              <w:t>(7)</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05/24/2027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(18 )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Urology Management Holdings, Inc.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06/15/2026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11.36 %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3,879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3,805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3,763</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Urology Management Holdings, Inc. - Unfunded Term Loan</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02/01/2024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7,222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(216 )</w:t>
            </w:r>
          </w:p>
        </w:tc>
      </w:tr>
      <w:tr>
        <w:trPr>
          <w:trHeight w:val="140"/>
        </w:trPr>
        <w:tc>
          <w:tcPr>
            <w:tcW w:w="294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02/27/2026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10.80 %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3,815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3,764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3,720</w:t>
            </w:r>
          </w:p>
        </w:tc>
      </w:tr>
      <w:tr>
        <w:trPr>
          <w:trHeight w:val="148"/>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Wildcat Buyerco, Inc. (Revolver)</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02/27/2026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11.46 %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L+585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172</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color w:val="auto"/>
              </w:rPr>
              <w:t xml:space="preserve">Wildcat Buyerco, Inc. (Revolver) </w:t>
            </w:r>
            <w:r>
              <w:rPr>
                <w:rFonts w:ascii="Arial" w:cs="Arial" w:eastAsia="Arial" w:hAnsi="Arial"/>
                <w:sz w:val="12"/>
                <w:szCs w:val="12"/>
                <w:color w:val="auto"/>
                <w:vertAlign w:val="superscript"/>
              </w:rPr>
              <w:t>(7)</w:t>
            </w:r>
          </w:p>
        </w:tc>
        <w:tc>
          <w:tcPr>
            <w:tcW w:w="900" w:type="dxa"/>
            <w:vAlign w:val="bottom"/>
          </w:tcPr>
          <w:p>
            <w:pPr>
              <w:jc w:val="center"/>
              <w:ind w:left="12"/>
              <w:spacing w:after="0"/>
              <w:rPr>
                <w:sz w:val="20"/>
                <w:szCs w:val="20"/>
                <w:color w:val="auto"/>
              </w:rPr>
            </w:pPr>
            <w:r>
              <w:rPr>
                <w:rFonts w:ascii="Arial" w:cs="Arial" w:eastAsia="Arial" w:hAnsi="Arial"/>
                <w:sz w:val="10"/>
                <w:szCs w:val="10"/>
                <w:color w:val="auto"/>
                <w:w w:val="95"/>
              </w:rPr>
              <w:t>02/27/2026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398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(10 )</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900" w:type="dxa"/>
            <w:vAlign w:val="bottom"/>
            <w:shd w:val="clear" w:color="auto" w:fill="CCECFF"/>
          </w:tcPr>
          <w:p>
            <w:pPr>
              <w:jc w:val="center"/>
              <w:ind w:left="12"/>
              <w:spacing w:after="0"/>
              <w:rPr>
                <w:sz w:val="20"/>
                <w:szCs w:val="20"/>
                <w:color w:val="auto"/>
              </w:rPr>
            </w:pPr>
            <w:r>
              <w:rPr>
                <w:rFonts w:ascii="Arial" w:cs="Arial" w:eastAsia="Arial" w:hAnsi="Arial"/>
                <w:sz w:val="10"/>
                <w:szCs w:val="10"/>
                <w:color w:val="auto"/>
                <w:w w:val="95"/>
              </w:rPr>
              <w:t>03/01/2024</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Auto Sector</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2,596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2,552</w:t>
            </w:r>
          </w:p>
        </w:tc>
      </w:tr>
      <w:tr>
        <w:trPr>
          <w:trHeight w:val="144"/>
        </w:trPr>
        <w:tc>
          <w:tcPr>
            <w:tcW w:w="2940" w:type="dxa"/>
            <w:vAlign w:val="bottom"/>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601,494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589,649</w:t>
            </w:r>
          </w:p>
        </w:tc>
      </w:tr>
      <w:tr>
        <w:trPr>
          <w:trHeight w:val="144"/>
        </w:trPr>
        <w:tc>
          <w:tcPr>
            <w:tcW w:w="29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Second Lien Secured Debt—22.4% of Net Assets</w:t>
            </w:r>
          </w:p>
        </w:tc>
        <w:tc>
          <w:tcPr>
            <w:tcW w:w="9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(Unaudited)—(Continued)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980" w:type="dxa"/>
            <w:vAlign w:val="bottom"/>
          </w:tcPr>
          <w:p>
            <w:pPr>
              <w:spacing w:after="0"/>
              <w:rPr>
                <w:sz w:val="10"/>
                <w:szCs w:val="10"/>
                <w:color w:val="auto"/>
              </w:rPr>
            </w:pPr>
          </w:p>
        </w:tc>
        <w:tc>
          <w:tcPr>
            <w:tcW w:w="840" w:type="dxa"/>
            <w:vAlign w:val="bottom"/>
          </w:tcPr>
          <w:p>
            <w:pPr>
              <w:ind w:left="140"/>
              <w:spacing w:after="0"/>
              <w:rPr>
                <w:sz w:val="20"/>
                <w:szCs w:val="20"/>
                <w:color w:val="auto"/>
              </w:rPr>
            </w:pPr>
            <w:r>
              <w:rPr>
                <w:rFonts w:ascii="Arial" w:cs="Arial" w:eastAsia="Arial" w:hAnsi="Arial"/>
                <w:sz w:val="10"/>
                <w:szCs w:val="10"/>
                <w:b w:val="1"/>
                <w:bCs w:val="1"/>
                <w:color w:val="auto"/>
              </w:rPr>
              <w:t>Maturity /</w:t>
            </w:r>
          </w:p>
        </w:tc>
        <w:tc>
          <w:tcPr>
            <w:tcW w:w="2000" w:type="dxa"/>
            <w:vAlign w:val="bottom"/>
          </w:tcPr>
          <w:p>
            <w:pPr>
              <w:spacing w:after="0"/>
              <w:rPr>
                <w:sz w:val="10"/>
                <w:szCs w:val="10"/>
                <w:color w:val="auto"/>
              </w:rPr>
            </w:pPr>
          </w:p>
        </w:tc>
        <w:tc>
          <w:tcPr>
            <w:tcW w:w="96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Spread Above</w:t>
            </w:r>
          </w:p>
        </w:tc>
        <w:tc>
          <w:tcPr>
            <w:tcW w:w="88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40" w:type="dxa"/>
            <w:vAlign w:val="bottom"/>
          </w:tcPr>
          <w:p>
            <w:pPr>
              <w:ind w:left="120"/>
              <w:spacing w:after="0"/>
              <w:rPr>
                <w:sz w:val="20"/>
                <w:szCs w:val="20"/>
                <w:color w:val="auto"/>
              </w:rPr>
            </w:pPr>
            <w:r>
              <w:rPr>
                <w:rFonts w:ascii="Arial" w:cs="Arial" w:eastAsia="Arial" w:hAnsi="Arial"/>
                <w:sz w:val="10"/>
                <w:szCs w:val="10"/>
                <w:b w:val="1"/>
                <w:bCs w:val="1"/>
                <w:color w:val="auto"/>
              </w:rPr>
              <w:t>Expiration</w:t>
            </w: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6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3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Ascensus Holdings, Inc.</w:t>
            </w:r>
          </w:p>
        </w:tc>
        <w:tc>
          <w:tcPr>
            <w:tcW w:w="84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08/02/2028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Financial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3,000</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2,698</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2,680</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Atlas Purchaser, Inc</w:t>
            </w:r>
          </w:p>
        </w:tc>
        <w:tc>
          <w:tcPr>
            <w:tcW w:w="840" w:type="dxa"/>
            <w:vAlign w:val="bottom"/>
          </w:tcPr>
          <w:p>
            <w:pPr>
              <w:ind w:left="120"/>
              <w:spacing w:after="0"/>
              <w:rPr>
                <w:sz w:val="20"/>
                <w:szCs w:val="20"/>
                <w:color w:val="auto"/>
              </w:rPr>
            </w:pPr>
            <w:r>
              <w:rPr>
                <w:rFonts w:ascii="Arial" w:cs="Arial" w:eastAsia="Arial" w:hAnsi="Arial"/>
                <w:sz w:val="10"/>
                <w:szCs w:val="10"/>
                <w:color w:val="auto"/>
              </w:rPr>
              <w:t>05/07/2029</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14.20 %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L+900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16,575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13,532</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Best Practice Associates LLC</w:t>
            </w:r>
          </w:p>
        </w:tc>
        <w:tc>
          <w:tcPr>
            <w:tcW w:w="84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06/29/2027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L+900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17,825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17,532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17,290</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Burgess Point Purchaser Corporation</w:t>
            </w:r>
          </w:p>
        </w:tc>
        <w:tc>
          <w:tcPr>
            <w:tcW w:w="840" w:type="dxa"/>
            <w:vAlign w:val="bottom"/>
          </w:tcPr>
          <w:p>
            <w:pPr>
              <w:ind w:left="120"/>
              <w:spacing w:after="0"/>
              <w:rPr>
                <w:sz w:val="20"/>
                <w:szCs w:val="20"/>
                <w:color w:val="auto"/>
              </w:rPr>
            </w:pPr>
            <w:r>
              <w:rPr>
                <w:rFonts w:ascii="Arial" w:cs="Arial" w:eastAsia="Arial" w:hAnsi="Arial"/>
                <w:sz w:val="10"/>
                <w:szCs w:val="10"/>
                <w:color w:val="auto"/>
              </w:rPr>
              <w:t>07/28/2030</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13.91 %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L+900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7,967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7,760</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ENC Parent Corporation</w:t>
            </w:r>
          </w:p>
        </w:tc>
        <w:tc>
          <w:tcPr>
            <w:tcW w:w="84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08/19/2029</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6,975</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Halo Buyer, Inc.</w:t>
            </w:r>
          </w:p>
        </w:tc>
        <w:tc>
          <w:tcPr>
            <w:tcW w:w="840" w:type="dxa"/>
            <w:vAlign w:val="bottom"/>
          </w:tcPr>
          <w:p>
            <w:pPr>
              <w:ind w:left="120"/>
              <w:spacing w:after="0"/>
              <w:rPr>
                <w:sz w:val="20"/>
                <w:szCs w:val="20"/>
                <w:color w:val="auto"/>
              </w:rPr>
            </w:pPr>
            <w:r>
              <w:rPr>
                <w:rFonts w:ascii="Arial" w:cs="Arial" w:eastAsia="Arial" w:hAnsi="Arial"/>
                <w:sz w:val="10"/>
                <w:szCs w:val="10"/>
                <w:color w:val="auto"/>
              </w:rPr>
              <w:t>07/06/2026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13.16 %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L+825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32,500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32,197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31,769</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Inventus Power, Inc.</w:t>
            </w:r>
          </w:p>
        </w:tc>
        <w:tc>
          <w:tcPr>
            <w:tcW w:w="84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09/29/2024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13.23 %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L+850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16,593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16,436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16,427</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QuantiTech LLC</w:t>
            </w:r>
          </w:p>
        </w:tc>
        <w:tc>
          <w:tcPr>
            <w:tcW w:w="840" w:type="dxa"/>
            <w:vAlign w:val="bottom"/>
          </w:tcPr>
          <w:p>
            <w:pPr>
              <w:ind w:left="120"/>
              <w:spacing w:after="0"/>
              <w:rPr>
                <w:sz w:val="20"/>
                <w:szCs w:val="20"/>
                <w:color w:val="auto"/>
              </w:rPr>
            </w:pPr>
            <w:r>
              <w:rPr>
                <w:rFonts w:ascii="Arial" w:cs="Arial" w:eastAsia="Arial" w:hAnsi="Arial"/>
                <w:sz w:val="10"/>
                <w:szCs w:val="10"/>
                <w:color w:val="auto"/>
              </w:rPr>
              <w:t>02/04/2027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14.71 %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L+1,000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149</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VT Topco, Inc.</w:t>
            </w:r>
          </w:p>
        </w:tc>
        <w:tc>
          <w:tcPr>
            <w:tcW w:w="84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08/17/2026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11.59 %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14,938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14,700</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115,927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111,282</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Subordinated Debt/Corporate Notes—10.6% of Net Assets</w:t>
            </w:r>
          </w:p>
        </w:tc>
        <w:tc>
          <w:tcPr>
            <w:tcW w:w="84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Express Wash Acquisition Company, LLC</w:t>
            </w:r>
          </w:p>
        </w:tc>
        <w:tc>
          <w:tcPr>
            <w:tcW w:w="840" w:type="dxa"/>
            <w:vAlign w:val="bottom"/>
          </w:tcPr>
          <w:p>
            <w:pPr>
              <w:ind w:left="120"/>
              <w:spacing w:after="0"/>
              <w:rPr>
                <w:sz w:val="20"/>
                <w:szCs w:val="20"/>
                <w:color w:val="auto"/>
              </w:rPr>
            </w:pPr>
            <w:r>
              <w:rPr>
                <w:rFonts w:ascii="Arial" w:cs="Arial" w:eastAsia="Arial" w:hAnsi="Arial"/>
                <w:sz w:val="10"/>
                <w:szCs w:val="10"/>
                <w:color w:val="auto"/>
              </w:rPr>
              <w:t>01/15/2029</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16.66 %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L+1,150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21,000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20,314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19,572</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Flock Financial, LLC</w:t>
            </w:r>
          </w:p>
        </w:tc>
        <w:tc>
          <w:tcPr>
            <w:tcW w:w="84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05/26/2027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Financial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33,256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32,980</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Subordinated Debt/Corporate Notes</w:t>
            </w: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53,570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52,552</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 xml:space="preserve">Preferred Equity/Partnership Interests—2.5% of Net Assets </w:t>
            </w:r>
            <w:r>
              <w:rPr>
                <w:rFonts w:ascii="Arial" w:cs="Arial" w:eastAsia="Arial" w:hAnsi="Arial"/>
                <w:sz w:val="12"/>
                <w:szCs w:val="12"/>
                <w:b w:val="1"/>
                <w:bCs w:val="1"/>
                <w:color w:val="auto"/>
                <w:vertAlign w:val="superscript"/>
              </w:rPr>
              <w:t>(6)</w:t>
            </w:r>
          </w:p>
        </w:tc>
        <w:tc>
          <w:tcPr>
            <w:tcW w:w="84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2,400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276</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AH Newco Equityholdings, LLC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1,967</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1,470</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3,562,500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4,406</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Imagine Topco, LP</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8.00 %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743,826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702</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Mars Intermediate Holdings II, Inc </w:t>
            </w:r>
            <w:r>
              <w:rPr>
                <w:rFonts w:ascii="Arial" w:cs="Arial" w:eastAsia="Arial" w:hAnsi="Arial"/>
                <w:sz w:val="12"/>
                <w:szCs w:val="12"/>
                <w:color w:val="auto"/>
                <w:vertAlign w:val="superscript"/>
              </w:rPr>
              <w:t>(9)</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414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498</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NXOF Holdings, Inc. (Tyto Athene, LLC)</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148</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ORL Holdco, Inc.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65</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Signature CR Intermediate Holdco, Inc.</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12.00 %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1,527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1,527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2,347</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(8),(11)</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Food</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305</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TWD Parent Holdings, LLC</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w:t>
            </w:r>
          </w:p>
        </w:tc>
      </w:tr>
      <w:tr>
        <w:trPr>
          <w:trHeight w:val="148"/>
        </w:trPr>
        <w:tc>
          <w:tcPr>
            <w:tcW w:w="2980" w:type="dxa"/>
            <w:vAlign w:val="bottom"/>
            <w:shd w:val="clear" w:color="auto" w:fill="CCECFF"/>
          </w:tcPr>
          <w:p>
            <w:pPr>
              <w:ind w:left="80"/>
              <w:spacing w:after="0"/>
              <w:rPr>
                <w:sz w:val="20"/>
                <w:szCs w:val="20"/>
                <w:color w:val="auto"/>
              </w:rPr>
            </w:pPr>
            <w:r>
              <w:rPr>
                <w:rFonts w:ascii="Arial" w:cs="Arial" w:eastAsia="Arial" w:hAnsi="Arial"/>
                <w:sz w:val="10"/>
                <w:szCs w:val="10"/>
                <w:color w:val="auto"/>
              </w:rPr>
              <w:t>(The Vertex Companies, LLC)</w:t>
            </w:r>
          </w:p>
        </w:tc>
        <w:tc>
          <w:tcPr>
            <w:tcW w:w="84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Preferred Equity/Partnership Interests</w:t>
            </w: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8,590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12,219</w:t>
            </w:r>
          </w:p>
        </w:tc>
      </w:tr>
      <w:tr>
        <w:trPr>
          <w:trHeight w:val="129"/>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w w:val="99"/>
              </w:rPr>
              <w:t>Common Equity/Partnership Interests/Warrants—23.0% of Net</w:t>
            </w:r>
          </w:p>
        </w:tc>
        <w:tc>
          <w:tcPr>
            <w:tcW w:w="84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Arial" w:cs="Arial" w:eastAsia="Arial" w:hAnsi="Arial"/>
                <w:sz w:val="10"/>
                <w:szCs w:val="10"/>
                <w:b w:val="1"/>
                <w:bCs w:val="1"/>
                <w:color w:val="auto"/>
              </w:rPr>
              <w:t xml:space="preserve">Assets </w:t>
            </w:r>
            <w:r>
              <w:rPr>
                <w:rFonts w:ascii="Arial" w:cs="Arial" w:eastAsia="Arial" w:hAnsi="Arial"/>
                <w:sz w:val="12"/>
                <w:szCs w:val="12"/>
                <w:b w:val="1"/>
                <w:bCs w:val="1"/>
                <w:color w:val="auto"/>
                <w:vertAlign w:val="superscript"/>
              </w:rPr>
              <w:t>(6)</w:t>
            </w:r>
          </w:p>
        </w:tc>
        <w:tc>
          <w:tcPr>
            <w:tcW w:w="84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color w:val="auto"/>
              </w:rPr>
              <w:t>A1 Garage Equity, LLC</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2,193</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5"/>
        </w:trPr>
        <w:tc>
          <w:tcPr>
            <w:tcW w:w="2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60" w:type="dxa"/>
            <w:vAlign w:val="bottom"/>
          </w:tcPr>
          <w:p>
            <w:pPr>
              <w:spacing w:after="0"/>
              <w:rPr>
                <w:sz w:val="10"/>
                <w:szCs w:val="10"/>
                <w:color w:val="auto"/>
              </w:rPr>
            </w:pP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2,193,038</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2,193</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(9)</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Affinion Group Holdings, Inc. (Warrants)</w:t>
            </w:r>
          </w:p>
        </w:tc>
        <w:tc>
          <w:tcPr>
            <w:tcW w:w="840" w:type="dxa"/>
            <w:vAlign w:val="bottom"/>
          </w:tcPr>
          <w:p>
            <w:pPr>
              <w:ind w:left="120"/>
              <w:spacing w:after="0"/>
              <w:rPr>
                <w:sz w:val="20"/>
                <w:szCs w:val="20"/>
                <w:color w:val="auto"/>
              </w:rPr>
            </w:pPr>
            <w:r>
              <w:rPr>
                <w:rFonts w:ascii="Arial" w:cs="Arial" w:eastAsia="Arial" w:hAnsi="Arial"/>
                <w:sz w:val="10"/>
                <w:szCs w:val="10"/>
                <w:color w:val="auto"/>
              </w:rPr>
              <w:t>04/10/2024</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77,190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(9)</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805,164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1,206</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(7), (9)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194,836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Altamira Intermediate Company II, Inc.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AMCSI Crash Co-Invest, LP</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2,489,777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2,490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3,215</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AMCSI Crash Co-Invest, LP </w:t>
            </w:r>
            <w:r>
              <w:rPr>
                <w:rFonts w:ascii="Arial" w:cs="Arial" w:eastAsia="Arial" w:hAnsi="Arial"/>
                <w:sz w:val="12"/>
                <w:szCs w:val="12"/>
                <w:color w:val="auto"/>
                <w:vertAlign w:val="superscript"/>
              </w:rPr>
              <w:t>(7)</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510,223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94</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Athletico Holdings, LLC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9,357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7,566</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Atlas Investment Aggregator, LLC </w:t>
            </w:r>
            <w:r>
              <w:rPr>
                <w:rFonts w:ascii="Arial" w:cs="Arial" w:eastAsia="Arial" w:hAnsi="Arial"/>
                <w:sz w:val="12"/>
                <w:szCs w:val="12"/>
                <w:color w:val="auto"/>
                <w:vertAlign w:val="superscript"/>
              </w:rPr>
              <w:t>(9)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1,700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722</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BioDerm, Inc.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1,312</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Burgess Point Holdings, LP</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717</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Connatix Parent, LLC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57,416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491</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Cowboy Parent LLC</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27,778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3,015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4,559</w:t>
            </w:r>
          </w:p>
        </w:tc>
      </w:tr>
      <w:tr>
        <w:trPr>
          <w:trHeight w:val="148"/>
        </w:trPr>
        <w:tc>
          <w:tcPr>
            <w:tcW w:w="2980" w:type="dxa"/>
            <w:vAlign w:val="bottom"/>
            <w:shd w:val="clear" w:color="auto" w:fill="CCECFF"/>
          </w:tcPr>
          <w:p>
            <w:pPr>
              <w:ind w:left="80"/>
              <w:spacing w:after="0"/>
              <w:rPr>
                <w:sz w:val="20"/>
                <w:szCs w:val="20"/>
                <w:color w:val="auto"/>
              </w:rPr>
            </w:pPr>
            <w:r>
              <w:rPr>
                <w:rFonts w:ascii="Arial" w:cs="Arial" w:eastAsia="Arial" w:hAnsi="Arial"/>
                <w:sz w:val="10"/>
                <w:szCs w:val="10"/>
                <w:color w:val="auto"/>
              </w:rPr>
              <w:t>(Blackhawk Industrial Distribution, Inc.)</w:t>
            </w:r>
          </w:p>
        </w:tc>
        <w:tc>
          <w:tcPr>
            <w:tcW w:w="84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35"/>
        </w:trPr>
        <w:tc>
          <w:tcPr>
            <w:tcW w:w="2980" w:type="dxa"/>
            <w:vAlign w:val="bottom"/>
          </w:tcPr>
          <w:p>
            <w:pPr>
              <w:spacing w:after="0"/>
              <w:rPr>
                <w:sz w:val="11"/>
                <w:szCs w:val="11"/>
                <w:color w:val="auto"/>
              </w:rPr>
            </w:pP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5"/>
        </w:trPr>
        <w:tc>
          <w:tcPr>
            <w:tcW w:w="2980" w:type="dxa"/>
            <w:vAlign w:val="bottom"/>
          </w:tcPr>
          <w:p>
            <w:pPr>
              <w:ind w:left="20"/>
              <w:spacing w:after="0"/>
              <w:rPr>
                <w:sz w:val="20"/>
                <w:szCs w:val="20"/>
                <w:color w:val="auto"/>
              </w:rPr>
            </w:pPr>
            <w:r>
              <w:rPr>
                <w:rFonts w:ascii="Arial" w:cs="Arial" w:eastAsia="Arial" w:hAnsi="Arial"/>
                <w:sz w:val="10"/>
                <w:szCs w:val="10"/>
                <w:color w:val="auto"/>
              </w:rPr>
              <w:t>Crane 1 Acquisition Parent Holdings, L.P.</w:t>
            </w:r>
          </w:p>
        </w:tc>
        <w:tc>
          <w:tcPr>
            <w:tcW w:w="84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60" w:type="dxa"/>
            <w:vAlign w:val="bottom"/>
          </w:tcPr>
          <w:p>
            <w:pPr>
              <w:spacing w:after="0"/>
              <w:rPr>
                <w:sz w:val="10"/>
                <w:szCs w:val="10"/>
                <w:color w:val="auto"/>
              </w:rPr>
            </w:pP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145</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Delta InvestCo LP</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698,889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1,562</w:t>
            </w:r>
          </w:p>
        </w:tc>
      </w:tr>
      <w:tr>
        <w:trPr>
          <w:trHeight w:val="144"/>
        </w:trPr>
        <w:tc>
          <w:tcPr>
            <w:tcW w:w="2980" w:type="dxa"/>
            <w:vAlign w:val="bottom"/>
          </w:tcPr>
          <w:p>
            <w:pPr>
              <w:ind w:left="80"/>
              <w:spacing w:after="0"/>
              <w:rPr>
                <w:sz w:val="20"/>
                <w:szCs w:val="20"/>
                <w:color w:val="auto"/>
              </w:rPr>
            </w:pPr>
            <w:r>
              <w:rPr>
                <w:rFonts w:ascii="Arial" w:cs="Arial" w:eastAsia="Arial" w:hAnsi="Arial"/>
                <w:sz w:val="10"/>
                <w:szCs w:val="10"/>
                <w:color w:val="auto"/>
              </w:rPr>
              <w:t xml:space="preserve">(Sigma Defense Systems, LLC) </w:t>
            </w:r>
            <w:r>
              <w:rPr>
                <w:rFonts w:ascii="Arial" w:cs="Arial" w:eastAsia="Arial" w:hAnsi="Arial"/>
                <w:sz w:val="12"/>
                <w:szCs w:val="12"/>
                <w:color w:val="auto"/>
                <w:vertAlign w:val="superscript"/>
              </w:rPr>
              <w:t>(9)</w:t>
            </w: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Delta InvestCo LP </w:t>
            </w:r>
            <w:r>
              <w:rPr>
                <w:rFonts w:ascii="Arial" w:cs="Arial" w:eastAsia="Arial" w:hAnsi="Arial"/>
                <w:sz w:val="12"/>
                <w:szCs w:val="12"/>
                <w:color w:val="auto"/>
                <w:vertAlign w:val="superscript"/>
              </w:rPr>
              <w:t>(7)</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442,155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80" w:type="dxa"/>
            <w:vAlign w:val="bottom"/>
          </w:tcPr>
          <w:p>
            <w:pPr>
              <w:ind w:left="80"/>
              <w:spacing w:after="0"/>
              <w:rPr>
                <w:sz w:val="20"/>
                <w:szCs w:val="20"/>
                <w:color w:val="auto"/>
              </w:rPr>
            </w:pPr>
            <w:r>
              <w:rPr>
                <w:rFonts w:ascii="Arial" w:cs="Arial" w:eastAsia="Arial" w:hAnsi="Arial"/>
                <w:sz w:val="10"/>
                <w:szCs w:val="10"/>
                <w:color w:val="auto"/>
              </w:rPr>
              <w:t xml:space="preserve">(Sigma Defense Systems, LLC) </w:t>
            </w:r>
            <w:r>
              <w:rPr>
                <w:rFonts w:ascii="Arial" w:cs="Arial" w:eastAsia="Arial" w:hAnsi="Arial"/>
                <w:sz w:val="12"/>
                <w:szCs w:val="12"/>
                <w:color w:val="auto"/>
                <w:vertAlign w:val="superscript"/>
              </w:rPr>
              <w:t>(7), (9)</w:t>
            </w: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ECM Investors, LLC </w:t>
            </w:r>
            <w:r>
              <w:rPr>
                <w:rFonts w:ascii="Arial" w:cs="Arial" w:eastAsia="Arial" w:hAnsi="Arial"/>
                <w:sz w:val="12"/>
                <w:szCs w:val="12"/>
                <w:color w:val="auto"/>
                <w:vertAlign w:val="superscript"/>
              </w:rPr>
              <w:t>(9)</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167,537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492</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eCommission Holding Corporation </w:t>
            </w:r>
            <w:r>
              <w:rPr>
                <w:rFonts w:ascii="Arial" w:cs="Arial" w:eastAsia="Arial" w:hAnsi="Arial"/>
                <w:sz w:val="12"/>
                <w:szCs w:val="12"/>
                <w:color w:val="auto"/>
                <w:vertAlign w:val="superscript"/>
              </w:rPr>
              <w:t>(11)</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3"/>
              </w:rPr>
              <w:t>Financial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1,542</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EDS Topco, LP</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937,500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938</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Exigo, LLC </w:t>
            </w:r>
            <w:r>
              <w:rPr>
                <w:rFonts w:ascii="Arial" w:cs="Arial" w:eastAsia="Arial" w:hAnsi="Arial"/>
                <w:sz w:val="12"/>
                <w:szCs w:val="12"/>
                <w:color w:val="auto"/>
                <w:vertAlign w:val="superscript"/>
              </w:rPr>
              <w:t>(9)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1,458,333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1,458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1,584</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Express Wash Topco, LLC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658,000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2,520</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14,186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1,378</w:t>
            </w: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(7),(9)</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6,384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(18 )</w:t>
            </w: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FedHC InvestCo II LP </w:t>
            </w:r>
            <w:r>
              <w:rPr>
                <w:rFonts w:ascii="Arial" w:cs="Arial" w:eastAsia="Arial" w:hAnsi="Arial"/>
                <w:sz w:val="12"/>
                <w:szCs w:val="12"/>
                <w:color w:val="auto"/>
                <w:vertAlign w:val="superscript"/>
              </w:rPr>
              <w:t>(9)</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20,357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1,979</w:t>
            </w:r>
          </w:p>
        </w:tc>
      </w:tr>
      <w:tr>
        <w:trPr>
          <w:trHeight w:val="135"/>
        </w:trPr>
        <w:tc>
          <w:tcPr>
            <w:tcW w:w="2980" w:type="dxa"/>
            <w:vAlign w:val="bottom"/>
            <w:shd w:val="clear" w:color="auto" w:fill="CCECFF"/>
          </w:tcPr>
          <w:p>
            <w:pPr>
              <w:spacing w:after="0"/>
              <w:rPr>
                <w:sz w:val="11"/>
                <w:szCs w:val="11"/>
                <w:color w:val="auto"/>
              </w:rPr>
            </w:pP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29"/>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Five Star Parent Holdings, LLC</w:t>
            </w:r>
          </w:p>
        </w:tc>
        <w:tc>
          <w:tcPr>
            <w:tcW w:w="84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Entertainment</w:t>
            </w:r>
          </w:p>
        </w:tc>
        <w:tc>
          <w:tcPr>
            <w:tcW w:w="960" w:type="dxa"/>
            <w:vAlign w:val="bottom"/>
            <w:shd w:val="clear" w:color="auto" w:fill="CCECFF"/>
          </w:tcPr>
          <w:p>
            <w:pPr>
              <w:spacing w:after="0"/>
              <w:rPr>
                <w:sz w:val="11"/>
                <w:szCs w:val="11"/>
                <w:color w:val="auto"/>
              </w:rPr>
            </w:pP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655,714</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656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656</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Gauge Lash Coinvest LLC</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889,376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4,074</w:t>
            </w: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Gauge Schlesinger Coinvest, LLC</w:t>
            </w:r>
          </w:p>
        </w:tc>
        <w:tc>
          <w:tcPr>
            <w:tcW w:w="84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w:t>
            </w: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Gauge TVC Coinvest, LLC</w:t>
            </w:r>
          </w:p>
        </w:tc>
        <w:tc>
          <w:tcPr>
            <w:tcW w:w="840" w:type="dxa"/>
            <w:vAlign w:val="bottom"/>
          </w:tcPr>
          <w:p>
            <w:pPr>
              <w:ind w:left="580"/>
              <w:spacing w:after="0"/>
              <w:rPr>
                <w:sz w:val="20"/>
                <w:szCs w:val="20"/>
                <w:color w:val="auto"/>
              </w:rPr>
            </w:pPr>
            <w:r>
              <w:rPr>
                <w:rFonts w:ascii="Arial" w:cs="Arial" w:eastAsia="Arial" w:hAnsi="Arial"/>
                <w:sz w:val="10"/>
                <w:szCs w:val="10"/>
                <w:color w:val="auto"/>
              </w:rPr>
              <w:t>—</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810,645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3,543</w:t>
            </w:r>
          </w:p>
        </w:tc>
      </w:tr>
      <w:tr>
        <w:trPr>
          <w:trHeight w:val="148"/>
        </w:trPr>
        <w:tc>
          <w:tcPr>
            <w:tcW w:w="2980" w:type="dxa"/>
            <w:vAlign w:val="bottom"/>
            <w:shd w:val="clear" w:color="auto" w:fill="CCECFF"/>
          </w:tcPr>
          <w:p>
            <w:pPr>
              <w:ind w:left="80"/>
              <w:spacing w:after="0"/>
              <w:rPr>
                <w:sz w:val="20"/>
                <w:szCs w:val="20"/>
                <w:color w:val="auto"/>
              </w:rPr>
            </w:pPr>
            <w:r>
              <w:rPr>
                <w:rFonts w:ascii="Arial" w:cs="Arial" w:eastAsia="Arial" w:hAnsi="Arial"/>
                <w:sz w:val="10"/>
                <w:szCs w:val="10"/>
                <w:color w:val="auto"/>
              </w:rPr>
              <w:t>(TVC Enterprises, LLC)</w:t>
            </w:r>
          </w:p>
        </w:tc>
        <w:tc>
          <w:tcPr>
            <w:tcW w:w="84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spacing w:after="0"/>
              <w:rPr>
                <w:sz w:val="10"/>
                <w:szCs w:val="10"/>
                <w:color w:val="auto"/>
              </w:rPr>
            </w:pPr>
          </w:p>
        </w:tc>
        <w:tc>
          <w:tcPr>
            <w:tcW w:w="1300" w:type="dxa"/>
            <w:vAlign w:val="bottom"/>
          </w:tcPr>
          <w:p>
            <w:pPr>
              <w:ind w:left="580"/>
              <w:spacing w:after="0"/>
              <w:rPr>
                <w:sz w:val="20"/>
                <w:szCs w:val="20"/>
                <w:color w:val="auto"/>
              </w:rPr>
            </w:pPr>
            <w:r>
              <w:rPr>
                <w:rFonts w:ascii="Arial" w:cs="Arial" w:eastAsia="Arial" w:hAnsi="Arial"/>
                <w:sz w:val="10"/>
                <w:szCs w:val="10"/>
                <w:b w:val="1"/>
                <w:bCs w:val="1"/>
                <w:color w:val="auto"/>
              </w:rPr>
              <w:t>Maturity /</w:t>
            </w:r>
          </w:p>
        </w:tc>
        <w:tc>
          <w:tcPr>
            <w:tcW w:w="1960" w:type="dxa"/>
            <w:vAlign w:val="bottom"/>
          </w:tcPr>
          <w:p>
            <w:pPr>
              <w:spacing w:after="0"/>
              <w:rPr>
                <w:sz w:val="10"/>
                <w:szCs w:val="10"/>
                <w:color w:val="auto"/>
              </w:rPr>
            </w:pPr>
          </w:p>
        </w:tc>
        <w:tc>
          <w:tcPr>
            <w:tcW w:w="920" w:type="dxa"/>
            <w:vAlign w:val="bottom"/>
          </w:tcPr>
          <w:p>
            <w:pPr>
              <w:ind w:left="220"/>
              <w:spacing w:after="0"/>
              <w:rPr>
                <w:sz w:val="20"/>
                <w:szCs w:val="20"/>
                <w:color w:val="auto"/>
              </w:rPr>
            </w:pPr>
            <w:r>
              <w:rPr>
                <w:rFonts w:ascii="Arial" w:cs="Arial" w:eastAsia="Arial" w:hAnsi="Arial"/>
                <w:sz w:val="10"/>
                <w:szCs w:val="10"/>
                <w:b w:val="1"/>
                <w:bCs w:val="1"/>
                <w:color w:val="auto"/>
              </w:rPr>
              <w:t>Current</w:t>
            </w:r>
          </w:p>
        </w:tc>
        <w:tc>
          <w:tcPr>
            <w:tcW w:w="1060" w:type="dxa"/>
            <w:vAlign w:val="bottom"/>
          </w:tcPr>
          <w:p>
            <w:pPr>
              <w:jc w:val="center"/>
              <w:ind w:right="72"/>
              <w:spacing w:after="0"/>
              <w:rPr>
                <w:sz w:val="20"/>
                <w:szCs w:val="20"/>
                <w:color w:val="auto"/>
              </w:rPr>
            </w:pPr>
            <w:r>
              <w:rPr>
                <w:rFonts w:ascii="Arial" w:cs="Arial" w:eastAsia="Arial" w:hAnsi="Arial"/>
                <w:sz w:val="10"/>
                <w:szCs w:val="10"/>
                <w:b w:val="1"/>
                <w:bCs w:val="1"/>
                <w:color w:val="auto"/>
                <w:w w:val="98"/>
              </w:rPr>
              <w:t>Spread Above</w:t>
            </w:r>
          </w:p>
        </w:tc>
        <w:tc>
          <w:tcPr>
            <w:tcW w:w="880" w:type="dxa"/>
            <w:vAlign w:val="bottom"/>
          </w:tcPr>
          <w:p>
            <w:pPr>
              <w:jc w:val="right"/>
              <w:ind w:right="33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1300" w:type="dxa"/>
            <w:vAlign w:val="bottom"/>
          </w:tcPr>
          <w:p>
            <w:pPr>
              <w:ind w:left="560"/>
              <w:spacing w:after="0"/>
              <w:rPr>
                <w:sz w:val="20"/>
                <w:szCs w:val="20"/>
                <w:color w:val="auto"/>
              </w:rPr>
            </w:pPr>
            <w:r>
              <w:rPr>
                <w:rFonts w:ascii="Arial" w:cs="Arial" w:eastAsia="Arial" w:hAnsi="Arial"/>
                <w:sz w:val="10"/>
                <w:szCs w:val="10"/>
                <w:b w:val="1"/>
                <w:bCs w:val="1"/>
                <w:color w:val="auto"/>
              </w:rPr>
              <w:t>Expiration</w:t>
            </w:r>
          </w:p>
        </w:tc>
        <w:tc>
          <w:tcPr>
            <w:tcW w:w="19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20" w:type="dxa"/>
            <w:vAlign w:val="bottom"/>
          </w:tcPr>
          <w:p>
            <w:pPr>
              <w:ind w:left="220"/>
              <w:spacing w:after="0"/>
              <w:rPr>
                <w:sz w:val="20"/>
                <w:szCs w:val="20"/>
                <w:color w:val="auto"/>
              </w:rPr>
            </w:pPr>
            <w:r>
              <w:rPr>
                <w:rFonts w:ascii="Arial" w:cs="Arial" w:eastAsia="Arial" w:hAnsi="Arial"/>
                <w:sz w:val="10"/>
                <w:szCs w:val="10"/>
                <w:b w:val="1"/>
                <w:bCs w:val="1"/>
                <w:color w:val="auto"/>
              </w:rPr>
              <w:t>Coupon</w:t>
            </w:r>
          </w:p>
        </w:tc>
        <w:tc>
          <w:tcPr>
            <w:tcW w:w="1060" w:type="dxa"/>
            <w:vAlign w:val="bottom"/>
          </w:tcPr>
          <w:p>
            <w:pPr>
              <w:jc w:val="center"/>
              <w:ind w:right="7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GCOM InvestCo LP </w:t>
            </w:r>
            <w:r>
              <w:rPr>
                <w:rFonts w:ascii="Arial" w:cs="Arial" w:eastAsia="Arial" w:hAnsi="Arial"/>
                <w:sz w:val="12"/>
                <w:szCs w:val="12"/>
                <w:color w:val="auto"/>
                <w:vertAlign w:val="superscript"/>
              </w:rPr>
              <w:t>(9)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2,434</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1,003</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487</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Go Dawgs Capital III,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Building Materials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675,325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1,297</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(American Insulated Glass, LLC) </w:t>
            </w:r>
            <w:r>
              <w:rPr>
                <w:rFonts w:ascii="Arial" w:cs="Arial" w:eastAsia="Arial" w:hAnsi="Arial"/>
                <w:sz w:val="12"/>
                <w:szCs w:val="12"/>
                <w:color w:val="auto"/>
                <w:vertAlign w:val="superscript"/>
              </w:rPr>
              <w:t>(9)</w:t>
            </w:r>
          </w:p>
        </w:tc>
        <w:tc>
          <w:tcPr>
            <w:tcW w:w="13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60" w:type="dxa"/>
            <w:vAlign w:val="bottom"/>
          </w:tcPr>
          <w:p>
            <w:pPr>
              <w:ind w:left="20"/>
              <w:spacing w:after="0"/>
              <w:rPr>
                <w:sz w:val="20"/>
                <w:szCs w:val="20"/>
                <w:color w:val="auto"/>
              </w:rPr>
            </w:pPr>
            <w:r>
              <w:rPr>
                <w:rFonts w:ascii="Arial" w:cs="Arial" w:eastAsia="Arial" w:hAnsi="Arial"/>
                <w:sz w:val="10"/>
                <w:szCs w:val="10"/>
                <w:color w:val="auto"/>
              </w:rPr>
              <w:t xml:space="preserve">Hancock Claims Consultants Investors, LLC </w:t>
            </w:r>
            <w:r>
              <w:rPr>
                <w:rFonts w:ascii="Arial" w:cs="Arial" w:eastAsia="Arial" w:hAnsi="Arial"/>
                <w:sz w:val="12"/>
                <w:szCs w:val="12"/>
                <w:color w:val="auto"/>
                <w:vertAlign w:val="superscript"/>
              </w:rPr>
              <w:t>(9)</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rPr>
              <w:t>Insurance</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376</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1,230</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Icon Partners V C,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1,118,318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1,111</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Icon Partners V C, L.P. </w:t>
            </w:r>
            <w:r>
              <w:rPr>
                <w:rFonts w:ascii="Arial" w:cs="Arial" w:eastAsia="Arial" w:hAnsi="Arial"/>
                <w:sz w:val="12"/>
                <w:szCs w:val="12"/>
                <w:color w:val="auto"/>
                <w:vertAlign w:val="superscript"/>
              </w:rPr>
              <w:t>(7),(9)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381,682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1,218</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1,237</w:t>
            </w:r>
          </w:p>
        </w:tc>
        <w:tc>
          <w:tcPr>
            <w:tcW w:w="0" w:type="dxa"/>
            <w:vAlign w:val="bottom"/>
          </w:tcPr>
          <w:p>
            <w:pPr>
              <w:spacing w:after="0"/>
              <w:rPr>
                <w:sz w:val="1"/>
                <w:szCs w:val="1"/>
                <w:color w:val="auto"/>
              </w:rPr>
            </w:pPr>
          </w:p>
        </w:tc>
      </w:tr>
      <w:tr>
        <w:trPr>
          <w:trHeight w:val="125"/>
        </w:trPr>
        <w:tc>
          <w:tcPr>
            <w:tcW w:w="2560" w:type="dxa"/>
            <w:vAlign w:val="bottom"/>
          </w:tcPr>
          <w:p>
            <w:pPr>
              <w:ind w:left="20"/>
              <w:spacing w:after="0"/>
              <w:rPr>
                <w:sz w:val="20"/>
                <w:szCs w:val="20"/>
                <w:color w:val="auto"/>
              </w:rPr>
            </w:pPr>
            <w:r>
              <w:rPr>
                <w:rFonts w:ascii="Arial" w:cs="Arial" w:eastAsia="Arial" w:hAnsi="Arial"/>
                <w:sz w:val="10"/>
                <w:szCs w:val="10"/>
                <w:color w:val="auto"/>
              </w:rPr>
              <w:t>IHS Parent Holdngs, L.P.</w:t>
            </w:r>
          </w:p>
        </w:tc>
        <w:tc>
          <w:tcPr>
            <w:tcW w:w="130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1,218,045</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Topco, LP</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743,826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Infogroup Parent Holdings, Inc.</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4"/>
              </w:rPr>
              <w:t>Other Media</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181,495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3,004</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80"/>
              <w:spacing w:after="0"/>
              <w:rPr>
                <w:sz w:val="20"/>
                <w:szCs w:val="20"/>
                <w:color w:val="auto"/>
              </w:rPr>
            </w:pPr>
            <w:r>
              <w:rPr>
                <w:rFonts w:ascii="Arial" w:cs="Arial" w:eastAsia="Arial" w:hAnsi="Arial"/>
                <w:sz w:val="10"/>
                <w:szCs w:val="10"/>
                <w:color w:val="auto"/>
              </w:rPr>
              <w:t>(Data Axle, Inc.)</w:t>
            </w:r>
          </w:p>
        </w:tc>
        <w:tc>
          <w:tcPr>
            <w:tcW w:w="13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Ironclad Holdco, LLC</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4,566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573</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(Applied Technical Services, LLC) </w:t>
            </w:r>
            <w:r>
              <w:rPr>
                <w:rFonts w:ascii="Arial" w:cs="Arial" w:eastAsia="Arial" w:hAnsi="Arial"/>
                <w:sz w:val="12"/>
                <w:szCs w:val="12"/>
                <w:color w:val="auto"/>
                <w:vertAlign w:val="superscript"/>
              </w:rPr>
              <w:t>(9)</w:t>
            </w:r>
          </w:p>
        </w:tc>
        <w:tc>
          <w:tcPr>
            <w:tcW w:w="13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60" w:type="dxa"/>
            <w:vAlign w:val="bottom"/>
          </w:tcPr>
          <w:p>
            <w:pPr>
              <w:ind w:left="20"/>
              <w:spacing w:after="0"/>
              <w:rPr>
                <w:sz w:val="20"/>
                <w:szCs w:val="20"/>
                <w:color w:val="auto"/>
              </w:rPr>
            </w:pPr>
            <w:r>
              <w:rPr>
                <w:rFonts w:ascii="Arial" w:cs="Arial" w:eastAsia="Arial" w:hAnsi="Arial"/>
                <w:sz w:val="10"/>
                <w:szCs w:val="10"/>
                <w:color w:val="auto"/>
              </w:rPr>
              <w:t>ITC Infusion Co-invest,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162,445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1,624</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1,189</w:t>
            </w:r>
          </w:p>
        </w:tc>
        <w:tc>
          <w:tcPr>
            <w:tcW w:w="0" w:type="dxa"/>
            <w:vAlign w:val="bottom"/>
          </w:tcPr>
          <w:p>
            <w:pPr>
              <w:spacing w:after="0"/>
              <w:rPr>
                <w:sz w:val="1"/>
                <w:szCs w:val="1"/>
                <w:color w:val="auto"/>
              </w:rPr>
            </w:pPr>
          </w:p>
        </w:tc>
      </w:tr>
      <w:tr>
        <w:trPr>
          <w:trHeight w:val="64"/>
        </w:trPr>
        <w:tc>
          <w:tcPr>
            <w:tcW w:w="2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ITC Rumba, LLC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375,675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4,216</w:t>
            </w:r>
          </w:p>
        </w:tc>
        <w:tc>
          <w:tcPr>
            <w:tcW w:w="0" w:type="dxa"/>
            <w:vAlign w:val="bottom"/>
          </w:tcPr>
          <w:p>
            <w:pPr>
              <w:spacing w:after="0"/>
              <w:rPr>
                <w:sz w:val="1"/>
                <w:szCs w:val="1"/>
                <w:color w:val="auto"/>
              </w:rPr>
            </w:pPr>
          </w:p>
        </w:tc>
      </w:tr>
      <w:tr>
        <w:trPr>
          <w:trHeight w:val="144"/>
        </w:trPr>
        <w:tc>
          <w:tcPr>
            <w:tcW w:w="2560" w:type="dxa"/>
            <w:vAlign w:val="bottom"/>
          </w:tcPr>
          <w:p>
            <w:pPr>
              <w:ind w:left="80"/>
              <w:spacing w:after="0"/>
              <w:rPr>
                <w:sz w:val="20"/>
                <w:szCs w:val="20"/>
                <w:color w:val="auto"/>
              </w:rPr>
            </w:pPr>
            <w:r>
              <w:rPr>
                <w:rFonts w:ascii="Arial" w:cs="Arial" w:eastAsia="Arial" w:hAnsi="Arial"/>
                <w:sz w:val="10"/>
                <w:szCs w:val="10"/>
                <w:color w:val="auto"/>
              </w:rPr>
              <w:t xml:space="preserve">(Cano Health, LLC) </w:t>
            </w:r>
            <w:r>
              <w:rPr>
                <w:rFonts w:ascii="Arial" w:cs="Arial" w:eastAsia="Arial" w:hAnsi="Arial"/>
                <w:sz w:val="12"/>
                <w:szCs w:val="12"/>
                <w:color w:val="auto"/>
                <w:vertAlign w:val="superscript"/>
              </w:rPr>
              <w:t>(9)</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Kentucky Racing Holdco, LLC (Warrants)</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Hotels, Motels, Inns and Gaming</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161,252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1,433</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1,308,814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1,309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1,977</w:t>
            </w:r>
          </w:p>
        </w:tc>
        <w:tc>
          <w:tcPr>
            <w:tcW w:w="0" w:type="dxa"/>
            <w:vAlign w:val="bottom"/>
          </w:tcPr>
          <w:p>
            <w:pPr>
              <w:spacing w:after="0"/>
              <w:rPr>
                <w:sz w:val="1"/>
                <w:szCs w:val="1"/>
                <w:color w:val="auto"/>
              </w:rPr>
            </w:pPr>
          </w:p>
        </w:tc>
      </w:tr>
      <w:tr>
        <w:trPr>
          <w:trHeight w:val="139"/>
        </w:trPr>
        <w:tc>
          <w:tcPr>
            <w:tcW w:w="2560" w:type="dxa"/>
            <w:vAlign w:val="bottom"/>
            <w:shd w:val="clear" w:color="auto" w:fill="CCECFF"/>
          </w:tcPr>
          <w:p>
            <w:pPr>
              <w:spacing w:after="0"/>
              <w:rPr>
                <w:sz w:val="12"/>
                <w:szCs w:val="12"/>
                <w:color w:val="auto"/>
              </w:rPr>
            </w:pP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KL Stockton Co-Invest LP</w:t>
            </w:r>
          </w:p>
        </w:tc>
        <w:tc>
          <w:tcPr>
            <w:tcW w:w="130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382,353</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382</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1,087</w:t>
            </w:r>
          </w:p>
        </w:tc>
        <w:tc>
          <w:tcPr>
            <w:tcW w:w="0" w:type="dxa"/>
            <w:vAlign w:val="bottom"/>
          </w:tcPr>
          <w:p>
            <w:pPr>
              <w:spacing w:after="0"/>
              <w:rPr>
                <w:sz w:val="1"/>
                <w:szCs w:val="1"/>
                <w:color w:val="auto"/>
              </w:rPr>
            </w:pPr>
          </w:p>
        </w:tc>
      </w:tr>
      <w:tr>
        <w:trPr>
          <w:trHeight w:val="144"/>
        </w:trPr>
        <w:tc>
          <w:tcPr>
            <w:tcW w:w="2560" w:type="dxa"/>
            <w:vAlign w:val="bottom"/>
          </w:tcPr>
          <w:p>
            <w:pPr>
              <w:ind w:left="80"/>
              <w:spacing w:after="0"/>
              <w:rPr>
                <w:sz w:val="20"/>
                <w:szCs w:val="20"/>
                <w:color w:val="auto"/>
              </w:rPr>
            </w:pPr>
            <w:r>
              <w:rPr>
                <w:rFonts w:ascii="Arial" w:cs="Arial" w:eastAsia="Arial" w:hAnsi="Arial"/>
                <w:sz w:val="10"/>
                <w:szCs w:val="10"/>
                <w:color w:val="auto"/>
              </w:rPr>
              <w:t xml:space="preserve">(Any Hour Services) </w:t>
            </w:r>
            <w:r>
              <w:rPr>
                <w:rFonts w:ascii="Arial" w:cs="Arial" w:eastAsia="Arial" w:hAnsi="Arial"/>
                <w:sz w:val="12"/>
                <w:szCs w:val="12"/>
                <w:color w:val="auto"/>
                <w:vertAlign w:val="superscript"/>
              </w:rPr>
              <w:t>(9)</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Lariat ecoserv Co-Invest Holdings, LLC </w:t>
            </w:r>
            <w:r>
              <w:rPr>
                <w:rFonts w:ascii="Arial" w:cs="Arial" w:eastAsia="Arial" w:hAnsi="Arial"/>
                <w:sz w:val="12"/>
                <w:szCs w:val="12"/>
                <w:color w:val="auto"/>
                <w:vertAlign w:val="superscript"/>
              </w:rPr>
              <w:t>(9)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Environmental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363,656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LEP Pequod Holdings,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6"/>
              </w:rPr>
              <w:t>Financial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864,865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865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865</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Lightspeed Investment Holdco LLC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273,143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498</w:t>
            </w:r>
          </w:p>
        </w:tc>
        <w:tc>
          <w:tcPr>
            <w:tcW w:w="0" w:type="dxa"/>
            <w:vAlign w:val="bottom"/>
          </w:tcPr>
          <w:p>
            <w:pPr>
              <w:spacing w:after="0"/>
              <w:rPr>
                <w:sz w:val="1"/>
                <w:szCs w:val="1"/>
                <w:color w:val="auto"/>
              </w:rPr>
            </w:pPr>
          </w:p>
        </w:tc>
      </w:tr>
      <w:tr>
        <w:trPr>
          <w:trHeight w:val="152"/>
        </w:trPr>
        <w:tc>
          <w:tcPr>
            <w:tcW w:w="2560" w:type="dxa"/>
            <w:vAlign w:val="bottom"/>
          </w:tcPr>
          <w:p>
            <w:pPr>
              <w:ind w:left="20"/>
              <w:spacing w:after="0"/>
              <w:rPr>
                <w:sz w:val="20"/>
                <w:szCs w:val="20"/>
                <w:color w:val="auto"/>
              </w:rPr>
            </w:pPr>
            <w:r>
              <w:rPr>
                <w:rFonts w:ascii="Arial" w:cs="Arial" w:eastAsia="Arial" w:hAnsi="Arial"/>
                <w:sz w:val="10"/>
                <w:szCs w:val="10"/>
                <w:color w:val="auto"/>
              </w:rPr>
              <w:t>LJ Avalon,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851,087</w:t>
            </w:r>
          </w:p>
        </w:tc>
        <w:tc>
          <w:tcPr>
            <w:tcW w:w="26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851</w:t>
            </w:r>
          </w:p>
        </w:tc>
        <w:tc>
          <w:tcPr>
            <w:tcW w:w="18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851</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Lorient Peregrine Investments, LP</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335,590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4,452</w:t>
            </w:r>
          </w:p>
        </w:tc>
        <w:tc>
          <w:tcPr>
            <w:tcW w:w="0" w:type="dxa"/>
            <w:vAlign w:val="bottom"/>
          </w:tcPr>
          <w:p>
            <w:pPr>
              <w:spacing w:after="0"/>
              <w:rPr>
                <w:sz w:val="1"/>
                <w:szCs w:val="1"/>
                <w:color w:val="auto"/>
              </w:rPr>
            </w:pPr>
          </w:p>
        </w:tc>
      </w:tr>
      <w:tr>
        <w:trPr>
          <w:trHeight w:val="144"/>
        </w:trPr>
        <w:tc>
          <w:tcPr>
            <w:tcW w:w="2560" w:type="dxa"/>
            <w:vAlign w:val="bottom"/>
          </w:tcPr>
          <w:p>
            <w:pPr>
              <w:ind w:left="20"/>
              <w:spacing w:after="0"/>
              <w:rPr>
                <w:sz w:val="20"/>
                <w:szCs w:val="20"/>
                <w:color w:val="auto"/>
              </w:rPr>
            </w:pPr>
            <w:r>
              <w:rPr>
                <w:rFonts w:ascii="Arial" w:cs="Arial" w:eastAsia="Arial" w:hAnsi="Arial"/>
                <w:sz w:val="10"/>
                <w:szCs w:val="10"/>
                <w:color w:val="auto"/>
              </w:rPr>
              <w:t xml:space="preserve">Mars Intermidiate Holdings II, Inc. </w:t>
            </w:r>
            <w:r>
              <w:rPr>
                <w:rFonts w:ascii="Arial" w:cs="Arial" w:eastAsia="Arial" w:hAnsi="Arial"/>
                <w:sz w:val="12"/>
                <w:szCs w:val="12"/>
                <w:color w:val="auto"/>
                <w:vertAlign w:val="superscript"/>
              </w:rPr>
              <w:t>(9)</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195</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Aggregator, LP</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30,993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3,103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3,184</w:t>
            </w:r>
          </w:p>
        </w:tc>
        <w:tc>
          <w:tcPr>
            <w:tcW w:w="0" w:type="dxa"/>
            <w:vAlign w:val="bottom"/>
          </w:tcPr>
          <w:p>
            <w:pPr>
              <w:spacing w:after="0"/>
              <w:rPr>
                <w:sz w:val="1"/>
                <w:szCs w:val="1"/>
                <w:color w:val="auto"/>
              </w:rPr>
            </w:pPr>
          </w:p>
        </w:tc>
      </w:tr>
      <w:tr>
        <w:trPr>
          <w:trHeight w:val="144"/>
        </w:trPr>
        <w:tc>
          <w:tcPr>
            <w:tcW w:w="2560" w:type="dxa"/>
            <w:vAlign w:val="bottom"/>
          </w:tcPr>
          <w:p>
            <w:pPr>
              <w:ind w:left="20"/>
              <w:spacing w:after="0"/>
              <w:rPr>
                <w:sz w:val="20"/>
                <w:szCs w:val="20"/>
                <w:color w:val="auto"/>
              </w:rPr>
            </w:pPr>
            <w:r>
              <w:rPr>
                <w:rFonts w:ascii="Arial" w:cs="Arial" w:eastAsia="Arial" w:hAnsi="Arial"/>
                <w:sz w:val="10"/>
                <w:szCs w:val="10"/>
                <w:color w:val="auto"/>
              </w:rPr>
              <w:t xml:space="preserve">Meadowlark Title, LLC </w:t>
            </w:r>
            <w:r>
              <w:rPr>
                <w:rFonts w:ascii="Arial" w:cs="Arial" w:eastAsia="Arial" w:hAnsi="Arial"/>
                <w:sz w:val="12"/>
                <w:szCs w:val="12"/>
                <w:color w:val="auto"/>
                <w:vertAlign w:val="superscript"/>
              </w:rPr>
              <w:t>(9)</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815,385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802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147</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3,920,145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3,984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3,399</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NEPRT Parent Holdings, LLC</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1,299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(Recteq, LLC) </w:t>
            </w:r>
            <w:r>
              <w:rPr>
                <w:rFonts w:ascii="Arial" w:cs="Arial" w:eastAsia="Arial" w:hAnsi="Arial"/>
                <w:sz w:val="12"/>
                <w:szCs w:val="12"/>
                <w:color w:val="auto"/>
                <w:vertAlign w:val="superscript"/>
              </w:rPr>
              <w:t>(9)</w:t>
            </w:r>
          </w:p>
        </w:tc>
        <w:tc>
          <w:tcPr>
            <w:tcW w:w="13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North Haven Saints Equity Holdings,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351,553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376</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NXOF Holdings, Inc.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560" w:type="dxa"/>
            <w:vAlign w:val="bottom"/>
          </w:tcPr>
          <w:p>
            <w:pPr>
              <w:ind w:left="80"/>
              <w:spacing w:after="0"/>
              <w:rPr>
                <w:sz w:val="20"/>
                <w:szCs w:val="20"/>
                <w:color w:val="auto"/>
              </w:rPr>
            </w:pPr>
            <w:r>
              <w:rPr>
                <w:rFonts w:ascii="Arial" w:cs="Arial" w:eastAsia="Arial" w:hAnsi="Arial"/>
                <w:sz w:val="10"/>
                <w:szCs w:val="10"/>
                <w:color w:val="auto"/>
              </w:rPr>
              <w:t>(Tyto Athene, LLC)</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OceanSound Discovery Equity, LP</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vMerge w:val="restart"/>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20" w:type="dxa"/>
            <w:vAlign w:val="bottom"/>
            <w:vMerge w:val="restart"/>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vMerge w:val="restart"/>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98,286</w:t>
            </w:r>
          </w:p>
        </w:tc>
        <w:tc>
          <w:tcPr>
            <w:tcW w:w="26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961</w:t>
            </w:r>
          </w:p>
        </w:tc>
        <w:tc>
          <w:tcPr>
            <w:tcW w:w="18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1,950</w:t>
            </w:r>
          </w:p>
        </w:tc>
        <w:tc>
          <w:tcPr>
            <w:tcW w:w="0" w:type="dxa"/>
            <w:vAlign w:val="bottom"/>
          </w:tcPr>
          <w:p>
            <w:pPr>
              <w:spacing w:after="0"/>
              <w:rPr>
                <w:sz w:val="1"/>
                <w:szCs w:val="1"/>
                <w:color w:val="auto"/>
              </w:rPr>
            </w:pPr>
          </w:p>
        </w:tc>
      </w:tr>
      <w:tr>
        <w:trPr>
          <w:trHeight w:val="68"/>
        </w:trPr>
        <w:tc>
          <w:tcPr>
            <w:tcW w:w="2560" w:type="dxa"/>
            <w:vAlign w:val="bottom"/>
            <w:shd w:val="clear" w:color="auto" w:fill="CCECFF"/>
          </w:tcPr>
          <w:p>
            <w:pPr>
              <w:spacing w:after="0"/>
              <w:rPr>
                <w:sz w:val="5"/>
                <w:szCs w:val="5"/>
                <w:color w:val="auto"/>
              </w:rPr>
            </w:pPr>
          </w:p>
        </w:tc>
        <w:tc>
          <w:tcPr>
            <w:tcW w:w="1300" w:type="dxa"/>
            <w:vAlign w:val="bottom"/>
            <w:shd w:val="clear" w:color="auto" w:fill="CCECFF"/>
          </w:tcPr>
          <w:p>
            <w:pPr>
              <w:spacing w:after="0"/>
              <w:rPr>
                <w:sz w:val="5"/>
                <w:szCs w:val="5"/>
                <w:color w:val="auto"/>
              </w:rPr>
            </w:pPr>
          </w:p>
        </w:tc>
        <w:tc>
          <w:tcPr>
            <w:tcW w:w="1960" w:type="dxa"/>
            <w:vAlign w:val="bottom"/>
            <w:vMerge w:val="continue"/>
            <w:shd w:val="clear" w:color="auto" w:fill="CCECFF"/>
          </w:tcPr>
          <w:p>
            <w:pPr>
              <w:spacing w:after="0"/>
              <w:rPr>
                <w:sz w:val="5"/>
                <w:szCs w:val="5"/>
                <w:color w:val="auto"/>
              </w:rPr>
            </w:pPr>
          </w:p>
        </w:tc>
        <w:tc>
          <w:tcPr>
            <w:tcW w:w="920" w:type="dxa"/>
            <w:vAlign w:val="bottom"/>
            <w:vMerge w:val="continue"/>
            <w:shd w:val="clear" w:color="auto" w:fill="CCECFF"/>
          </w:tcPr>
          <w:p>
            <w:pPr>
              <w:spacing w:after="0"/>
              <w:rPr>
                <w:sz w:val="5"/>
                <w:szCs w:val="5"/>
                <w:color w:val="auto"/>
              </w:rPr>
            </w:pPr>
          </w:p>
        </w:tc>
        <w:tc>
          <w:tcPr>
            <w:tcW w:w="1060" w:type="dxa"/>
            <w:vAlign w:val="bottom"/>
            <w:vMerge w:val="continue"/>
            <w:shd w:val="clear" w:color="auto" w:fill="CCECFF"/>
          </w:tcPr>
          <w:p>
            <w:pPr>
              <w:spacing w:after="0"/>
              <w:rPr>
                <w:sz w:val="5"/>
                <w:szCs w:val="5"/>
                <w:color w:val="auto"/>
              </w:rPr>
            </w:pPr>
          </w:p>
        </w:tc>
        <w:tc>
          <w:tcPr>
            <w:tcW w:w="880" w:type="dxa"/>
            <w:vAlign w:val="bottom"/>
            <w:vMerge w:val="continue"/>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680" w:type="dxa"/>
            <w:vAlign w:val="bottom"/>
            <w:vMerge w:val="continue"/>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76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560" w:type="dxa"/>
            <w:vAlign w:val="bottom"/>
          </w:tcPr>
          <w:p>
            <w:pPr>
              <w:ind w:left="80"/>
              <w:spacing w:after="0"/>
              <w:rPr>
                <w:sz w:val="20"/>
                <w:szCs w:val="20"/>
                <w:color w:val="auto"/>
              </w:rPr>
            </w:pPr>
            <w:r>
              <w:rPr>
                <w:rFonts w:ascii="Arial" w:cs="Arial" w:eastAsia="Arial" w:hAnsi="Arial"/>
                <w:sz w:val="10"/>
                <w:szCs w:val="10"/>
                <w:color w:val="auto"/>
              </w:rPr>
              <w:t xml:space="preserve">(Holdco Sands Intermediate, LLC) </w:t>
            </w:r>
            <w:r>
              <w:rPr>
                <w:rFonts w:ascii="Arial" w:cs="Arial" w:eastAsia="Arial" w:hAnsi="Arial"/>
                <w:sz w:val="12"/>
                <w:szCs w:val="12"/>
                <w:color w:val="auto"/>
                <w:vertAlign w:val="superscript"/>
              </w:rPr>
              <w:t>(9)</w:t>
            </w:r>
          </w:p>
        </w:tc>
        <w:tc>
          <w:tcPr>
            <w:tcW w:w="1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560" w:type="dxa"/>
            <w:vAlign w:val="bottom"/>
          </w:tcPr>
          <w:p>
            <w:pPr>
              <w:ind w:left="20"/>
              <w:spacing w:after="0"/>
              <w:rPr>
                <w:sz w:val="20"/>
                <w:szCs w:val="20"/>
                <w:color w:val="auto"/>
              </w:rPr>
            </w:pPr>
            <w:r>
              <w:rPr>
                <w:rFonts w:ascii="Arial" w:cs="Arial" w:eastAsia="Arial" w:hAnsi="Arial"/>
                <w:sz w:val="10"/>
                <w:szCs w:val="10"/>
                <w:color w:val="auto"/>
              </w:rPr>
              <w:t>OHCP V BC COI,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446,250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446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415</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OHCP V BC COI, L.P. </w:t>
            </w:r>
            <w:r>
              <w:rPr>
                <w:rFonts w:ascii="Arial" w:cs="Arial" w:eastAsia="Arial" w:hAnsi="Arial"/>
                <w:sz w:val="12"/>
                <w:szCs w:val="12"/>
                <w:color w:val="auto"/>
                <w:vertAlign w:val="superscript"/>
              </w:rPr>
              <w:t>(7),(9)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303,750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(21 )</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ORL Holdco, Inc.</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638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PennantPark-TSO Senior Loan Fund II, LP</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Financial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12,500,409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11,990</w:t>
            </w:r>
          </w:p>
        </w:tc>
        <w:tc>
          <w:tcPr>
            <w:tcW w:w="0" w:type="dxa"/>
            <w:vAlign w:val="bottom"/>
          </w:tcPr>
          <w:p>
            <w:pPr>
              <w:spacing w:after="0"/>
              <w:rPr>
                <w:sz w:val="1"/>
                <w:szCs w:val="1"/>
                <w:color w:val="auto"/>
              </w:rPr>
            </w:pPr>
          </w:p>
        </w:tc>
      </w:tr>
      <w:tr>
        <w:trPr>
          <w:trHeight w:val="144"/>
        </w:trPr>
        <w:tc>
          <w:tcPr>
            <w:tcW w:w="2560" w:type="dxa"/>
            <w:vAlign w:val="bottom"/>
          </w:tcPr>
          <w:p>
            <w:pPr>
              <w:ind w:left="20"/>
              <w:spacing w:after="0"/>
              <w:rPr>
                <w:sz w:val="20"/>
                <w:szCs w:val="20"/>
                <w:color w:val="auto"/>
              </w:rPr>
            </w:pPr>
            <w:r>
              <w:rPr>
                <w:rFonts w:ascii="Arial" w:cs="Arial" w:eastAsia="Arial" w:hAnsi="Arial"/>
                <w:sz w:val="10"/>
                <w:szCs w:val="10"/>
                <w:color w:val="auto"/>
              </w:rPr>
              <w:t xml:space="preserve">Pink Lily Holdco, LLC </w:t>
            </w:r>
            <w:r>
              <w:rPr>
                <w:rFonts w:ascii="Arial" w:cs="Arial" w:eastAsia="Arial" w:hAnsi="Arial"/>
                <w:sz w:val="12"/>
                <w:szCs w:val="12"/>
                <w:color w:val="auto"/>
                <w:vertAlign w:val="superscript"/>
              </w:rPr>
              <w:t>(9)</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1,044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401</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1,918,047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1,693</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Quad (U.S.) Co-Invest,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2,958,706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2,959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3,238</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362</w:t>
            </w:r>
          </w:p>
        </w:tc>
        <w:tc>
          <w:tcPr>
            <w:tcW w:w="0" w:type="dxa"/>
            <w:vAlign w:val="bottom"/>
          </w:tcPr>
          <w:p>
            <w:pPr>
              <w:spacing w:after="0"/>
              <w:rPr>
                <w:sz w:val="1"/>
                <w:szCs w:val="1"/>
                <w:color w:val="auto"/>
              </w:rPr>
            </w:pPr>
          </w:p>
        </w:tc>
      </w:tr>
      <w:tr>
        <w:trPr>
          <w:trHeight w:val="144"/>
        </w:trPr>
        <w:tc>
          <w:tcPr>
            <w:tcW w:w="2560" w:type="dxa"/>
            <w:vAlign w:val="bottom"/>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(7),(9)</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955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QuantiTech InvestCo II LP </w:t>
            </w:r>
            <w:r>
              <w:rPr>
                <w:rFonts w:ascii="Arial" w:cs="Arial" w:eastAsia="Arial" w:hAnsi="Arial"/>
                <w:sz w:val="12"/>
                <w:szCs w:val="12"/>
                <w:color w:val="auto"/>
                <w:vertAlign w:val="superscript"/>
              </w:rPr>
              <w:t>(9)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RFMG Parent,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1,050,000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1,050</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80"/>
              <w:spacing w:after="0"/>
              <w:rPr>
                <w:sz w:val="20"/>
                <w:szCs w:val="20"/>
                <w:color w:val="auto"/>
              </w:rPr>
            </w:pPr>
            <w:r>
              <w:rPr>
                <w:rFonts w:ascii="Arial" w:cs="Arial" w:eastAsia="Arial" w:hAnsi="Arial"/>
                <w:sz w:val="10"/>
                <w:szCs w:val="10"/>
                <w:color w:val="auto"/>
              </w:rPr>
              <w:t>(Rancho Health MSO, Inc.)</w:t>
            </w:r>
          </w:p>
        </w:tc>
        <w:tc>
          <w:tcPr>
            <w:tcW w:w="13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SBI Holdings Investments LLC</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36,585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366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368</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80"/>
              <w:spacing w:after="0"/>
              <w:rPr>
                <w:sz w:val="20"/>
                <w:szCs w:val="20"/>
                <w:color w:val="auto"/>
              </w:rPr>
            </w:pPr>
            <w:r>
              <w:rPr>
                <w:rFonts w:ascii="Arial" w:cs="Arial" w:eastAsia="Arial" w:hAnsi="Arial"/>
                <w:sz w:val="10"/>
                <w:szCs w:val="10"/>
                <w:color w:val="auto"/>
              </w:rPr>
              <w:t>(Sales Benchmark Index LLC)</w:t>
            </w:r>
          </w:p>
        </w:tc>
        <w:tc>
          <w:tcPr>
            <w:tcW w:w="13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Seaway Topco, LP</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2,981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2,981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2,840</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Signature CR Intermediate Holdco, Inc.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528</w:t>
            </w:r>
          </w:p>
        </w:tc>
        <w:tc>
          <w:tcPr>
            <w:tcW w:w="0" w:type="dxa"/>
            <w:vAlign w:val="bottom"/>
          </w:tcPr>
          <w:p>
            <w:pPr>
              <w:spacing w:after="0"/>
              <w:rPr>
                <w:sz w:val="1"/>
                <w:szCs w:val="1"/>
                <w:color w:val="auto"/>
              </w:rPr>
            </w:pPr>
          </w:p>
        </w:tc>
      </w:tr>
      <w:tr>
        <w:trPr>
          <w:trHeight w:val="140"/>
        </w:trPr>
        <w:tc>
          <w:tcPr>
            <w:tcW w:w="2560" w:type="dxa"/>
            <w:vAlign w:val="bottom"/>
          </w:tcPr>
          <w:p>
            <w:pPr>
              <w:ind w:left="20"/>
              <w:spacing w:after="0"/>
              <w:rPr>
                <w:sz w:val="20"/>
                <w:szCs w:val="20"/>
                <w:color w:val="auto"/>
              </w:rPr>
            </w:pPr>
            <w:r>
              <w:rPr>
                <w:rFonts w:ascii="Arial" w:cs="Arial" w:eastAsia="Arial" w:hAnsi="Arial"/>
                <w:sz w:val="10"/>
                <w:szCs w:val="10"/>
                <w:color w:val="auto"/>
              </w:rPr>
              <w:t>SP L2 Holdings, LLC</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881,966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539</w:t>
            </w: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SSC Dominion Holdings, LLC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2,041</w:t>
            </w:r>
          </w:p>
        </w:tc>
        <w:tc>
          <w:tcPr>
            <w:tcW w:w="0" w:type="dxa"/>
            <w:vAlign w:val="bottom"/>
          </w:tcPr>
          <w:p>
            <w:pPr>
              <w:spacing w:after="0"/>
              <w:rPr>
                <w:sz w:val="1"/>
                <w:szCs w:val="1"/>
                <w:color w:val="auto"/>
              </w:rPr>
            </w:pPr>
          </w:p>
        </w:tc>
      </w:tr>
      <w:tr>
        <w:trPr>
          <w:trHeight w:val="140"/>
        </w:trPr>
        <w:tc>
          <w:tcPr>
            <w:tcW w:w="2560" w:type="dxa"/>
            <w:vAlign w:val="bottom"/>
          </w:tcPr>
          <w:p>
            <w:pPr>
              <w:ind w:left="80"/>
              <w:spacing w:after="0"/>
              <w:rPr>
                <w:sz w:val="20"/>
                <w:szCs w:val="20"/>
                <w:color w:val="auto"/>
              </w:rPr>
            </w:pPr>
            <w:r>
              <w:rPr>
                <w:rFonts w:ascii="Arial" w:cs="Arial" w:eastAsia="Arial" w:hAnsi="Arial"/>
                <w:sz w:val="10"/>
                <w:szCs w:val="10"/>
                <w:color w:val="auto"/>
              </w:rPr>
              <w:t>Class A (US Dominion, Inc.)</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5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color w:val="auto"/>
              </w:rPr>
              <w:t>SSC Dominion Holdings, LLC</w:t>
            </w:r>
          </w:p>
        </w:tc>
        <w:tc>
          <w:tcPr>
            <w:tcW w:w="1300" w:type="dxa"/>
            <w:vAlign w:val="bottom"/>
            <w:tcBorders>
              <w:bottom w:val="single" w:sz="8" w:color="CCECFF"/>
            </w:tcBorders>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20" w:type="dxa"/>
            <w:vAlign w:val="bottom"/>
            <w:tcBorders>
              <w:bottom w:val="single" w:sz="8" w:color="CCECFF"/>
            </w:tcBorders>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1,500</w:t>
            </w:r>
          </w:p>
        </w:tc>
        <w:tc>
          <w:tcPr>
            <w:tcW w:w="260" w:type="dxa"/>
            <w:vAlign w:val="bottom"/>
            <w:tcBorders>
              <w:bottom w:val="single" w:sz="8" w:color="CCECFF"/>
            </w:tcBorders>
            <w:shd w:val="clear" w:color="auto" w:fill="CCECFF"/>
          </w:tcPr>
          <w:p>
            <w:pPr>
              <w:spacing w:after="0"/>
              <w:rPr>
                <w:sz w:val="14"/>
                <w:szCs w:val="14"/>
                <w:color w:val="auto"/>
              </w:rPr>
            </w:pPr>
          </w:p>
        </w:tc>
        <w:tc>
          <w:tcPr>
            <w:tcW w:w="68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3,049</w:t>
            </w:r>
          </w:p>
        </w:tc>
        <w:tc>
          <w:tcPr>
            <w:tcW w:w="0" w:type="dxa"/>
            <w:vAlign w:val="bottom"/>
          </w:tcPr>
          <w:p>
            <w:pPr>
              <w:spacing w:after="0"/>
              <w:rPr>
                <w:sz w:val="1"/>
                <w:szCs w:val="1"/>
                <w:color w:val="auto"/>
              </w:rPr>
            </w:pPr>
          </w:p>
        </w:tc>
      </w:tr>
      <w:tr>
        <w:trPr>
          <w:trHeight w:val="140"/>
        </w:trPr>
        <w:tc>
          <w:tcPr>
            <w:tcW w:w="2560" w:type="dxa"/>
            <w:vAlign w:val="bottom"/>
          </w:tcPr>
          <w:p>
            <w:pPr>
              <w:ind w:left="80"/>
              <w:spacing w:after="0"/>
              <w:rPr>
                <w:sz w:val="20"/>
                <w:szCs w:val="20"/>
                <w:color w:val="auto"/>
              </w:rPr>
            </w:pPr>
            <w:r>
              <w:rPr>
                <w:rFonts w:ascii="Arial" w:cs="Arial" w:eastAsia="Arial" w:hAnsi="Arial"/>
                <w:sz w:val="10"/>
                <w:szCs w:val="10"/>
                <w:color w:val="auto"/>
              </w:rPr>
              <w:t>Class B (US Dominion, Inc.)</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StellPen Holdings, LLC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153,846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162</w:t>
            </w:r>
          </w:p>
        </w:tc>
        <w:tc>
          <w:tcPr>
            <w:tcW w:w="0" w:type="dxa"/>
            <w:vAlign w:val="bottom"/>
          </w:tcPr>
          <w:p>
            <w:pPr>
              <w:spacing w:after="0"/>
              <w:rPr>
                <w:sz w:val="1"/>
                <w:szCs w:val="1"/>
                <w:color w:val="auto"/>
              </w:rPr>
            </w:pPr>
          </w:p>
        </w:tc>
      </w:tr>
      <w:tr>
        <w:trPr>
          <w:trHeight w:val="140"/>
        </w:trPr>
        <w:tc>
          <w:tcPr>
            <w:tcW w:w="2560" w:type="dxa"/>
            <w:vAlign w:val="bottom"/>
          </w:tcPr>
          <w:p>
            <w:pPr>
              <w:ind w:left="80"/>
              <w:spacing w:after="0"/>
              <w:rPr>
                <w:sz w:val="20"/>
                <w:szCs w:val="20"/>
                <w:color w:val="auto"/>
              </w:rPr>
            </w:pPr>
            <w:r>
              <w:rPr>
                <w:rFonts w:ascii="Arial" w:cs="Arial" w:eastAsia="Arial" w:hAnsi="Arial"/>
                <w:sz w:val="10"/>
                <w:szCs w:val="10"/>
                <w:color w:val="auto"/>
              </w:rPr>
              <w:t>(CF512, Inc.)</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TAC LifePort Holdings, LLC </w:t>
            </w:r>
            <w:r>
              <w:rPr>
                <w:rFonts w:ascii="Arial" w:cs="Arial" w:eastAsia="Arial" w:hAnsi="Arial"/>
                <w:sz w:val="12"/>
                <w:szCs w:val="12"/>
                <w:color w:val="auto"/>
                <w:vertAlign w:val="superscript"/>
              </w:rPr>
              <w:t>(9)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254,206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305</w:t>
            </w:r>
          </w:p>
        </w:tc>
        <w:tc>
          <w:tcPr>
            <w:tcW w:w="0" w:type="dxa"/>
            <w:vAlign w:val="bottom"/>
          </w:tcPr>
          <w:p>
            <w:pPr>
              <w:spacing w:after="0"/>
              <w:rPr>
                <w:sz w:val="1"/>
                <w:szCs w:val="1"/>
                <w:color w:val="auto"/>
              </w:rPr>
            </w:pPr>
          </w:p>
        </w:tc>
      </w:tr>
      <w:tr>
        <w:trPr>
          <w:trHeight w:val="144"/>
        </w:trPr>
        <w:tc>
          <w:tcPr>
            <w:tcW w:w="2560" w:type="dxa"/>
            <w:vAlign w:val="bottom"/>
          </w:tcPr>
          <w:p>
            <w:pPr>
              <w:ind w:left="20"/>
              <w:spacing w:after="0"/>
              <w:rPr>
                <w:sz w:val="20"/>
                <w:szCs w:val="20"/>
                <w:color w:val="auto"/>
              </w:rPr>
            </w:pPr>
            <w:r>
              <w:rPr>
                <w:rFonts w:ascii="Arial" w:cs="Arial" w:eastAsia="Arial" w:hAnsi="Arial"/>
                <w:sz w:val="10"/>
                <w:szCs w:val="10"/>
                <w:color w:val="auto"/>
              </w:rPr>
              <w:t xml:space="preserve">Tower Arch Infolinks Media, LP </w:t>
            </w:r>
            <w:r>
              <w:rPr>
                <w:rFonts w:ascii="Arial" w:cs="Arial" w:eastAsia="Arial" w:hAnsi="Arial"/>
                <w:sz w:val="12"/>
                <w:szCs w:val="12"/>
                <w:color w:val="auto"/>
                <w:vertAlign w:val="superscript"/>
              </w:rPr>
              <w:t>(9)</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533,903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513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1,061</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Tower Arch Infolinks Media, LP </w:t>
            </w:r>
            <w:r>
              <w:rPr>
                <w:rFonts w:ascii="Arial" w:cs="Arial" w:eastAsia="Arial" w:hAnsi="Arial"/>
                <w:sz w:val="12"/>
                <w:szCs w:val="12"/>
                <w:color w:val="auto"/>
                <w:vertAlign w:val="superscript"/>
              </w:rPr>
              <w:t>(7), (9)</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361,541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560" w:type="dxa"/>
            <w:vAlign w:val="bottom"/>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(8). (11)</w:t>
            </w:r>
          </w:p>
        </w:tc>
        <w:tc>
          <w:tcPr>
            <w:tcW w:w="1300" w:type="dxa"/>
            <w:vAlign w:val="bottom"/>
          </w:tcPr>
          <w:p>
            <w:pPr>
              <w:ind w:left="102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87"/>
              </w:rPr>
              <w:t>Food</w:t>
            </w:r>
          </w:p>
        </w:tc>
        <w:tc>
          <w:tcPr>
            <w:tcW w:w="920" w:type="dxa"/>
            <w:vAlign w:val="bottom"/>
          </w:tcPr>
          <w:p>
            <w:pPr>
              <w:ind w:left="66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11,527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44"/>
        </w:trPr>
        <w:tc>
          <w:tcPr>
            <w:tcW w:w="25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TWD Parent Holdings, LLC</w:t>
            </w:r>
          </w:p>
        </w:tc>
        <w:tc>
          <w:tcPr>
            <w:tcW w:w="1300" w:type="dxa"/>
            <w:vAlign w:val="bottom"/>
            <w:shd w:val="clear" w:color="auto" w:fill="CCECFF"/>
          </w:tcPr>
          <w:p>
            <w:pPr>
              <w:ind w:left="102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608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560" w:type="dxa"/>
            <w:vAlign w:val="bottom"/>
          </w:tcPr>
          <w:p>
            <w:pPr>
              <w:ind w:left="80"/>
              <w:spacing w:after="0"/>
              <w:rPr>
                <w:sz w:val="20"/>
                <w:szCs w:val="20"/>
                <w:color w:val="auto"/>
              </w:rPr>
            </w:pPr>
            <w:r>
              <w:rPr>
                <w:rFonts w:ascii="Arial" w:cs="Arial" w:eastAsia="Arial" w:hAnsi="Arial"/>
                <w:sz w:val="10"/>
                <w:szCs w:val="10"/>
                <w:color w:val="auto"/>
              </w:rPr>
              <w:t>(The Vertex Companies, LLC)</w:t>
            </w:r>
          </w:p>
        </w:tc>
        <w:tc>
          <w:tcPr>
            <w:tcW w:w="1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jc w:val="center"/>
              <w:ind w:right="32"/>
              <w:spacing w:after="0"/>
              <w:rPr>
                <w:sz w:val="20"/>
                <w:szCs w:val="20"/>
                <w:color w:val="auto"/>
              </w:rPr>
            </w:pPr>
            <w:r>
              <w:rPr>
                <w:rFonts w:ascii="Arial" w:cs="Arial" w:eastAsia="Arial" w:hAnsi="Arial"/>
                <w:sz w:val="10"/>
                <w:szCs w:val="10"/>
                <w:b w:val="1"/>
                <w:bCs w:val="1"/>
                <w:color w:val="auto"/>
                <w:w w:val="95"/>
              </w:rPr>
              <w:t>Basis Point</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0"/>
                <w:szCs w:val="10"/>
                <w:b w:val="1"/>
                <w:bCs w:val="1"/>
                <w:color w:val="auto"/>
              </w:rPr>
              <w:t>Maturity /</w:t>
            </w:r>
          </w:p>
        </w:tc>
        <w:tc>
          <w:tcPr>
            <w:tcW w:w="1860" w:type="dxa"/>
            <w:vAlign w:val="bottom"/>
          </w:tcPr>
          <w:p>
            <w:pPr>
              <w:spacing w:after="0"/>
              <w:rPr>
                <w:sz w:val="10"/>
                <w:szCs w:val="10"/>
                <w:color w:val="auto"/>
              </w:rPr>
            </w:pPr>
          </w:p>
        </w:tc>
        <w:tc>
          <w:tcPr>
            <w:tcW w:w="98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920" w:type="dxa"/>
            <w:vAlign w:val="bottom"/>
          </w:tcPr>
          <w:p>
            <w:pPr>
              <w:jc w:val="center"/>
              <w:ind w:right="12"/>
              <w:spacing w:after="0"/>
              <w:rPr>
                <w:sz w:val="20"/>
                <w:szCs w:val="20"/>
                <w:color w:val="auto"/>
              </w:rPr>
            </w:pPr>
            <w:r>
              <w:rPr>
                <w:rFonts w:ascii="Arial" w:cs="Arial" w:eastAsia="Arial" w:hAnsi="Arial"/>
                <w:sz w:val="10"/>
                <w:szCs w:val="10"/>
                <w:b w:val="1"/>
                <w:bCs w:val="1"/>
                <w:color w:val="auto"/>
                <w:w w:val="98"/>
              </w:rPr>
              <w:t>Spread Above</w:t>
            </w:r>
          </w:p>
        </w:tc>
        <w:tc>
          <w:tcPr>
            <w:tcW w:w="260" w:type="dxa"/>
            <w:vAlign w:val="bottom"/>
          </w:tcPr>
          <w:p>
            <w:pPr>
              <w:spacing w:after="0"/>
              <w:rPr>
                <w:sz w:val="10"/>
                <w:szCs w:val="10"/>
                <w:color w:val="auto"/>
              </w:rPr>
            </w:pPr>
          </w:p>
        </w:tc>
        <w:tc>
          <w:tcPr>
            <w:tcW w:w="820" w:type="dxa"/>
            <w:vAlign w:val="bottom"/>
          </w:tcPr>
          <w:p>
            <w:pPr>
              <w:jc w:val="right"/>
              <w:ind w:right="432"/>
              <w:spacing w:after="0"/>
              <w:rPr>
                <w:sz w:val="20"/>
                <w:szCs w:val="20"/>
                <w:color w:val="auto"/>
              </w:rPr>
            </w:pPr>
            <w:r>
              <w:rPr>
                <w:rFonts w:ascii="Arial" w:cs="Arial" w:eastAsia="Arial" w:hAnsi="Arial"/>
                <w:sz w:val="10"/>
                <w:szCs w:val="10"/>
                <w:b w:val="1"/>
                <w:bCs w:val="1"/>
                <w:color w:val="auto"/>
              </w:rPr>
              <w:t>Par /</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60" w:type="dxa"/>
            <w:vAlign w:val="bottom"/>
          </w:tcPr>
          <w:p>
            <w:pPr>
              <w:ind w:left="120"/>
              <w:spacing w:after="0"/>
              <w:rPr>
                <w:sz w:val="20"/>
                <w:szCs w:val="20"/>
                <w:color w:val="auto"/>
              </w:rPr>
            </w:pPr>
            <w:r>
              <w:rPr>
                <w:rFonts w:ascii="Arial" w:cs="Arial" w:eastAsia="Arial" w:hAnsi="Arial"/>
                <w:sz w:val="10"/>
                <w:szCs w:val="10"/>
                <w:b w:val="1"/>
                <w:bCs w:val="1"/>
                <w:color w:val="auto"/>
              </w:rPr>
              <w:t>Expiration</w:t>
            </w:r>
          </w:p>
        </w:tc>
        <w:tc>
          <w:tcPr>
            <w:tcW w:w="1860" w:type="dxa"/>
            <w:vAlign w:val="bottom"/>
          </w:tcPr>
          <w:p>
            <w:pPr>
              <w:jc w:val="center"/>
              <w:ind w:right="72"/>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920" w:type="dxa"/>
            <w:vAlign w:val="bottom"/>
          </w:tcPr>
          <w:p>
            <w:pPr>
              <w:jc w:val="center"/>
              <w:ind w:right="1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(4)</w:t>
            </w:r>
          </w:p>
        </w:tc>
        <w:tc>
          <w:tcPr>
            <w:tcW w:w="260" w:type="dxa"/>
            <w:vAlign w:val="bottom"/>
          </w:tcPr>
          <w:p>
            <w:pPr>
              <w:spacing w:after="0"/>
              <w:rPr>
                <w:sz w:val="11"/>
                <w:szCs w:val="11"/>
                <w:color w:val="auto"/>
              </w:rPr>
            </w:pPr>
          </w:p>
        </w:tc>
        <w:tc>
          <w:tcPr>
            <w:tcW w:w="820" w:type="dxa"/>
            <w:vAlign w:val="bottom"/>
          </w:tcPr>
          <w:p>
            <w:pPr>
              <w:jc w:val="right"/>
              <w:ind w:right="372"/>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580" w:type="dxa"/>
            <w:vAlign w:val="bottom"/>
          </w:tcPr>
          <w:p>
            <w:pPr>
              <w:jc w:val="right"/>
              <w:ind w:right="212"/>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UniVista Insurance </w:t>
            </w:r>
            <w:r>
              <w:rPr>
                <w:rFonts w:ascii="Arial" w:cs="Arial" w:eastAsia="Arial" w:hAnsi="Arial"/>
                <w:sz w:val="12"/>
                <w:szCs w:val="12"/>
                <w:color w:val="auto"/>
                <w:vertAlign w:val="superscript"/>
              </w:rPr>
              <w:t>(9)</w:t>
            </w:r>
          </w:p>
        </w:tc>
        <w:tc>
          <w:tcPr>
            <w:tcW w:w="9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400</w:t>
            </w:r>
          </w:p>
        </w:tc>
        <w:tc>
          <w:tcPr>
            <w:tcW w:w="1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374</w:t>
            </w:r>
          </w:p>
        </w:tc>
        <w:tc>
          <w:tcPr>
            <w:tcW w:w="280" w:type="dxa"/>
            <w:vAlign w:val="bottom"/>
            <w:gridSpan w:val="3"/>
            <w:shd w:val="clear" w:color="auto" w:fill="CCECFF"/>
          </w:tcPr>
          <w:p>
            <w:pPr>
              <w:jc w:val="right"/>
              <w:ind w:right="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Urology Partners Co., L.P.</w:t>
            </w:r>
          </w:p>
        </w:tc>
        <w:tc>
          <w:tcPr>
            <w:tcW w:w="960" w:type="dxa"/>
            <w:vAlign w:val="bottom"/>
          </w:tcPr>
          <w:p>
            <w:pPr>
              <w:ind w:left="580"/>
              <w:spacing w:after="0"/>
              <w:rPr>
                <w:sz w:val="20"/>
                <w:szCs w:val="20"/>
                <w:color w:val="auto"/>
              </w:rPr>
            </w:pPr>
            <w:r>
              <w:rPr>
                <w:rFonts w:ascii="Arial" w:cs="Arial" w:eastAsia="Arial" w:hAnsi="Arial"/>
                <w:sz w:val="10"/>
                <w:szCs w:val="10"/>
                <w:color w:val="auto"/>
              </w:rPr>
              <w:t>—</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1,111,111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WCP Ivyrehab QP CF Feeder, LP</w:t>
            </w:r>
          </w:p>
        </w:tc>
        <w:tc>
          <w:tcPr>
            <w:tcW w:w="9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3,762,257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3,696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3,620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WCP Ivyrehab QP CF Feeder, LP - Unfunded </w:t>
            </w:r>
            <w:r>
              <w:rPr>
                <w:rFonts w:ascii="Arial" w:cs="Arial" w:eastAsia="Arial" w:hAnsi="Arial"/>
                <w:sz w:val="12"/>
                <w:szCs w:val="12"/>
                <w:color w:val="auto"/>
                <w:vertAlign w:val="superscript"/>
              </w:rPr>
              <w:t>(7)</w:t>
            </w:r>
          </w:p>
        </w:tc>
        <w:tc>
          <w:tcPr>
            <w:tcW w:w="960" w:type="dxa"/>
            <w:vAlign w:val="bottom"/>
          </w:tcPr>
          <w:p>
            <w:pPr>
              <w:ind w:left="580"/>
              <w:spacing w:after="0"/>
              <w:rPr>
                <w:sz w:val="20"/>
                <w:szCs w:val="20"/>
                <w:color w:val="auto"/>
              </w:rPr>
            </w:pPr>
            <w:r>
              <w:rPr>
                <w:rFonts w:ascii="Arial" w:cs="Arial" w:eastAsia="Arial" w:hAnsi="Arial"/>
                <w:sz w:val="10"/>
                <w:szCs w:val="10"/>
                <w:color w:val="auto"/>
              </w:rPr>
              <w:t>—</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237,743</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Wildcat Parent, LP</w:t>
            </w:r>
          </w:p>
        </w:tc>
        <w:tc>
          <w:tcPr>
            <w:tcW w:w="9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2,314</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767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80"/>
              <w:spacing w:after="0"/>
              <w:rPr>
                <w:sz w:val="20"/>
                <w:szCs w:val="20"/>
                <w:color w:val="auto"/>
              </w:rPr>
            </w:pPr>
            <w:r>
              <w:rPr>
                <w:rFonts w:ascii="Arial" w:cs="Arial" w:eastAsia="Arial" w:hAnsi="Arial"/>
                <w:sz w:val="10"/>
                <w:szCs w:val="10"/>
                <w:color w:val="auto"/>
              </w:rPr>
              <w:t>(Wildcat Buyerco, Inc.)</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Common Equity/Partnership Interests/Warrants</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97,124</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113,870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Investments in Non-Controlled, Non-Affiliated Portfolio</w:t>
            </w:r>
          </w:p>
        </w:tc>
        <w:tc>
          <w:tcPr>
            <w:tcW w:w="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Companies</w:t>
            </w:r>
          </w:p>
        </w:tc>
        <w:tc>
          <w:tcPr>
            <w:tcW w:w="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876,705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879,572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gridSpan w:val="2"/>
            <w:shd w:val="clear" w:color="auto" w:fill="CCECFF"/>
          </w:tcPr>
          <w:p>
            <w:pPr>
              <w:ind w:left="20"/>
              <w:spacing w:after="0" w:line="108" w:lineRule="exact"/>
              <w:rPr>
                <w:sz w:val="20"/>
                <w:szCs w:val="20"/>
                <w:color w:val="auto"/>
              </w:rPr>
            </w:pPr>
            <w:r>
              <w:rPr>
                <w:rFonts w:ascii="Arial" w:cs="Arial" w:eastAsia="Arial" w:hAnsi="Arial"/>
                <w:sz w:val="10"/>
                <w:szCs w:val="10"/>
                <w:b w:val="1"/>
                <w:bCs w:val="1"/>
                <w:color w:val="auto"/>
                <w:w w:val="97"/>
              </w:rPr>
              <w:t>Investments in Non-Controlled, Affiliated Portfolio Companies—10.5% of Net Assets</w:t>
            </w:r>
          </w:p>
        </w:tc>
        <w:tc>
          <w:tcPr>
            <w:tcW w:w="1860" w:type="dxa"/>
            <w:vAlign w:val="bottom"/>
            <w:shd w:val="clear" w:color="auto" w:fill="CCECFF"/>
          </w:tcPr>
          <w:p>
            <w:pPr>
              <w:spacing w:after="0"/>
              <w:rPr>
                <w:sz w:val="9"/>
                <w:szCs w:val="9"/>
                <w:color w:val="auto"/>
              </w:rPr>
            </w:pPr>
          </w:p>
        </w:tc>
        <w:tc>
          <w:tcPr>
            <w:tcW w:w="98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6"/>
                <w:szCs w:val="6"/>
                <w:b w:val="1"/>
                <w:bCs w:val="1"/>
                <w:color w:val="auto"/>
              </w:rPr>
              <w:t>(1), (2)</w:t>
            </w:r>
          </w:p>
        </w:tc>
        <w:tc>
          <w:tcPr>
            <w:tcW w:w="960" w:type="dxa"/>
            <w:vAlign w:val="bottom"/>
            <w:tcBorders>
              <w:bottom w:val="single" w:sz="8" w:color="CCECFF"/>
            </w:tcBorders>
            <w:shd w:val="clear" w:color="auto" w:fill="CCECFF"/>
          </w:tcPr>
          <w:p>
            <w:pPr>
              <w:spacing w:after="0"/>
              <w:rPr>
                <w:sz w:val="8"/>
                <w:szCs w:val="8"/>
                <w:color w:val="auto"/>
              </w:rPr>
            </w:pPr>
          </w:p>
        </w:tc>
        <w:tc>
          <w:tcPr>
            <w:tcW w:w="1860" w:type="dxa"/>
            <w:vAlign w:val="bottom"/>
            <w:tcBorders>
              <w:bottom w:val="single" w:sz="8" w:color="CCECFF"/>
            </w:tcBorders>
            <w:shd w:val="clear" w:color="auto" w:fill="CCECFF"/>
          </w:tcPr>
          <w:p>
            <w:pPr>
              <w:spacing w:after="0"/>
              <w:rPr>
                <w:sz w:val="8"/>
                <w:szCs w:val="8"/>
                <w:color w:val="auto"/>
              </w:rPr>
            </w:pPr>
          </w:p>
        </w:tc>
        <w:tc>
          <w:tcPr>
            <w:tcW w:w="980" w:type="dxa"/>
            <w:vAlign w:val="bottom"/>
            <w:tcBorders>
              <w:bottom w:val="single" w:sz="8" w:color="CCECFF"/>
            </w:tcBorders>
            <w:shd w:val="clear" w:color="auto" w:fill="CCECFF"/>
          </w:tcPr>
          <w:p>
            <w:pPr>
              <w:spacing w:after="0"/>
              <w:rPr>
                <w:sz w:val="8"/>
                <w:szCs w:val="8"/>
                <w:color w:val="auto"/>
              </w:rPr>
            </w:pPr>
          </w:p>
        </w:tc>
        <w:tc>
          <w:tcPr>
            <w:tcW w:w="9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Debt—1.9% of Net Assets</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w:t>
            </w:r>
          </w:p>
        </w:tc>
        <w:tc>
          <w:tcPr>
            <w:tcW w:w="96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03/31/2027</w:t>
            </w:r>
          </w:p>
        </w:tc>
        <w:tc>
          <w:tcPr>
            <w:tcW w:w="1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11.52 %</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3M L+675</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6,263</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6,263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6,263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Walker Edison Furniture Company, LLC - Unfunded Term Loan</w:t>
            </w:r>
          </w:p>
        </w:tc>
        <w:tc>
          <w:tcPr>
            <w:tcW w:w="960" w:type="dxa"/>
            <w:vAlign w:val="bottom"/>
          </w:tcPr>
          <w:p>
            <w:pPr>
              <w:ind w:left="120"/>
              <w:spacing w:after="0"/>
              <w:rPr>
                <w:sz w:val="20"/>
                <w:szCs w:val="20"/>
                <w:color w:val="auto"/>
              </w:rPr>
            </w:pPr>
            <w:r>
              <w:rPr>
                <w:rFonts w:ascii="Arial" w:cs="Arial" w:eastAsia="Arial" w:hAnsi="Arial"/>
                <w:sz w:val="10"/>
                <w:szCs w:val="10"/>
                <w:color w:val="auto"/>
              </w:rPr>
              <w:t>03/31/2027</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833</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 - Junior Revolver</w:t>
            </w:r>
          </w:p>
        </w:tc>
        <w:tc>
          <w:tcPr>
            <w:tcW w:w="96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0"/>
                <w:szCs w:val="10"/>
                <w:color w:val="auto"/>
              </w:rPr>
              <w:t>03/31/2027</w:t>
            </w:r>
          </w:p>
        </w:tc>
        <w:tc>
          <w:tcPr>
            <w:tcW w:w="1860" w:type="dxa"/>
            <w:vAlign w:val="bottom"/>
            <w:tcBorders>
              <w:bottom w:val="single" w:sz="8" w:color="CCECFF"/>
            </w:tcBorders>
            <w:shd w:val="clear" w:color="auto" w:fill="CCECFF"/>
          </w:tcPr>
          <w:p>
            <w:pPr>
              <w:jc w:val="center"/>
              <w:ind w:right="92"/>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11.02 %</w:t>
            </w:r>
          </w:p>
        </w:tc>
        <w:tc>
          <w:tcPr>
            <w:tcW w:w="92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jc w:val="right"/>
              <w:ind w:right="172"/>
              <w:spacing w:after="0"/>
              <w:rPr>
                <w:sz w:val="20"/>
                <w:szCs w:val="20"/>
                <w:color w:val="auto"/>
              </w:rPr>
            </w:pPr>
            <w:r>
              <w:rPr>
                <w:rFonts w:ascii="Arial" w:cs="Arial" w:eastAsia="Arial" w:hAnsi="Arial"/>
                <w:sz w:val="10"/>
                <w:szCs w:val="10"/>
                <w:color w:val="auto"/>
              </w:rPr>
              <w:t>3,333</w:t>
            </w:r>
          </w:p>
        </w:tc>
        <w:tc>
          <w:tcPr>
            <w:tcW w:w="16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0"/>
                <w:szCs w:val="10"/>
                <w:color w:val="auto"/>
              </w:rPr>
              <w:t>3,333</w:t>
            </w:r>
          </w:p>
        </w:tc>
        <w:tc>
          <w:tcPr>
            <w:tcW w:w="1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0"/>
                <w:szCs w:val="10"/>
                <w:color w:val="auto"/>
              </w:rPr>
              <w:t>3,333</w:t>
            </w:r>
          </w:p>
        </w:tc>
        <w:tc>
          <w:tcPr>
            <w:tcW w:w="8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9,596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9,596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Preferred Equity/Partnership Interests—6.8% of Net Assets</w:t>
            </w:r>
            <w:r>
              <w:rPr>
                <w:rFonts w:ascii="Arial" w:cs="Arial" w:eastAsia="Arial" w:hAnsi="Arial"/>
                <w:sz w:val="12"/>
                <w:szCs w:val="12"/>
                <w:b w:val="1"/>
                <w:bCs w:val="1"/>
                <w:color w:val="auto"/>
                <w:vertAlign w:val="superscript"/>
              </w:rPr>
              <w:t>(6)</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Cascade Environmental Holdings, LLC </w:t>
            </w:r>
            <w:r>
              <w:rPr>
                <w:rFonts w:ascii="Arial" w:cs="Arial" w:eastAsia="Arial" w:hAnsi="Arial"/>
                <w:sz w:val="12"/>
                <w:szCs w:val="12"/>
                <w:color w:val="auto"/>
                <w:vertAlign w:val="superscript"/>
              </w:rPr>
              <w:t>(9)</w:t>
            </w:r>
          </w:p>
        </w:tc>
        <w:tc>
          <w:tcPr>
            <w:tcW w:w="960" w:type="dxa"/>
            <w:vAlign w:val="bottom"/>
          </w:tcPr>
          <w:p>
            <w:pPr>
              <w:ind w:left="580"/>
              <w:spacing w:after="0"/>
              <w:rPr>
                <w:sz w:val="20"/>
                <w:szCs w:val="20"/>
                <w:color w:val="auto"/>
              </w:rPr>
            </w:pPr>
            <w:r>
              <w:rPr>
                <w:rFonts w:ascii="Arial" w:cs="Arial" w:eastAsia="Arial" w:hAnsi="Arial"/>
                <w:sz w:val="10"/>
                <w:szCs w:val="10"/>
                <w:color w:val="auto"/>
              </w:rPr>
              <w:t>—</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5"/>
              </w:rPr>
              <w:t>Environmental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5,887,236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32,791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32,791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Cascade Environmental Holdings, LLC - Series B</w:t>
            </w:r>
          </w:p>
        </w:tc>
        <w:tc>
          <w:tcPr>
            <w:tcW w:w="9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Environmental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819</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819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834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Preferred Equity/Partnership Interests</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33,610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33,625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Common Equity/Partnership Interests/Warrants—1.7% of Net</w:t>
            </w:r>
          </w:p>
        </w:tc>
        <w:tc>
          <w:tcPr>
            <w:tcW w:w="960" w:type="dxa"/>
            <w:vAlign w:val="bottom"/>
            <w:shd w:val="clear" w:color="auto" w:fill="CCECFF"/>
          </w:tcPr>
          <w:p>
            <w:pPr>
              <w:spacing w:after="0"/>
              <w:rPr>
                <w:sz w:val="11"/>
                <w:szCs w:val="11"/>
                <w:color w:val="auto"/>
              </w:rPr>
            </w:pPr>
          </w:p>
        </w:tc>
        <w:tc>
          <w:tcPr>
            <w:tcW w:w="18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Arial" w:cs="Arial" w:eastAsia="Arial" w:hAnsi="Arial"/>
                <w:sz w:val="10"/>
                <w:szCs w:val="10"/>
                <w:b w:val="1"/>
                <w:bCs w:val="1"/>
                <w:color w:val="auto"/>
              </w:rPr>
              <w:t xml:space="preserve">Assets </w:t>
            </w:r>
            <w:r>
              <w:rPr>
                <w:rFonts w:ascii="Arial" w:cs="Arial" w:eastAsia="Arial" w:hAnsi="Arial"/>
                <w:sz w:val="12"/>
                <w:szCs w:val="12"/>
                <w:b w:val="1"/>
                <w:bCs w:val="1"/>
                <w:color w:val="auto"/>
                <w:vertAlign w:val="superscript"/>
              </w:rPr>
              <w:t>(6)</w:t>
            </w:r>
          </w:p>
        </w:tc>
        <w:tc>
          <w:tcPr>
            <w:tcW w:w="960" w:type="dxa"/>
            <w:vAlign w:val="bottom"/>
            <w:shd w:val="clear" w:color="auto" w:fill="CCECFF"/>
          </w:tcPr>
          <w:p>
            <w:pPr>
              <w:spacing w:after="0"/>
              <w:rPr>
                <w:sz w:val="11"/>
                <w:szCs w:val="11"/>
                <w:color w:val="auto"/>
              </w:rPr>
            </w:pPr>
          </w:p>
        </w:tc>
        <w:tc>
          <w:tcPr>
            <w:tcW w:w="18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Cascade Environmental Holdings, LLC</w:t>
            </w:r>
          </w:p>
        </w:tc>
        <w:tc>
          <w:tcPr>
            <w:tcW w:w="960" w:type="dxa"/>
            <w:vAlign w:val="bottom"/>
          </w:tcPr>
          <w:p>
            <w:pPr>
              <w:ind w:left="580"/>
              <w:spacing w:after="0"/>
              <w:rPr>
                <w:sz w:val="20"/>
                <w:szCs w:val="20"/>
                <w:color w:val="auto"/>
              </w:rPr>
            </w:pPr>
            <w:r>
              <w:rPr>
                <w:rFonts w:ascii="Arial" w:cs="Arial" w:eastAsia="Arial" w:hAnsi="Arial"/>
                <w:sz w:val="10"/>
                <w:szCs w:val="10"/>
                <w:color w:val="auto"/>
              </w:rPr>
              <w:t>—</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5"/>
              </w:rPr>
              <w:t>Environmental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7,444,347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2,852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JF Intermediate, LLC</w:t>
            </w:r>
          </w:p>
        </w:tc>
        <w:tc>
          <w:tcPr>
            <w:tcW w:w="9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19,687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1,969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1,969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Walker Edison Furniture</w:t>
            </w:r>
          </w:p>
        </w:tc>
        <w:tc>
          <w:tcPr>
            <w:tcW w:w="960" w:type="dxa"/>
            <w:vAlign w:val="bottom"/>
          </w:tcPr>
          <w:p>
            <w:pPr>
              <w:ind w:left="580"/>
              <w:spacing w:after="0"/>
              <w:rPr>
                <w:sz w:val="20"/>
                <w:szCs w:val="20"/>
                <w:color w:val="auto"/>
              </w:rPr>
            </w:pPr>
            <w:r>
              <w:rPr>
                <w:rFonts w:ascii="Arial" w:cs="Arial" w:eastAsia="Arial" w:hAnsi="Arial"/>
                <w:sz w:val="10"/>
                <w:szCs w:val="10"/>
                <w:color w:val="auto"/>
              </w:rPr>
              <w:t>—</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72,917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6,786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6,617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Common Equity/Partnership Interests/Warrants</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11,607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8,586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Investments in Non-Controlled, Affiliated Portfolio</w:t>
            </w:r>
          </w:p>
        </w:tc>
        <w:tc>
          <w:tcPr>
            <w:tcW w:w="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Companies</w:t>
            </w:r>
          </w:p>
        </w:tc>
        <w:tc>
          <w:tcPr>
            <w:tcW w:w="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54,813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51,807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Investments in Controlled, Affiliated Portfolio Companies</w:t>
            </w:r>
          </w:p>
        </w:tc>
        <w:tc>
          <w:tcPr>
            <w:tcW w:w="960" w:type="dxa"/>
            <w:vAlign w:val="bottom"/>
            <w:shd w:val="clear" w:color="auto" w:fill="CCECFF"/>
          </w:tcPr>
          <w:p>
            <w:pPr>
              <w:spacing w:after="0"/>
              <w:rPr>
                <w:sz w:val="11"/>
                <w:szCs w:val="11"/>
                <w:color w:val="auto"/>
              </w:rPr>
            </w:pPr>
          </w:p>
        </w:tc>
        <w:tc>
          <w:tcPr>
            <w:tcW w:w="18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Arial" w:cs="Arial" w:eastAsia="Arial" w:hAnsi="Arial"/>
                <w:sz w:val="10"/>
                <w:szCs w:val="10"/>
                <w:b w:val="1"/>
                <w:bCs w:val="1"/>
                <w:color w:val="auto"/>
              </w:rPr>
              <w:t xml:space="preserve">—40.6% of Net Assets </w:t>
            </w:r>
            <w:r>
              <w:rPr>
                <w:rFonts w:ascii="Arial" w:cs="Arial" w:eastAsia="Arial" w:hAnsi="Arial"/>
                <w:sz w:val="12"/>
                <w:szCs w:val="12"/>
                <w:b w:val="1"/>
                <w:bCs w:val="1"/>
                <w:color w:val="auto"/>
                <w:vertAlign w:val="superscript"/>
              </w:rPr>
              <w:t>(1), (2)</w:t>
            </w:r>
          </w:p>
        </w:tc>
        <w:tc>
          <w:tcPr>
            <w:tcW w:w="960" w:type="dxa"/>
            <w:vAlign w:val="bottom"/>
            <w:shd w:val="clear" w:color="auto" w:fill="CCECFF"/>
          </w:tcPr>
          <w:p>
            <w:pPr>
              <w:spacing w:after="0"/>
              <w:rPr>
                <w:sz w:val="11"/>
                <w:szCs w:val="11"/>
                <w:color w:val="auto"/>
              </w:rPr>
            </w:pPr>
          </w:p>
        </w:tc>
        <w:tc>
          <w:tcPr>
            <w:tcW w:w="18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Debt—9.9% of Net Assets</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AKW Holdings Limited </w:t>
            </w:r>
            <w:r>
              <w:rPr>
                <w:rFonts w:ascii="Arial" w:cs="Arial" w:eastAsia="Arial" w:hAnsi="Arial"/>
                <w:sz w:val="12"/>
                <w:szCs w:val="12"/>
                <w:color w:val="auto"/>
                <w:vertAlign w:val="superscript"/>
              </w:rPr>
              <w:t>(8), (10), (11)</w:t>
            </w:r>
          </w:p>
        </w:tc>
        <w:tc>
          <w:tcPr>
            <w:tcW w:w="96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03/15/2027</w:t>
            </w:r>
          </w:p>
        </w:tc>
        <w:tc>
          <w:tcPr>
            <w:tcW w:w="1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10.89 %</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3M L+700</w:t>
            </w:r>
          </w:p>
        </w:tc>
        <w:tc>
          <w:tcPr>
            <w:tcW w:w="26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39,722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54,580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49,114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54,580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49,114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Second Lien Secured Debt—0% of Net Assets</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Mailsouth Inc.</w:t>
            </w:r>
          </w:p>
        </w:tc>
        <w:tc>
          <w:tcPr>
            <w:tcW w:w="960" w:type="dxa"/>
            <w:vAlign w:val="bottom"/>
          </w:tcPr>
          <w:p>
            <w:pPr>
              <w:ind w:left="120"/>
              <w:spacing w:after="0"/>
              <w:rPr>
                <w:sz w:val="20"/>
                <w:szCs w:val="20"/>
                <w:color w:val="auto"/>
              </w:rPr>
            </w:pPr>
            <w:r>
              <w:rPr>
                <w:rFonts w:ascii="Arial" w:cs="Arial" w:eastAsia="Arial" w:hAnsi="Arial"/>
                <w:sz w:val="10"/>
                <w:szCs w:val="10"/>
                <w:color w:val="auto"/>
              </w:rPr>
              <w:t>04/23/2025</w:t>
            </w:r>
          </w:p>
        </w:tc>
        <w:tc>
          <w:tcPr>
            <w:tcW w:w="1860" w:type="dxa"/>
            <w:vAlign w:val="bottom"/>
          </w:tcPr>
          <w:p>
            <w:pPr>
              <w:jc w:val="center"/>
              <w:ind w:right="112"/>
              <w:spacing w:after="0"/>
              <w:rPr>
                <w:sz w:val="20"/>
                <w:szCs w:val="20"/>
                <w:color w:val="auto"/>
              </w:rPr>
            </w:pPr>
            <w:r>
              <w:rPr>
                <w:rFonts w:ascii="Arial" w:cs="Arial" w:eastAsia="Arial" w:hAnsi="Arial"/>
                <w:sz w:val="10"/>
                <w:szCs w:val="10"/>
                <w:color w:val="auto"/>
                <w:w w:val="95"/>
              </w:rPr>
              <w:t>Printing and Publishing</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13,847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12,382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12,382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Subordinated Debt—19.2% of Net Assets</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PennantPark Senior Loan Fund, LLC </w:t>
            </w:r>
            <w:r>
              <w:rPr>
                <w:rFonts w:ascii="Arial" w:cs="Arial" w:eastAsia="Arial" w:hAnsi="Arial"/>
                <w:sz w:val="12"/>
                <w:szCs w:val="12"/>
                <w:color w:val="auto"/>
                <w:vertAlign w:val="superscript"/>
              </w:rPr>
              <w:t>(11)</w:t>
            </w:r>
          </w:p>
        </w:tc>
        <w:tc>
          <w:tcPr>
            <w:tcW w:w="96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07/31/2027</w:t>
            </w:r>
          </w:p>
        </w:tc>
        <w:tc>
          <w:tcPr>
            <w:tcW w:w="1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3"/>
              </w:rPr>
              <w:t>Financial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12.83 %</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3M L+800</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95,351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95,351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95,351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Subordinated Debt</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95,351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95,351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 xml:space="preserve">Common Equity—11.4% of Net Assets </w:t>
            </w:r>
            <w:r>
              <w:rPr>
                <w:rFonts w:ascii="Arial" w:cs="Arial" w:eastAsia="Arial" w:hAnsi="Arial"/>
                <w:sz w:val="12"/>
                <w:szCs w:val="12"/>
                <w:b w:val="1"/>
                <w:bCs w:val="1"/>
                <w:color w:val="auto"/>
                <w:vertAlign w:val="superscript"/>
              </w:rPr>
              <w:t>(6)</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AKW Holdings Limited </w:t>
            </w:r>
            <w:r>
              <w:rPr>
                <w:rFonts w:ascii="Arial" w:cs="Arial" w:eastAsia="Arial" w:hAnsi="Arial"/>
                <w:sz w:val="12"/>
                <w:szCs w:val="12"/>
                <w:color w:val="auto"/>
                <w:vertAlign w:val="superscript"/>
              </w:rPr>
              <w:t>(8), (10), (11)</w:t>
            </w:r>
          </w:p>
        </w:tc>
        <w:tc>
          <w:tcPr>
            <w:tcW w:w="960" w:type="dxa"/>
            <w:vAlign w:val="bottom"/>
          </w:tcPr>
          <w:p>
            <w:pPr>
              <w:ind w:left="580"/>
              <w:spacing w:after="0"/>
              <w:rPr>
                <w:sz w:val="20"/>
                <w:szCs w:val="20"/>
                <w:color w:val="auto"/>
              </w:rPr>
            </w:pPr>
            <w:r>
              <w:rPr>
                <w:rFonts w:ascii="Arial" w:cs="Arial" w:eastAsia="Arial" w:hAnsi="Arial"/>
                <w:sz w:val="10"/>
                <w:szCs w:val="10"/>
                <w:color w:val="auto"/>
              </w:rPr>
              <w:t>—</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950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3,293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MSpark, LLC</w:t>
            </w:r>
          </w:p>
        </w:tc>
        <w:tc>
          <w:tcPr>
            <w:tcW w:w="9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5"/>
              </w:rPr>
              <w:t>Printing and Publishing</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51,151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16,516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PennantPark Senior Loan Fund, LLC</w:t>
            </w:r>
          </w:p>
        </w:tc>
        <w:tc>
          <w:tcPr>
            <w:tcW w:w="960" w:type="dxa"/>
            <w:vAlign w:val="bottom"/>
          </w:tcPr>
          <w:p>
            <w:pPr>
              <w:ind w:left="580"/>
              <w:spacing w:after="0"/>
              <w:rPr>
                <w:sz w:val="20"/>
                <w:szCs w:val="20"/>
                <w:color w:val="auto"/>
              </w:rPr>
            </w:pPr>
            <w:r>
              <w:rPr>
                <w:rFonts w:ascii="Arial" w:cs="Arial" w:eastAsia="Arial" w:hAnsi="Arial"/>
                <w:sz w:val="10"/>
                <w:szCs w:val="10"/>
                <w:color w:val="auto"/>
              </w:rPr>
              <w:t>—</w:t>
            </w:r>
          </w:p>
        </w:tc>
        <w:tc>
          <w:tcPr>
            <w:tcW w:w="1860" w:type="dxa"/>
            <w:vAlign w:val="bottom"/>
          </w:tcPr>
          <w:p>
            <w:pPr>
              <w:jc w:val="center"/>
              <w:ind w:right="92"/>
              <w:spacing w:after="0"/>
              <w:rPr>
                <w:sz w:val="20"/>
                <w:szCs w:val="20"/>
                <w:color w:val="auto"/>
              </w:rPr>
            </w:pPr>
            <w:r>
              <w:rPr>
                <w:rFonts w:ascii="Arial" w:cs="Arial" w:eastAsia="Arial" w:hAnsi="Arial"/>
                <w:sz w:val="10"/>
                <w:szCs w:val="10"/>
                <w:color w:val="auto"/>
                <w:w w:val="93"/>
              </w:rPr>
              <w:t>Financial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54,058,415</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54,121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53,374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Common Equity</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70,769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56,667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w w:val="98"/>
              </w:rPr>
              <w:t>Total Investments in Controlled, Affiliated Portfolio Companies</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233,082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201,132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Investments—228.5% of Net Assets</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1,164,600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1,132,511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Equivalents—12.7% of Net Assets</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BlackRock Federal FD Institutional 30</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46,497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46,497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BNY Mellon Cash Reserve and Cash</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16,608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16,638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960" w:type="dxa"/>
            <w:vAlign w:val="bottom"/>
            <w:shd w:val="clear" w:color="auto" w:fill="CCECFF"/>
          </w:tcPr>
          <w:p>
            <w:pPr>
              <w:spacing w:after="0"/>
              <w:rPr>
                <w:sz w:val="12"/>
                <w:szCs w:val="12"/>
                <w:color w:val="auto"/>
              </w:rPr>
            </w:pPr>
          </w:p>
        </w:tc>
        <w:tc>
          <w:tcPr>
            <w:tcW w:w="1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63,105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63,135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Investments and Cash Equivalents—241.2% of Net</w:t>
            </w:r>
          </w:p>
        </w:tc>
        <w:tc>
          <w:tcPr>
            <w:tcW w:w="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1,227,705</w:t>
            </w:r>
          </w:p>
        </w:tc>
        <w:tc>
          <w:tcPr>
            <w:tcW w:w="100" w:type="dxa"/>
            <w:vAlign w:val="bottom"/>
          </w:tcPr>
          <w:p>
            <w:pPr>
              <w:spacing w:after="0"/>
              <w:rPr>
                <w:sz w:val="11"/>
                <w:szCs w:val="1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1,195,646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980" w:type="dxa"/>
            <w:vAlign w:val="bottom"/>
          </w:tcPr>
          <w:p>
            <w:pPr>
              <w:ind w:left="20"/>
              <w:spacing w:after="0" w:line="79" w:lineRule="exact"/>
              <w:rPr>
                <w:sz w:val="20"/>
                <w:szCs w:val="20"/>
                <w:color w:val="auto"/>
              </w:rPr>
            </w:pPr>
            <w:r>
              <w:rPr>
                <w:rFonts w:ascii="Arial" w:cs="Arial" w:eastAsia="Arial" w:hAnsi="Arial"/>
                <w:sz w:val="8"/>
                <w:szCs w:val="8"/>
                <w:b w:val="1"/>
                <w:bCs w:val="1"/>
                <w:color w:val="auto"/>
              </w:rPr>
              <w:t>Assets</w:t>
            </w:r>
          </w:p>
        </w:tc>
        <w:tc>
          <w:tcPr>
            <w:tcW w:w="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Liabilities in Excess of Other Assets—(141.2%) of Net Assets</w:t>
            </w:r>
          </w:p>
        </w:tc>
        <w:tc>
          <w:tcPr>
            <w:tcW w:w="960" w:type="dxa"/>
            <w:vAlign w:val="bottom"/>
            <w:shd w:val="clear" w:color="auto" w:fill="CCECFF"/>
          </w:tcPr>
          <w:p>
            <w:pPr>
              <w:spacing w:after="0"/>
              <w:rPr>
                <w:sz w:val="10"/>
                <w:szCs w:val="10"/>
                <w:color w:val="auto"/>
              </w:rPr>
            </w:pPr>
          </w:p>
        </w:tc>
        <w:tc>
          <w:tcPr>
            <w:tcW w:w="1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(699,931 )</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Net Assets—100.0%</w:t>
            </w:r>
          </w:p>
        </w:tc>
        <w:tc>
          <w:tcPr>
            <w:tcW w:w="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495,715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271" w:lineRule="auto"/>
        <w:rPr>
          <w:sz w:val="20"/>
          <w:szCs w:val="20"/>
          <w:color w:val="auto"/>
        </w:rPr>
      </w:pPr>
      <w:r>
        <w:rPr>
          <w:rFonts w:ascii="Arial" w:cs="Arial" w:eastAsia="Arial" w:hAnsi="Arial"/>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spacing w:after="0" w:line="2" w:lineRule="exact"/>
        <w:rPr>
          <w:sz w:val="20"/>
          <w:szCs w:val="20"/>
          <w:color w:val="auto"/>
        </w:rPr>
      </w:pPr>
    </w:p>
    <w:p>
      <w:pPr>
        <w:ind w:right="380"/>
        <w:spacing w:after="0" w:line="271" w:lineRule="auto"/>
        <w:rPr>
          <w:sz w:val="20"/>
          <w:szCs w:val="20"/>
          <w:color w:val="auto"/>
        </w:rPr>
      </w:pPr>
      <w:r>
        <w:rPr>
          <w:rFonts w:ascii="Arial" w:cs="Arial" w:eastAsia="Arial" w:hAnsi="Arial"/>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(3)Valued based on our accounting policy (See Note 2).</w:t>
      </w:r>
    </w:p>
    <w:p>
      <w:pPr>
        <w:spacing w:after="0" w:line="30" w:lineRule="exact"/>
        <w:rPr>
          <w:sz w:val="20"/>
          <w:szCs w:val="20"/>
          <w:color w:val="auto"/>
        </w:rPr>
      </w:pPr>
    </w:p>
    <w:p>
      <w:pPr>
        <w:ind w:right="20"/>
        <w:spacing w:after="0" w:line="288" w:lineRule="auto"/>
        <w:rPr>
          <w:sz w:val="20"/>
          <w:szCs w:val="20"/>
          <w:color w:val="auto"/>
        </w:rPr>
      </w:pPr>
      <w:r>
        <w:rPr>
          <w:rFonts w:ascii="Arial" w:cs="Arial" w:eastAsia="Arial" w:hAnsi="Arial"/>
          <w:sz w:val="10"/>
          <w:szCs w:val="10"/>
          <w:color w:val="auto"/>
        </w:rPr>
        <w:t>(4)Represents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rPr>
          <w:sz w:val="20"/>
          <w:szCs w:val="20"/>
          <w:color w:val="auto"/>
        </w:rPr>
      </w:pPr>
      <w:r>
        <w:rPr>
          <w:rFonts w:ascii="Arial" w:cs="Arial" w:eastAsia="Arial" w:hAnsi="Arial"/>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(8)Non-U.S.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(10)Par / Shares amount is denominated in British Pounds (£) as denoted.</w:t>
      </w:r>
    </w:p>
    <w:p>
      <w:pPr>
        <w:spacing w:after="0" w:line="30" w:lineRule="exact"/>
        <w:rPr>
          <w:sz w:val="20"/>
          <w:szCs w:val="20"/>
          <w:color w:val="auto"/>
        </w:rPr>
      </w:pPr>
    </w:p>
    <w:p>
      <w:pPr>
        <w:ind w:right="120"/>
        <w:spacing w:after="0" w:line="271" w:lineRule="auto"/>
        <w:rPr>
          <w:sz w:val="20"/>
          <w:szCs w:val="20"/>
          <w:color w:val="auto"/>
        </w:rPr>
      </w:pPr>
      <w:r>
        <w:rPr>
          <w:rFonts w:ascii="Arial" w:cs="Arial" w:eastAsia="Arial" w:hAnsi="Arial"/>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March 31, 2023, qualifying assets represent 79% of the Company’s total assets and non-qualifying assets represent 21% of the Company’s total assets.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40" w:orient="portrait"/>
          <w:cols w:equalWidth="0" w:num="1">
            <w:col w:w="10560"/>
          </w:cols>
          <w:pgMar w:left="660" w:top="734" w:right="68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980" w:type="dxa"/>
            <w:vAlign w:val="bottom"/>
          </w:tcPr>
          <w:p>
            <w:pPr>
              <w:jc w:val="center"/>
              <w:ind w:left="112"/>
              <w:spacing w:after="0"/>
              <w:rPr>
                <w:sz w:val="20"/>
                <w:szCs w:val="20"/>
                <w:color w:val="auto"/>
              </w:rPr>
            </w:pPr>
            <w:r>
              <w:rPr>
                <w:rFonts w:ascii="Arial" w:cs="Arial" w:eastAsia="Arial" w:hAnsi="Arial"/>
                <w:sz w:val="10"/>
                <w:szCs w:val="10"/>
                <w:b w:val="1"/>
                <w:bCs w:val="1"/>
                <w:color w:val="auto"/>
                <w:w w:val="94"/>
              </w:rPr>
              <w:t>Maturity /</w:t>
            </w:r>
          </w:p>
        </w:tc>
        <w:tc>
          <w:tcPr>
            <w:tcW w:w="1960" w:type="dxa"/>
            <w:vAlign w:val="bottom"/>
          </w:tcPr>
          <w:p>
            <w:pPr>
              <w:spacing w:after="0"/>
              <w:rPr>
                <w:sz w:val="10"/>
                <w:szCs w:val="10"/>
                <w:color w:val="auto"/>
              </w:rPr>
            </w:pPr>
          </w:p>
        </w:tc>
        <w:tc>
          <w:tcPr>
            <w:tcW w:w="98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Spread Above</w:t>
            </w:r>
          </w:p>
        </w:tc>
        <w:tc>
          <w:tcPr>
            <w:tcW w:w="88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80" w:type="dxa"/>
            <w:vAlign w:val="bottom"/>
          </w:tcPr>
          <w:p>
            <w:pPr>
              <w:jc w:val="center"/>
              <w:ind w:left="112"/>
              <w:spacing w:after="0"/>
              <w:rPr>
                <w:sz w:val="20"/>
                <w:szCs w:val="20"/>
                <w:color w:val="auto"/>
              </w:rPr>
            </w:pPr>
            <w:r>
              <w:rPr>
                <w:rFonts w:ascii="Arial" w:cs="Arial" w:eastAsia="Arial" w:hAnsi="Arial"/>
                <w:sz w:val="10"/>
                <w:szCs w:val="10"/>
                <w:b w:val="1"/>
                <w:bCs w:val="1"/>
                <w:color w:val="auto"/>
                <w:w w:val="93"/>
              </w:rPr>
              <w:t>Expiration</w:t>
            </w:r>
          </w:p>
        </w:tc>
        <w:tc>
          <w:tcPr>
            <w:tcW w:w="19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3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Investments in Non-Controlled, Non-Affiliated Portfolio</w:t>
            </w:r>
          </w:p>
        </w:tc>
        <w:tc>
          <w:tcPr>
            <w:tcW w:w="98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line="135" w:lineRule="exact"/>
              <w:rPr>
                <w:sz w:val="20"/>
                <w:szCs w:val="20"/>
                <w:color w:val="auto"/>
              </w:rPr>
            </w:pPr>
            <w:r>
              <w:rPr>
                <w:rFonts w:ascii="Arial" w:cs="Arial" w:eastAsia="Arial" w:hAnsi="Arial"/>
                <w:sz w:val="10"/>
                <w:szCs w:val="10"/>
                <w:b w:val="1"/>
                <w:bCs w:val="1"/>
                <w:color w:val="auto"/>
              </w:rPr>
              <w:t xml:space="preserve">Companies—159.2% of Net Assets </w:t>
            </w:r>
            <w:r>
              <w:rPr>
                <w:rFonts w:ascii="Arial" w:cs="Arial" w:eastAsia="Arial" w:hAnsi="Arial"/>
                <w:sz w:val="12"/>
                <w:szCs w:val="12"/>
                <w:b w:val="1"/>
                <w:bCs w:val="1"/>
                <w:color w:val="auto"/>
                <w:vertAlign w:val="superscript"/>
              </w:rPr>
              <w:t>(1), (2)</w:t>
            </w:r>
          </w:p>
        </w:tc>
        <w:tc>
          <w:tcPr>
            <w:tcW w:w="98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Debt—100.5% of Net Assets</w:t>
            </w:r>
          </w:p>
        </w:tc>
        <w:tc>
          <w:tcPr>
            <w:tcW w:w="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Ad.net Acquisition,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05/06/2026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444</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Altamira Technologies,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07/24/2025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11.67 %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L+800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96"/>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Altamira Technologies,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07/24/2025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138</w:t>
            </w:r>
          </w:p>
        </w:tc>
        <w:tc>
          <w:tcPr>
            <w:tcW w:w="260" w:type="dxa"/>
            <w:vAlign w:val="bottom"/>
            <w:shd w:val="clear" w:color="auto" w:fill="CCECFF"/>
          </w:tcPr>
          <w:p>
            <w:pPr>
              <w:spacing w:after="0"/>
              <w:rPr>
                <w:sz w:val="17"/>
                <w:szCs w:val="17"/>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line="196" w:lineRule="exact"/>
              <w:rPr>
                <w:sz w:val="20"/>
                <w:szCs w:val="20"/>
                <w:color w:val="auto"/>
              </w:rPr>
            </w:pPr>
            <w:r>
              <w:rPr>
                <w:rFonts w:ascii="Arial" w:cs="Arial" w:eastAsia="Arial" w:hAnsi="Arial"/>
                <w:sz w:val="10"/>
                <w:szCs w:val="10"/>
                <w:color w:val="auto"/>
              </w:rPr>
              <w:t xml:space="preserve">(5 </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American Insulated Glass,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12/21/2023</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Building Materials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7.79 %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3,329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3,310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3,329</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Anteriad, LLC (f/k/a MeritDirect,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05/23/2024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rPr>
                <w:sz w:val="20"/>
                <w:szCs w:val="20"/>
                <w:color w:val="auto"/>
              </w:rPr>
            </w:pPr>
            <w:r>
              <w:rPr>
                <w:rFonts w:ascii="Arial" w:cs="Arial" w:eastAsia="Arial" w:hAnsi="Arial"/>
                <w:sz w:val="10"/>
                <w:szCs w:val="10"/>
                <w:color w:val="auto"/>
              </w:rPr>
              <w:t>Any Hour Services</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07/21/2027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8.15 %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4,120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4,086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4,038</w:t>
            </w: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Any Hour Services (Revolver)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vMerge w:val="continue"/>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07/21/2027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1,147</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(23 )</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rPr>
                <w:sz w:val="20"/>
                <w:szCs w:val="20"/>
                <w:color w:val="auto"/>
              </w:rPr>
            </w:pPr>
            <w:r>
              <w:rPr>
                <w:rFonts w:ascii="Arial" w:cs="Arial" w:eastAsia="Arial" w:hAnsi="Arial"/>
                <w:sz w:val="10"/>
                <w:szCs w:val="10"/>
                <w:color w:val="auto"/>
              </w:rPr>
              <w:t>Apex Service Partners,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07/31/2025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7.60 %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1,331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1,331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1,324</w:t>
            </w:r>
          </w:p>
        </w:tc>
        <w:tc>
          <w:tcPr>
            <w:tcW w:w="0" w:type="dxa"/>
            <w:vAlign w:val="bottom"/>
          </w:tcPr>
          <w:p>
            <w:pPr>
              <w:spacing w:after="0"/>
              <w:rPr>
                <w:sz w:val="1"/>
                <w:szCs w:val="1"/>
                <w:color w:val="auto"/>
              </w:rPr>
            </w:pPr>
          </w:p>
        </w:tc>
      </w:tr>
      <w:tr>
        <w:trPr>
          <w:trHeight w:val="139"/>
        </w:trPr>
        <w:tc>
          <w:tcPr>
            <w:tcW w:w="2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07/31/2025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9.08 %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1,893</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1,873</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1,883</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rPr>
                <w:sz w:val="20"/>
                <w:szCs w:val="20"/>
                <w:color w:val="auto"/>
              </w:rPr>
            </w:pPr>
            <w:r>
              <w:rPr>
                <w:rFonts w:ascii="Arial" w:cs="Arial" w:eastAsia="Arial" w:hAnsi="Arial"/>
                <w:sz w:val="10"/>
                <w:szCs w:val="10"/>
                <w:color w:val="auto"/>
              </w:rPr>
              <w:t>Apex Service Partners,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07/31/2025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6.72 %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Apex Service Partners, LLC (Revolver)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60" w:type="dxa"/>
            <w:vAlign w:val="bottom"/>
            <w:tcBorders>
              <w:bottom w:val="single" w:sz="8" w:color="CCECFF"/>
            </w:tcBorders>
            <w:vMerge w:val="continue"/>
            <w:shd w:val="clear" w:color="auto" w:fill="CCECFF"/>
          </w:tcPr>
          <w:p>
            <w:pPr>
              <w:spacing w:after="0"/>
              <w:rPr>
                <w:sz w:val="9"/>
                <w:szCs w:val="9"/>
                <w:color w:val="auto"/>
              </w:rPr>
            </w:pPr>
          </w:p>
        </w:tc>
        <w:tc>
          <w:tcPr>
            <w:tcW w:w="980" w:type="dxa"/>
            <w:vAlign w:val="bottom"/>
            <w:tcBorders>
              <w:bottom w:val="single" w:sz="8" w:color="CCECFF"/>
            </w:tcBorders>
            <w:shd w:val="clear" w:color="auto" w:fill="CCECFF"/>
          </w:tcPr>
          <w:p>
            <w:pPr>
              <w:jc w:val="center"/>
              <w:ind w:left="92"/>
              <w:spacing w:after="0" w:line="109" w:lineRule="exact"/>
              <w:rPr>
                <w:sz w:val="20"/>
                <w:szCs w:val="20"/>
                <w:color w:val="auto"/>
              </w:rPr>
            </w:pPr>
            <w:r>
              <w:rPr>
                <w:rFonts w:ascii="Arial" w:cs="Arial" w:eastAsia="Arial" w:hAnsi="Arial"/>
                <w:sz w:val="10"/>
                <w:szCs w:val="10"/>
                <w:color w:val="auto"/>
                <w:w w:val="95"/>
              </w:rPr>
              <w:t>07/31/2025</w:t>
            </w:r>
          </w:p>
        </w:tc>
        <w:tc>
          <w:tcPr>
            <w:tcW w:w="1960" w:type="dxa"/>
            <w:vAlign w:val="bottom"/>
            <w:tcBorders>
              <w:bottom w:val="single" w:sz="8" w:color="CCECFF"/>
            </w:tcBorders>
            <w:shd w:val="clear" w:color="auto" w:fill="CCECFF"/>
          </w:tcPr>
          <w:p>
            <w:pPr>
              <w:jc w:val="center"/>
              <w:spacing w:after="0" w:line="109" w:lineRule="exact"/>
              <w:rPr>
                <w:sz w:val="20"/>
                <w:szCs w:val="20"/>
                <w:color w:val="auto"/>
              </w:rPr>
            </w:pPr>
            <w:r>
              <w:rPr>
                <w:rFonts w:ascii="Arial" w:cs="Arial" w:eastAsia="Arial" w:hAnsi="Arial"/>
                <w:sz w:val="10"/>
                <w:szCs w:val="10"/>
                <w:color w:val="auto"/>
                <w:w w:val="93"/>
              </w:rPr>
              <w:t>Services</w:t>
            </w:r>
          </w:p>
        </w:tc>
        <w:tc>
          <w:tcPr>
            <w:tcW w:w="980" w:type="dxa"/>
            <w:vAlign w:val="bottom"/>
            <w:tcBorders>
              <w:bottom w:val="single" w:sz="8" w:color="CCECFF"/>
            </w:tcBorders>
            <w:shd w:val="clear" w:color="auto" w:fill="CCECFF"/>
          </w:tcPr>
          <w:p>
            <w:pPr>
              <w:jc w:val="right"/>
              <w:ind w:right="152"/>
              <w:spacing w:after="0" w:line="109" w:lineRule="exact"/>
              <w:rPr>
                <w:sz w:val="20"/>
                <w:szCs w:val="20"/>
                <w:color w:val="auto"/>
              </w:rPr>
            </w:pPr>
            <w:r>
              <w:rPr>
                <w:rFonts w:ascii="Arial" w:cs="Arial" w:eastAsia="Arial" w:hAnsi="Arial"/>
                <w:sz w:val="10"/>
                <w:szCs w:val="10"/>
                <w:color w:val="auto"/>
              </w:rPr>
              <w:t>—</w:t>
            </w:r>
          </w:p>
        </w:tc>
        <w:tc>
          <w:tcPr>
            <w:tcW w:w="1020" w:type="dxa"/>
            <w:vAlign w:val="bottom"/>
            <w:tcBorders>
              <w:bottom w:val="single" w:sz="8" w:color="CCECFF"/>
            </w:tcBorders>
            <w:shd w:val="clear" w:color="auto" w:fill="CCECFF"/>
          </w:tcPr>
          <w:p>
            <w:pPr>
              <w:jc w:val="right"/>
              <w:ind w:right="192"/>
              <w:spacing w:after="0" w:line="109"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CCECFF"/>
            </w:tcBorders>
            <w:shd w:val="clear" w:color="auto" w:fill="CCECFF"/>
          </w:tcPr>
          <w:p>
            <w:pPr>
              <w:jc w:val="right"/>
              <w:ind w:right="72"/>
              <w:spacing w:after="0" w:line="109" w:lineRule="exact"/>
              <w:rPr>
                <w:sz w:val="20"/>
                <w:szCs w:val="20"/>
                <w:color w:val="auto"/>
              </w:rPr>
            </w:pPr>
            <w:r>
              <w:rPr>
                <w:rFonts w:ascii="Arial" w:cs="Arial" w:eastAsia="Arial" w:hAnsi="Arial"/>
                <w:sz w:val="10"/>
                <w:szCs w:val="10"/>
                <w:color w:val="auto"/>
              </w:rPr>
              <w:t>870</w:t>
            </w:r>
          </w:p>
        </w:tc>
        <w:tc>
          <w:tcPr>
            <w:tcW w:w="260" w:type="dxa"/>
            <w:vAlign w:val="bottom"/>
            <w:tcBorders>
              <w:bottom w:val="single" w:sz="8" w:color="CCECFF"/>
            </w:tcBorders>
            <w:shd w:val="clear" w:color="auto" w:fill="CCECFF"/>
          </w:tcPr>
          <w:p>
            <w:pPr>
              <w:spacing w:after="0"/>
              <w:rPr>
                <w:sz w:val="9"/>
                <w:szCs w:val="9"/>
                <w:color w:val="auto"/>
              </w:rPr>
            </w:pPr>
          </w:p>
        </w:tc>
        <w:tc>
          <w:tcPr>
            <w:tcW w:w="680" w:type="dxa"/>
            <w:vAlign w:val="bottom"/>
            <w:tcBorders>
              <w:bottom w:val="single" w:sz="8" w:color="CCECFF"/>
            </w:tcBorders>
            <w:shd w:val="clear" w:color="auto" w:fill="CCECFF"/>
          </w:tcPr>
          <w:p>
            <w:pPr>
              <w:jc w:val="right"/>
              <w:ind w:right="52"/>
              <w:spacing w:after="0" w:line="109"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CCECFF"/>
            </w:tcBorders>
            <w:shd w:val="clear" w:color="auto" w:fill="CCECFF"/>
          </w:tcPr>
          <w:p>
            <w:pPr>
              <w:spacing w:after="0"/>
              <w:rPr>
                <w:sz w:val="9"/>
                <w:szCs w:val="9"/>
                <w:color w:val="auto"/>
              </w:rPr>
            </w:pPr>
          </w:p>
        </w:tc>
        <w:tc>
          <w:tcPr>
            <w:tcW w:w="760" w:type="dxa"/>
            <w:vAlign w:val="bottom"/>
            <w:tcBorders>
              <w:bottom w:val="single" w:sz="8" w:color="CCECFF"/>
            </w:tcBorders>
            <w:shd w:val="clear" w:color="auto" w:fill="CCECFF"/>
          </w:tcPr>
          <w:p>
            <w:pPr>
              <w:jc w:val="right"/>
              <w:spacing w:after="0" w:line="109" w:lineRule="exact"/>
              <w:rPr>
                <w:sz w:val="20"/>
                <w:szCs w:val="20"/>
                <w:color w:val="auto"/>
              </w:rPr>
            </w:pPr>
            <w:r>
              <w:rPr>
                <w:rFonts w:ascii="Arial" w:cs="Arial" w:eastAsia="Arial" w:hAnsi="Arial"/>
                <w:sz w:val="10"/>
                <w:szCs w:val="10"/>
                <w:color w:val="auto"/>
              </w:rPr>
              <w:t>(4 )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Applied Technical Services,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12/29/2026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7.59 %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1,402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1,388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1,367</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Applied Technical Services, LLC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04/21/2023</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(22 )</w:t>
            </w:r>
          </w:p>
        </w:tc>
        <w:tc>
          <w:tcPr>
            <w:tcW w:w="0" w:type="dxa"/>
            <w:vAlign w:val="bottom"/>
          </w:tcPr>
          <w:p>
            <w:pPr>
              <w:spacing w:after="0"/>
              <w:rPr>
                <w:sz w:val="1"/>
                <w:szCs w:val="1"/>
                <w:color w:val="auto"/>
              </w:rPr>
            </w:pPr>
          </w:p>
        </w:tc>
      </w:tr>
      <w:tr>
        <w:trPr>
          <w:trHeight w:val="192"/>
        </w:trPr>
        <w:tc>
          <w:tcPr>
            <w:tcW w:w="2860" w:type="dxa"/>
            <w:vAlign w:val="bottom"/>
          </w:tcPr>
          <w:p>
            <w:pPr>
              <w:ind w:left="20"/>
              <w:spacing w:after="0"/>
              <w:rPr>
                <w:sz w:val="20"/>
                <w:szCs w:val="20"/>
                <w:color w:val="auto"/>
              </w:rPr>
            </w:pPr>
            <w:r>
              <w:rPr>
                <w:rFonts w:ascii="Arial" w:cs="Arial" w:eastAsia="Arial" w:hAnsi="Arial"/>
                <w:sz w:val="10"/>
                <w:szCs w:val="10"/>
                <w:color w:val="auto"/>
              </w:rPr>
              <w:t>Applied Technical Services,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12/29/2026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tcPr>
          <w:p>
            <w:pPr>
              <w:jc w:val="right"/>
              <w:ind w:right="52"/>
              <w:spacing w:after="0" w:line="192" w:lineRule="exact"/>
              <w:rPr>
                <w:sz w:val="20"/>
                <w:szCs w:val="20"/>
                <w:color w:val="auto"/>
              </w:rPr>
            </w:pPr>
            <w:r>
              <w:rPr>
                <w:rFonts w:ascii="Arial" w:cs="Arial" w:eastAsia="Arial" w:hAnsi="Arial"/>
                <w:sz w:val="10"/>
                <w:szCs w:val="10"/>
                <w:color w:val="auto"/>
              </w:rPr>
              <w:t xml:space="preserve">10.25 </w:t>
            </w:r>
            <w:r>
              <w:rPr>
                <w:rFonts w:ascii="Arial" w:cs="Arial" w:eastAsia="Arial" w:hAnsi="Arial"/>
                <w:sz w:val="19"/>
                <w:szCs w:val="19"/>
                <w:color w:val="auto"/>
                <w:vertAlign w:val="superscript"/>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P+475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200</w:t>
            </w:r>
          </w:p>
        </w:tc>
        <w:tc>
          <w:tcPr>
            <w:tcW w:w="260" w:type="dxa"/>
            <w:vAlign w:val="bottom"/>
          </w:tcPr>
          <w:p>
            <w:pPr>
              <w:spacing w:after="0"/>
              <w:rPr>
                <w:sz w:val="16"/>
                <w:szCs w:val="16"/>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200</w:t>
            </w:r>
          </w:p>
        </w:tc>
        <w:tc>
          <w:tcPr>
            <w:tcW w:w="18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195</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Applied Technical Services,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12/29/2026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Environmental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(20 )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Arcfield Acquisition Corp.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03/07/2028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(45 )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Berwick Industrial Park</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04/28/2023</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Buildings and Real Estate</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3,953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3,934</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Beta Plus Technologies, Inc.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07/01/2029</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7.56 %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SOFR+525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4,904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4,900</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Blackhawk Industrial Distribution, Inc.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1,149</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Blackhawk Industrial Distribution, Inc.</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4,043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(51 )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Blackhawk Industrial Distribution, Inc. (Revolver)</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667</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Blackhawk Industrial Distribution, Inc.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09/17/2024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2,746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(77 )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Broder Bros., Co.</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12/02/2022</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10,096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10,096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10,096</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Cartessa Aesthetics,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05/13/2028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9.55 %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39,401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38,644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38,810</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 - (Revolver)</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05/13/2028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1,246</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Cartessa Aesthetics, LLC -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05/13/2028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(34 )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CF512, Inc.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08/20/2026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6,720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6,630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6,619</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CF512, Inc.(Revolver)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08/20/2026</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Compex Legal Services, Inc.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02/09/2026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853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853</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Compex Legal Services, Inc.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02/07/2025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8.92 %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361</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Compex Legal Services,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02/07/2025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Connatix Buyer, Inc.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01/13/2023</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3,158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(47 )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Connatix Buyer, Inc.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07/13/2027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1,859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(46 )</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rPr>
                <w:sz w:val="20"/>
                <w:szCs w:val="20"/>
                <w:color w:val="auto"/>
              </w:rPr>
            </w:pPr>
            <w:r>
              <w:rPr>
                <w:rFonts w:ascii="Arial" w:cs="Arial" w:eastAsia="Arial" w:hAnsi="Arial"/>
                <w:sz w:val="10"/>
                <w:szCs w:val="10"/>
                <w:color w:val="auto"/>
              </w:rPr>
              <w:t>Crane 1 Services, Inc.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08/16/2027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8.40 %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2,606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2,577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2,580</w:t>
            </w:r>
          </w:p>
        </w:tc>
        <w:tc>
          <w:tcPr>
            <w:tcW w:w="0" w:type="dxa"/>
            <w:vAlign w:val="bottom"/>
          </w:tcPr>
          <w:p>
            <w:pPr>
              <w:spacing w:after="0"/>
              <w:rPr>
                <w:sz w:val="1"/>
                <w:szCs w:val="1"/>
                <w:color w:val="auto"/>
              </w:rPr>
            </w:pPr>
          </w:p>
        </w:tc>
      </w:tr>
      <w:tr>
        <w:trPr>
          <w:trHeight w:val="139"/>
        </w:trPr>
        <w:tc>
          <w:tcPr>
            <w:tcW w:w="2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Crane 1 Services, Inc. (Revolver)</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08/16/2027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194</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194</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192</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Crane 1 Services, Inc.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08/16/2027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DermaRite Industries LLC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06/30/2023</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Manufacturing / Basic Industries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8,755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8,734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7,030</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rPr>
                <w:sz w:val="20"/>
                <w:szCs w:val="20"/>
                <w:color w:val="auto"/>
              </w:rPr>
            </w:pPr>
            <w:r>
              <w:rPr>
                <w:rFonts w:ascii="Arial" w:cs="Arial" w:eastAsia="Arial" w:hAnsi="Arial"/>
                <w:sz w:val="10"/>
                <w:szCs w:val="10"/>
                <w:color w:val="auto"/>
              </w:rPr>
              <w:t>Dr. Squatch,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08/31/2027</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9.17 %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12,930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12,742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12,736</w:t>
            </w: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Dr. Squatch, LLC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vMerge w:val="continue"/>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08/27/2026</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(10 )</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rPr>
                <w:sz w:val="20"/>
                <w:szCs w:val="20"/>
                <w:color w:val="auto"/>
              </w:rPr>
            </w:pPr>
            <w:r>
              <w:rPr>
                <w:rFonts w:ascii="Arial" w:cs="Arial" w:eastAsia="Arial" w:hAnsi="Arial"/>
                <w:sz w:val="10"/>
                <w:szCs w:val="10"/>
                <w:color w:val="auto"/>
              </w:rPr>
              <w:t>Dr. Squatch,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08/31/2027</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8.95 %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775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775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764</w:t>
            </w: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 xml:space="preserve">Dr. Squatch, LLC (Revolver) </w:t>
            </w:r>
            <w:r>
              <w:rPr>
                <w:rFonts w:ascii="Arial" w:cs="Arial" w:eastAsia="Arial" w:hAnsi="Arial"/>
                <w:sz w:val="12"/>
                <w:szCs w:val="12"/>
                <w:color w:val="auto"/>
                <w:vertAlign w:val="superscript"/>
              </w:rPr>
              <w:t>(7)</w:t>
            </w:r>
          </w:p>
        </w:tc>
        <w:tc>
          <w:tcPr>
            <w:tcW w:w="980" w:type="dxa"/>
            <w:vAlign w:val="bottom"/>
            <w:shd w:val="clear" w:color="auto" w:fill="CCECFF"/>
          </w:tcPr>
          <w:p>
            <w:pPr>
              <w:spacing w:after="0"/>
              <w:rPr>
                <w:sz w:val="12"/>
                <w:szCs w:val="12"/>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w:t>
            </w: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vMerge w:val="continue"/>
            <w:shd w:val="clear" w:color="auto" w:fill="CCECFF"/>
          </w:tcPr>
          <w:p>
            <w:pPr>
              <w:spacing w:after="0"/>
              <w:rPr>
                <w:sz w:val="11"/>
                <w:szCs w:val="11"/>
                <w:color w:val="auto"/>
              </w:rPr>
            </w:pP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08/31/2027</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Products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1,551</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DRS Holdings III, Inc.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11/03/2025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(57 )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05/01/2028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Hotels, Motels, Inns and Gaming</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19,156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19,019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18,869</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ECM Industries,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12/23/2025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7.93 %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L+475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291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291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277</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ECM Industries,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12/23/2025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Exigo Intermediate II,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03/15/2027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24,875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24,532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24,315</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Exigo Intermediate II, LLC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03/15/2024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7,424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(111 )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Exigo Intermediate II, LLC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03/15/2027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363</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Exigo Intermediate II,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03/15/2027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Fairbanks Morse Defense</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06/17/2028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7.00 %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L+475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738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682</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05/14/2026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16,809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16,548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16,305</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Gantech Acquisition Corp. (Revolver)</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05/14/2026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9.37 %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129</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Gantech Acquisition Corp.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05/14/2026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1,858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Graffiti Buyer, Inc.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08/10/2023</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892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(20 )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 (Revolver)</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08/10/2027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9.16 %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357</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0"/>
                <w:szCs w:val="10"/>
                <w:color w:val="auto"/>
              </w:rPr>
              <w:t xml:space="preserve">Graffiti Buyer, Inc. (Revolver) </w:t>
            </w:r>
            <w:r>
              <w:rPr>
                <w:rFonts w:ascii="Arial" w:cs="Arial" w:eastAsia="Arial" w:hAnsi="Arial"/>
                <w:sz w:val="12"/>
                <w:szCs w:val="12"/>
                <w:color w:val="auto"/>
                <w:vertAlign w:val="superscript"/>
              </w:rPr>
              <w:t>(7)</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08/10/2027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44"/>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Hancock Roofing and Construction L.L.C.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12/31/2022</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12/31/2026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Insurance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7.82 %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270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266</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Hancock Roofing and Construction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12/31/2026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0"/>
                <w:szCs w:val="10"/>
                <w:color w:val="auto"/>
              </w:rPr>
              <w:t>Holdco Sands Intermediate, LLC</w:t>
            </w:r>
          </w:p>
        </w:tc>
        <w:tc>
          <w:tcPr>
            <w:tcW w:w="980" w:type="dxa"/>
            <w:vAlign w:val="bottom"/>
          </w:tcPr>
          <w:p>
            <w:pPr>
              <w:jc w:val="center"/>
              <w:ind w:left="92"/>
              <w:spacing w:after="0"/>
              <w:rPr>
                <w:sz w:val="20"/>
                <w:szCs w:val="20"/>
                <w:color w:val="auto"/>
              </w:rPr>
            </w:pPr>
            <w:r>
              <w:rPr>
                <w:rFonts w:ascii="Arial" w:cs="Arial" w:eastAsia="Arial" w:hAnsi="Arial"/>
                <w:sz w:val="10"/>
                <w:szCs w:val="10"/>
                <w:color w:val="auto"/>
                <w:w w:val="95"/>
              </w:rPr>
              <w:t>11/23/2028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10.17 %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1,918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1,883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1,879</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Holdco Sands Intermediate, LLC (Revolver) </w:t>
            </w:r>
            <w:r>
              <w:rPr>
                <w:rFonts w:ascii="Arial" w:cs="Arial" w:eastAsia="Arial" w:hAnsi="Arial"/>
                <w:sz w:val="12"/>
                <w:szCs w:val="12"/>
                <w:color w:val="auto"/>
                <w:vertAlign w:val="superscript"/>
              </w:rPr>
              <w:t>(7)</w:t>
            </w:r>
          </w:p>
        </w:tc>
        <w:tc>
          <w:tcPr>
            <w:tcW w:w="98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5"/>
              </w:rPr>
              <w:t>11/23/2027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(79 )</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640" w:type="dxa"/>
            <w:vAlign w:val="bottom"/>
          </w:tcPr>
          <w:p>
            <w:pPr>
              <w:spacing w:after="0"/>
              <w:rPr>
                <w:sz w:val="10"/>
                <w:szCs w:val="10"/>
                <w:color w:val="auto"/>
              </w:rPr>
            </w:pPr>
          </w:p>
        </w:tc>
        <w:tc>
          <w:tcPr>
            <w:tcW w:w="1180" w:type="dxa"/>
            <w:vAlign w:val="bottom"/>
          </w:tcPr>
          <w:p>
            <w:pPr>
              <w:jc w:val="center"/>
              <w:ind w:left="352"/>
              <w:spacing w:after="0"/>
              <w:rPr>
                <w:sz w:val="20"/>
                <w:szCs w:val="20"/>
                <w:color w:val="auto"/>
              </w:rPr>
            </w:pPr>
            <w:r>
              <w:rPr>
                <w:rFonts w:ascii="Arial" w:cs="Arial" w:eastAsia="Arial" w:hAnsi="Arial"/>
                <w:sz w:val="10"/>
                <w:szCs w:val="10"/>
                <w:b w:val="1"/>
                <w:bCs w:val="1"/>
                <w:color w:val="auto"/>
                <w:w w:val="94"/>
              </w:rPr>
              <w:t>Maturity /</w:t>
            </w:r>
          </w:p>
        </w:tc>
        <w:tc>
          <w:tcPr>
            <w:tcW w:w="2000" w:type="dxa"/>
            <w:vAlign w:val="bottom"/>
          </w:tcPr>
          <w:p>
            <w:pPr>
              <w:spacing w:after="0"/>
              <w:rPr>
                <w:sz w:val="10"/>
                <w:szCs w:val="10"/>
                <w:color w:val="auto"/>
              </w:rPr>
            </w:pPr>
          </w:p>
        </w:tc>
        <w:tc>
          <w:tcPr>
            <w:tcW w:w="96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Spread Above</w:t>
            </w:r>
          </w:p>
        </w:tc>
        <w:tc>
          <w:tcPr>
            <w:tcW w:w="88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1180" w:type="dxa"/>
            <w:vAlign w:val="bottom"/>
          </w:tcPr>
          <w:p>
            <w:pPr>
              <w:jc w:val="center"/>
              <w:ind w:left="352"/>
              <w:spacing w:after="0"/>
              <w:rPr>
                <w:sz w:val="20"/>
                <w:szCs w:val="20"/>
                <w:color w:val="auto"/>
              </w:rPr>
            </w:pPr>
            <w:r>
              <w:rPr>
                <w:rFonts w:ascii="Arial" w:cs="Arial" w:eastAsia="Arial" w:hAnsi="Arial"/>
                <w:sz w:val="10"/>
                <w:szCs w:val="10"/>
                <w:b w:val="1"/>
                <w:bCs w:val="1"/>
                <w:color w:val="auto"/>
                <w:w w:val="93"/>
              </w:rPr>
              <w:t>Expiration</w:t>
            </w: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6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3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12/17/2026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9.67 %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281</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279</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271</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HV Watterson Holdings, LLC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12/17/2026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2,219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(61 )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 - (Revolver)</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12/17/2026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9.63 %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193</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HV Watterson Holdings, LLC - (Revolver)</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12/17/2026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(37 )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HW Holdco, LLC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12/10/2024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10,077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10,061</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HW Holdco, LLC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12/10/2024</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3,049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HW Holdco, LLC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12/10/2024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(42 )</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Icon Partners III, LP</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05/11/2028</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7.55 %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L+475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995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834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727</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IDC Infusion Services,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12/30/2026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3,685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3,576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3,574</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IDC Infusion Services, Inc.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12/30/2026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4,167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(187 )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IG Investments Holdings, LLC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09/22/2027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477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(5 )</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Imagine Acquisitionco, LLC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11/15/2027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2,341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(35 )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Imagine Acquisitionco, LLC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11/15/2027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(42 )</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12/07/2023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10.18 %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L+715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20,506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20,239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20,301</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Infolinks Media Buyco, LLC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11/01/2023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2,372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Integrity Marketing Acquisition,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08/27/2025</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Insurance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7.83 %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9,930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9,876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9,831</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ITI Holdings,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03/03/2028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8,927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8,784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8,749</w:t>
            </w:r>
          </w:p>
        </w:tc>
      </w:tr>
      <w:tr>
        <w:trPr>
          <w:trHeight w:val="216"/>
        </w:trPr>
        <w:tc>
          <w:tcPr>
            <w:tcW w:w="2640" w:type="dxa"/>
            <w:vAlign w:val="bottom"/>
          </w:tcPr>
          <w:p>
            <w:pPr>
              <w:ind w:left="20"/>
              <w:spacing w:after="0"/>
              <w:rPr>
                <w:sz w:val="20"/>
                <w:szCs w:val="20"/>
                <w:color w:val="auto"/>
              </w:rPr>
            </w:pPr>
            <w:r>
              <w:rPr>
                <w:rFonts w:ascii="Arial" w:cs="Arial" w:eastAsia="Arial" w:hAnsi="Arial"/>
                <w:sz w:val="10"/>
                <w:szCs w:val="10"/>
                <w:color w:val="auto"/>
              </w:rPr>
              <w:t>ITI Holdings, Inc. (Revolver)</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03/03/2028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line="216" w:lineRule="exact"/>
              <w:rPr>
                <w:sz w:val="20"/>
                <w:szCs w:val="20"/>
                <w:color w:val="auto"/>
              </w:rPr>
            </w:pPr>
            <w:r>
              <w:rPr>
                <w:rFonts w:ascii="Arial" w:cs="Arial" w:eastAsia="Arial" w:hAnsi="Arial"/>
                <w:sz w:val="10"/>
                <w:szCs w:val="10"/>
                <w:color w:val="auto"/>
              </w:rPr>
              <w:t xml:space="preserve">8.25 </w:t>
            </w:r>
            <w:r>
              <w:rPr>
                <w:rFonts w:ascii="Arial" w:cs="Arial" w:eastAsia="Arial" w:hAnsi="Arial"/>
                <w:sz w:val="19"/>
                <w:szCs w:val="19"/>
                <w:color w:val="auto"/>
                <w:vertAlign w:val="subscript"/>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298</w:t>
            </w:r>
          </w:p>
        </w:tc>
        <w:tc>
          <w:tcPr>
            <w:tcW w:w="26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298</w:t>
            </w:r>
          </w:p>
        </w:tc>
        <w:tc>
          <w:tcPr>
            <w:tcW w:w="18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292</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ITI Holdings, Inc.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03/03/2028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1,192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(24 )</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K2 Pure Solutions NoCal, L.P.</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12/20/2023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11.12 %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L+800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11,678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11,629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11,678</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K2 Pure Solutions NoCal, L.P.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12/20/2023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11/10/2027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9.67 %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24,341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23,807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23,855</w:t>
            </w:r>
          </w:p>
        </w:tc>
      </w:tr>
      <w:tr>
        <w:trPr>
          <w:trHeight w:val="172"/>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Kinetic Purchaser, LLC (Revolver)</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11/10/2026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9.67 %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4,854</w:t>
            </w:r>
          </w:p>
        </w:tc>
        <w:tc>
          <w:tcPr>
            <w:tcW w:w="26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4,854</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4,757</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Lash OpCo,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02/18/2027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11.78 %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2,828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2,774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2,771</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Lash OpCo, LLC (Revolver)</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08/16/2026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556</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Lash OpCo, LLC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08/16/2026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(25 )</w:t>
            </w:r>
          </w:p>
        </w:tc>
      </w:tr>
      <w:tr>
        <w:trPr>
          <w:trHeight w:val="135"/>
        </w:trPr>
        <w:tc>
          <w:tcPr>
            <w:tcW w:w="2640" w:type="dxa"/>
            <w:vAlign w:val="bottom"/>
            <w:shd w:val="clear" w:color="auto" w:fill="CCECFF"/>
          </w:tcPr>
          <w:p>
            <w:pPr>
              <w:spacing w:after="0"/>
              <w:rPr>
                <w:sz w:val="11"/>
                <w:szCs w:val="11"/>
                <w:color w:val="auto"/>
              </w:rPr>
            </w:pPr>
          </w:p>
        </w:tc>
        <w:tc>
          <w:tcPr>
            <w:tcW w:w="11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96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29"/>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10/31/2024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Entertainment</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2,061</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2,036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2,013</w:t>
            </w:r>
          </w:p>
        </w:tc>
      </w:tr>
      <w:tr>
        <w:trPr>
          <w:trHeight w:val="140"/>
        </w:trPr>
        <w:tc>
          <w:tcPr>
            <w:tcW w:w="2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(PIK 5.50%)</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Ledge Lounger,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11/09/2026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9,177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9,021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9,040</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Ledge Lounger, Inc.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11/09/2026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(29 )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Lightspeed Buyer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02/03/2026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2,220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2,205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2,148</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Lightspeed Buyer Inc. (Revolver)</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02/03/2026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505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489</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Lightspeed Buyer Inc.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02/03/2026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(21 )</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Limerick Town Cener,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09/27/2023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Real Estate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12.50 %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2,970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2,970</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LSF9 Atlantis Holdings, LLC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03/31/2029</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Retail</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9.37 %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SOFR+725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5,772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5,685</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Mars Acquisition Holdings Corp. (Revolver)</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05/14/2026</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MBS Holdings, Inc.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04/16/2027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694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(7 )</w:t>
            </w:r>
          </w:p>
        </w:tc>
      </w:tr>
      <w:tr>
        <w:trPr>
          <w:trHeight w:val="164"/>
        </w:trPr>
        <w:tc>
          <w:tcPr>
            <w:tcW w:w="2640" w:type="dxa"/>
            <w:vAlign w:val="bottom"/>
          </w:tcPr>
          <w:p>
            <w:pPr>
              <w:ind w:left="20"/>
              <w:spacing w:after="0"/>
              <w:rPr>
                <w:sz w:val="20"/>
                <w:szCs w:val="20"/>
                <w:color w:val="auto"/>
              </w:rPr>
            </w:pPr>
            <w:r>
              <w:rPr>
                <w:rFonts w:ascii="Arial" w:cs="Arial" w:eastAsia="Arial" w:hAnsi="Arial"/>
                <w:sz w:val="10"/>
                <w:szCs w:val="10"/>
                <w:color w:val="auto"/>
              </w:rPr>
              <w:t>MDI Buyer, Inc.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07/25/2028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8.98 %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14,400</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14,117</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14,112</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MDI Buyer, Inc. Term Loan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07/25/2028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5,196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(52 )</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MDI Buyer, Inc.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07/25/2028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Meadowlark Acquirer, LLC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9.17 %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1,320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1,307</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Meadowlark Acquirer, LLC Term Loan I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1,676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Meadowlark Acquirer, LLC Term Loan II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8,922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Meadowlark Acquirer, LLC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(17 )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09/28/2027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703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663</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09/28/2027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(56 )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 (Revolver)</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09/28/2027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7.25 %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282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266</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09/28/2027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1,598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(93 )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NBH Group LLC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08/19/2026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Neptune Flood Incorporated</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10/14/2026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3"/>
              </w:rPr>
              <w:t>Financial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7.10 %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4,379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4,423</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OIS Management Services, LLC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07/09/2026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One Stop Mailing,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05/07/2027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Cargo Transport</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8.77 %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7,008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6,889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6,798</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ORL Acquisition,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09/03/2027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8.92 %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4,454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4,378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4,454</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ORL Acquisition, Inc.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09/03/2027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Ox Two, LLC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05/18/2026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Building Materials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15,391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15,189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15,083</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Ox Two, LLC (Revolver)</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05/18/2026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Building Materials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9.81 %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L+700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1,774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1,774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1,739</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Ox Two, LLC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05/18/2026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Building Materials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(13 )</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PL Acquisitionco, LLC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11/09/2027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3,236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(81 )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 Events, Inc.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08/07/2025</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L+1,050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24,907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21,694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24,907</w:t>
            </w:r>
          </w:p>
        </w:tc>
      </w:tr>
      <w:tr>
        <w:trPr>
          <w:trHeight w:val="140"/>
        </w:trPr>
        <w:tc>
          <w:tcPr>
            <w:tcW w:w="2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(PIK 10.5%)</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PRA Events, Inc.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08/07/2025</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L+1,050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Pragmatic Institute,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07/06/2028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9.30 %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35,340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34,826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34,987</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Pragmatic Institute, LLC Term Loan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07/06/2028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7,193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Pragmatic Institute, LL (Revolver)</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07/06/2028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9.30 %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959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949</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Pragmatic Institute, LL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07/06/2028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3,836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(38 )</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11/19/2026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8.00 %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673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666</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 (Revolver)</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11/19/2026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207</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Quantic Electronics, LLC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11/19/2026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317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Questex, LLC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09/09/2024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7.45 %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21,600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21,436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21,168</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Questex, LLC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09/09/2024</w:t>
            </w:r>
          </w:p>
        </w:tc>
        <w:tc>
          <w:tcPr>
            <w:tcW w:w="2000" w:type="dxa"/>
            <w:vAlign w:val="bottom"/>
          </w:tcPr>
          <w:p>
            <w:pPr>
              <w:jc w:val="center"/>
              <w:spacing w:after="0"/>
              <w:rPr>
                <w:sz w:val="20"/>
                <w:szCs w:val="20"/>
                <w:color w:val="auto"/>
              </w:rPr>
            </w:pPr>
            <w:r>
              <w:rPr>
                <w:rFonts w:ascii="Arial" w:cs="Arial" w:eastAsia="Arial" w:hAnsi="Arial"/>
                <w:sz w:val="10"/>
                <w:szCs w:val="10"/>
                <w:color w:val="auto"/>
              </w:rPr>
              <w:t>Media</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3,590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(72 )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Radius Aerospace, Inc. (Revolver)</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03/31/2025</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8.28 %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891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891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877</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Radius Aerospace, Inc.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03/31/2025</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1,336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(20 )</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Rancho Health MSO, Inc.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12/18/2025</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40" w:type="dxa"/>
            <w:vAlign w:val="bottom"/>
          </w:tcPr>
          <w:p>
            <w:pPr>
              <w:ind w:left="20"/>
              <w:spacing w:after="0"/>
              <w:rPr>
                <w:sz w:val="20"/>
                <w:szCs w:val="20"/>
                <w:color w:val="auto"/>
              </w:rPr>
            </w:pPr>
            <w:r>
              <w:rPr>
                <w:rFonts w:ascii="Arial" w:cs="Arial" w:eastAsia="Arial" w:hAnsi="Arial"/>
                <w:sz w:val="10"/>
                <w:szCs w:val="10"/>
                <w:color w:val="auto"/>
              </w:rPr>
              <w:t xml:space="preserve">Rancho Health MSO, Inc. (Revolver) </w:t>
            </w:r>
            <w:r>
              <w:rPr>
                <w:rFonts w:ascii="Arial" w:cs="Arial" w:eastAsia="Arial" w:hAnsi="Arial"/>
                <w:sz w:val="12"/>
                <w:szCs w:val="12"/>
                <w:color w:val="auto"/>
                <w:vertAlign w:val="superscript"/>
              </w:rPr>
              <w:t>(7)</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12/18/2025</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Reception Purchaser, LLC</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02/28/2028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Transportation</w:t>
            </w:r>
          </w:p>
        </w:tc>
        <w:tc>
          <w:tcPr>
            <w:tcW w:w="9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9.13 %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SOFR+600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5,970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5,885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5,701</w:t>
            </w:r>
          </w:p>
        </w:tc>
      </w:tr>
      <w:tr>
        <w:trPr>
          <w:trHeight w:val="140"/>
        </w:trPr>
        <w:tc>
          <w:tcPr>
            <w:tcW w:w="2640" w:type="dxa"/>
            <w:vAlign w:val="bottom"/>
          </w:tcPr>
          <w:p>
            <w:pPr>
              <w:ind w:left="20"/>
              <w:spacing w:after="0"/>
              <w:rPr>
                <w:sz w:val="20"/>
                <w:szCs w:val="20"/>
                <w:color w:val="auto"/>
              </w:rPr>
            </w:pPr>
            <w:r>
              <w:rPr>
                <w:rFonts w:ascii="Arial" w:cs="Arial" w:eastAsia="Arial" w:hAnsi="Arial"/>
                <w:sz w:val="10"/>
                <w:szCs w:val="10"/>
                <w:color w:val="auto"/>
              </w:rPr>
              <w:t>Recteq, LLC (Revolver)</w:t>
            </w:r>
          </w:p>
        </w:tc>
        <w:tc>
          <w:tcPr>
            <w:tcW w:w="1180" w:type="dxa"/>
            <w:vAlign w:val="bottom"/>
          </w:tcPr>
          <w:p>
            <w:pPr>
              <w:jc w:val="center"/>
              <w:ind w:left="332"/>
              <w:spacing w:after="0"/>
              <w:rPr>
                <w:sz w:val="20"/>
                <w:szCs w:val="20"/>
                <w:color w:val="auto"/>
              </w:rPr>
            </w:pPr>
            <w:r>
              <w:rPr>
                <w:rFonts w:ascii="Arial" w:cs="Arial" w:eastAsia="Arial" w:hAnsi="Arial"/>
                <w:sz w:val="10"/>
                <w:szCs w:val="10"/>
                <w:color w:val="auto"/>
                <w:w w:val="95"/>
              </w:rPr>
              <w:t>01/29/2026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9.92 %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313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313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302</w:t>
            </w:r>
          </w:p>
        </w:tc>
      </w:tr>
      <w:tr>
        <w:trPr>
          <w:trHeight w:val="148"/>
        </w:trPr>
        <w:tc>
          <w:tcPr>
            <w:tcW w:w="26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Recteq, LLC (Revolver) </w:t>
            </w:r>
            <w:r>
              <w:rPr>
                <w:rFonts w:ascii="Arial" w:cs="Arial" w:eastAsia="Arial" w:hAnsi="Arial"/>
                <w:sz w:val="12"/>
                <w:szCs w:val="12"/>
                <w:color w:val="auto"/>
                <w:vertAlign w:val="superscript"/>
              </w:rPr>
              <w:t>(7)</w:t>
            </w:r>
          </w:p>
        </w:tc>
        <w:tc>
          <w:tcPr>
            <w:tcW w:w="1180" w:type="dxa"/>
            <w:vAlign w:val="bottom"/>
            <w:shd w:val="clear" w:color="auto" w:fill="CCECFF"/>
          </w:tcPr>
          <w:p>
            <w:pPr>
              <w:jc w:val="center"/>
              <w:ind w:left="332"/>
              <w:spacing w:after="0"/>
              <w:rPr>
                <w:sz w:val="20"/>
                <w:szCs w:val="20"/>
                <w:color w:val="auto"/>
              </w:rPr>
            </w:pPr>
            <w:r>
              <w:rPr>
                <w:rFonts w:ascii="Arial" w:cs="Arial" w:eastAsia="Arial" w:hAnsi="Arial"/>
                <w:sz w:val="10"/>
                <w:szCs w:val="10"/>
                <w:color w:val="auto"/>
                <w:w w:val="95"/>
              </w:rPr>
              <w:t>01/29/2026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(28 )</w:t>
            </w: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860" w:type="dxa"/>
            <w:vAlign w:val="bottom"/>
          </w:tcPr>
          <w:p>
            <w:pPr>
              <w:jc w:val="center"/>
              <w:ind w:right="92"/>
              <w:spacing w:after="0"/>
              <w:rPr>
                <w:sz w:val="20"/>
                <w:szCs w:val="20"/>
                <w:color w:val="auto"/>
              </w:rPr>
            </w:pPr>
            <w:r>
              <w:rPr>
                <w:rFonts w:ascii="Arial" w:cs="Arial" w:eastAsia="Arial" w:hAnsi="Arial"/>
                <w:sz w:val="10"/>
                <w:szCs w:val="10"/>
                <w:b w:val="1"/>
                <w:bCs w:val="1"/>
                <w:color w:val="auto"/>
                <w:w w:val="98"/>
              </w:rPr>
              <w:t>Maturity /</w:t>
            </w:r>
          </w:p>
        </w:tc>
        <w:tc>
          <w:tcPr>
            <w:tcW w:w="1960" w:type="dxa"/>
            <w:vAlign w:val="bottom"/>
          </w:tcPr>
          <w:p>
            <w:pPr>
              <w:spacing w:after="0"/>
              <w:rPr>
                <w:sz w:val="10"/>
                <w:szCs w:val="10"/>
                <w:color w:val="auto"/>
              </w:rPr>
            </w:pPr>
          </w:p>
        </w:tc>
        <w:tc>
          <w:tcPr>
            <w:tcW w:w="980" w:type="dxa"/>
            <w:vAlign w:val="bottom"/>
          </w:tcPr>
          <w:p>
            <w:pPr>
              <w:jc w:val="right"/>
              <w:ind w:right="35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Spread Above</w:t>
            </w:r>
          </w:p>
        </w:tc>
        <w:tc>
          <w:tcPr>
            <w:tcW w:w="880" w:type="dxa"/>
            <w:vAlign w:val="bottom"/>
          </w:tcPr>
          <w:p>
            <w:pPr>
              <w:jc w:val="right"/>
              <w:ind w:right="33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60" w:type="dxa"/>
            <w:vAlign w:val="bottom"/>
          </w:tcPr>
          <w:p>
            <w:pPr>
              <w:jc w:val="center"/>
              <w:ind w:right="92"/>
              <w:spacing w:after="0"/>
              <w:rPr>
                <w:sz w:val="20"/>
                <w:szCs w:val="20"/>
                <w:color w:val="auto"/>
              </w:rPr>
            </w:pPr>
            <w:r>
              <w:rPr>
                <w:rFonts w:ascii="Arial" w:cs="Arial" w:eastAsia="Arial" w:hAnsi="Arial"/>
                <w:sz w:val="10"/>
                <w:szCs w:val="10"/>
                <w:b w:val="1"/>
                <w:bCs w:val="1"/>
                <w:color w:val="auto"/>
                <w:w w:val="98"/>
              </w:rPr>
              <w:t>Expiration</w:t>
            </w:r>
          </w:p>
        </w:tc>
        <w:tc>
          <w:tcPr>
            <w:tcW w:w="19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3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1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Research Now Group, Inc. and Dynata,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12/20/2024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8.84 %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Riverpoint Medical, LLC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06/20/2025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Riverside Assessments,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03/10/2025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Education</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8.97 %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12,906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12,705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12,648</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Sales Benchmark Index LLC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01/03/2025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732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Sargent &amp; Greenleaf Inc. (Revolver)</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12/20/2024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8.28 %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587</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Sargent &amp; Greenleaf Inc.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12/20/2024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07/14/2025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11.11 %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L+700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4,689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4,636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4,571</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Schlesinger Global, Inc. (Revolver)</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07/14/2025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9.09 %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(PIK 0.5%)</w:t>
            </w: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Schlesinger Global, Inc. (Revolver)</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07/14/2025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Buyer,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06/13/2029</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9.70 %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4,728</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Seaway Buyer, LLC (Revolver)</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06/13/2029</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3,126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(47 )</w:t>
            </w:r>
          </w:p>
        </w:tc>
        <w:tc>
          <w:tcPr>
            <w:tcW w:w="0" w:type="dxa"/>
            <w:vAlign w:val="bottom"/>
          </w:tcPr>
          <w:p>
            <w:pPr>
              <w:spacing w:after="0"/>
              <w:rPr>
                <w:sz w:val="1"/>
                <w:szCs w:val="1"/>
                <w:color w:val="auto"/>
              </w:rPr>
            </w:pPr>
          </w:p>
        </w:tc>
      </w:tr>
      <w:tr>
        <w:trPr>
          <w:trHeight w:val="16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Shiftkey,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06/21/2027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line="168" w:lineRule="exact"/>
              <w:rPr>
                <w:sz w:val="20"/>
                <w:szCs w:val="20"/>
                <w:color w:val="auto"/>
              </w:rPr>
            </w:pPr>
            <w:r>
              <w:rPr>
                <w:rFonts w:ascii="Arial" w:cs="Arial" w:eastAsia="Arial" w:hAnsi="Arial"/>
                <w:sz w:val="10"/>
                <w:szCs w:val="10"/>
                <w:color w:val="auto"/>
              </w:rPr>
              <w:t xml:space="preserve">9.56 </w:t>
            </w:r>
            <w:r>
              <w:rPr>
                <w:rFonts w:ascii="Arial" w:cs="Arial" w:eastAsia="Arial" w:hAnsi="Arial"/>
                <w:sz w:val="19"/>
                <w:szCs w:val="19"/>
                <w:color w:val="auto"/>
                <w:vertAlign w:val="subscript"/>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17,955</w:t>
            </w:r>
          </w:p>
        </w:tc>
        <w:tc>
          <w:tcPr>
            <w:tcW w:w="26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17,784</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17,722</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Sigma Defense Systems,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12/18/2025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12.17 %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L+850</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31,680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31,004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31,047</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Sigma Defense Systems, LLC (Revolver)</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12/18/2025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12.17 %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L+850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1,108</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Sigma Defense Systems, LLC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12/18/2025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1,845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(37 )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Signature Systems Holding Company (Revolver) </w:t>
            </w:r>
            <w:r>
              <w:rPr>
                <w:rFonts w:ascii="Arial" w:cs="Arial" w:eastAsia="Arial" w:hAnsi="Arial"/>
                <w:sz w:val="12"/>
                <w:szCs w:val="12"/>
                <w:color w:val="auto"/>
                <w:vertAlign w:val="superscript"/>
              </w:rPr>
              <w:t>(7)</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05/03/2024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(15 )</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Solutionreach, Inc.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01/17/2024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Communications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1,665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(40 )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Spear Education,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02/26/2025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Education</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9.42 %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12,018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11,947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12,018</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Spendmend Holdings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03/01/2028</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8.63 %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L+575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9,705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9,581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9,433</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Spendmend Holdings LLC </w:t>
            </w:r>
            <w:r>
              <w:rPr>
                <w:rFonts w:ascii="Arial" w:cs="Arial" w:eastAsia="Arial" w:hAnsi="Arial"/>
                <w:sz w:val="12"/>
                <w:szCs w:val="12"/>
                <w:color w:val="auto"/>
                <w:vertAlign w:val="superscript"/>
              </w:rPr>
              <w:t>(7)</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03/01/2023</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(57 )</w:t>
            </w:r>
          </w:p>
        </w:tc>
        <w:tc>
          <w:tcPr>
            <w:tcW w:w="0" w:type="dxa"/>
            <w:vAlign w:val="bottom"/>
          </w:tcPr>
          <w:p>
            <w:pPr>
              <w:spacing w:after="0"/>
              <w:rPr>
                <w:sz w:val="1"/>
                <w:szCs w:val="1"/>
                <w:color w:val="auto"/>
              </w:rPr>
            </w:pPr>
          </w:p>
        </w:tc>
      </w:tr>
      <w:tr>
        <w:trPr>
          <w:trHeight w:val="136"/>
        </w:trPr>
        <w:tc>
          <w:tcPr>
            <w:tcW w:w="2980" w:type="dxa"/>
            <w:vAlign w:val="bottom"/>
            <w:vMerge w:val="restart"/>
          </w:tcPr>
          <w:p>
            <w:pPr>
              <w:ind w:left="20"/>
              <w:spacing w:after="0"/>
              <w:rPr>
                <w:sz w:val="20"/>
                <w:szCs w:val="20"/>
                <w:color w:val="auto"/>
              </w:rPr>
            </w:pPr>
            <w:r>
              <w:rPr>
                <w:rFonts w:ascii="Arial" w:cs="Arial" w:eastAsia="Arial" w:hAnsi="Arial"/>
                <w:sz w:val="10"/>
                <w:szCs w:val="10"/>
                <w:color w:val="auto"/>
              </w:rPr>
              <w:t>Spendmend Holdings LLC - Funded Revolver</w:t>
            </w:r>
          </w:p>
        </w:tc>
        <w:tc>
          <w:tcPr>
            <w:tcW w:w="860" w:type="dxa"/>
            <w:vAlign w:val="bottom"/>
            <w:vMerge w:val="restart"/>
          </w:tcPr>
          <w:p>
            <w:pPr>
              <w:jc w:val="center"/>
              <w:ind w:right="92"/>
              <w:spacing w:after="0"/>
              <w:rPr>
                <w:sz w:val="20"/>
                <w:szCs w:val="20"/>
                <w:color w:val="auto"/>
              </w:rPr>
            </w:pPr>
            <w:r>
              <w:rPr>
                <w:rFonts w:ascii="Arial" w:cs="Arial" w:eastAsia="Arial" w:hAnsi="Arial"/>
                <w:sz w:val="10"/>
                <w:szCs w:val="10"/>
                <w:color w:val="auto"/>
                <w:w w:val="95"/>
              </w:rPr>
              <w:t>03/01/2028</w:t>
            </w:r>
          </w:p>
        </w:tc>
        <w:tc>
          <w:tcPr>
            <w:tcW w:w="1960" w:type="dxa"/>
            <w:vAlign w:val="bottom"/>
            <w:vMerge w:val="restart"/>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vMerge w:val="restart"/>
          </w:tcPr>
          <w:p>
            <w:pPr>
              <w:jc w:val="right"/>
              <w:ind w:right="32"/>
              <w:spacing w:after="0"/>
              <w:rPr>
                <w:sz w:val="20"/>
                <w:szCs w:val="20"/>
                <w:color w:val="auto"/>
              </w:rPr>
            </w:pPr>
            <w:r>
              <w:rPr>
                <w:rFonts w:ascii="Arial" w:cs="Arial" w:eastAsia="Arial" w:hAnsi="Arial"/>
                <w:sz w:val="10"/>
                <w:szCs w:val="10"/>
                <w:color w:val="auto"/>
              </w:rPr>
              <w:t>8.63 %</w:t>
            </w:r>
          </w:p>
        </w:tc>
        <w:tc>
          <w:tcPr>
            <w:tcW w:w="1020" w:type="dxa"/>
            <w:vAlign w:val="bottom"/>
            <w:vMerge w:val="restart"/>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187</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187</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182</w:t>
            </w:r>
          </w:p>
        </w:tc>
        <w:tc>
          <w:tcPr>
            <w:tcW w:w="0" w:type="dxa"/>
            <w:vAlign w:val="bottom"/>
          </w:tcPr>
          <w:p>
            <w:pPr>
              <w:spacing w:after="0"/>
              <w:rPr>
                <w:sz w:val="1"/>
                <w:szCs w:val="1"/>
                <w:color w:val="auto"/>
              </w:rPr>
            </w:pPr>
          </w:p>
        </w:tc>
      </w:tr>
      <w:tr>
        <w:trPr>
          <w:trHeight w:val="76"/>
        </w:trPr>
        <w:tc>
          <w:tcPr>
            <w:tcW w:w="29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9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Spendmend Holdings LLC - Unfunded Revolver </w:t>
            </w:r>
            <w:r>
              <w:rPr>
                <w:rFonts w:ascii="Arial" w:cs="Arial" w:eastAsia="Arial" w:hAnsi="Arial"/>
                <w:sz w:val="12"/>
                <w:szCs w:val="12"/>
                <w:color w:val="auto"/>
                <w:vertAlign w:val="superscript"/>
              </w:rPr>
              <w:t>(7)</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03/01/2028</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System Planning and Analysis, Inc. - (Revolver) </w:t>
            </w:r>
            <w:r>
              <w:rPr>
                <w:rFonts w:ascii="Arial" w:cs="Arial" w:eastAsia="Arial" w:hAnsi="Arial"/>
                <w:sz w:val="12"/>
                <w:szCs w:val="12"/>
                <w:color w:val="auto"/>
                <w:vertAlign w:val="superscript"/>
              </w:rPr>
              <w:t>(7)</w:t>
            </w:r>
          </w:p>
        </w:tc>
        <w:tc>
          <w:tcPr>
            <w:tcW w:w="8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80" w:type="dxa"/>
            <w:vAlign w:val="bottom"/>
          </w:tcPr>
          <w:p>
            <w:pPr>
              <w:ind w:left="20"/>
              <w:spacing w:after="0"/>
              <w:rPr>
                <w:sz w:val="20"/>
                <w:szCs w:val="20"/>
                <w:color w:val="auto"/>
              </w:rPr>
            </w:pPr>
            <w:r>
              <w:rPr>
                <w:rFonts w:ascii="Arial" w:cs="Arial" w:eastAsia="Arial" w:hAnsi="Arial"/>
                <w:sz w:val="10"/>
                <w:szCs w:val="10"/>
                <w:color w:val="auto"/>
              </w:rPr>
              <w:t>(f/k/a Management Consulting &amp; Research,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08/16/2027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2,925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(47 )</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Bluebird Group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07/27/2026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10.67 %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L+700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4,796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4,933</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The Bluebird Group LLC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07/27/2026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734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Vertex Companies,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08/30/2027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8.18 %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1,754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1,745</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The Vertex Companies, LLC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08/30/2027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Vertex Companies, LLC (Revolver)</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08/30/2027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8.26 %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The Vertex Companies, LLC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08/30/2027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592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TVC Enterprises,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03/26/2026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Transportation</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12,864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12,543</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TVC Enterprises, LLC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03/26/2026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1,370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(34 )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TWS Acquisition Corporation</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06/16/2025</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Education</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8.76 %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1,137</w:t>
            </w:r>
          </w:p>
        </w:tc>
        <w:tc>
          <w:tcPr>
            <w:tcW w:w="0" w:type="dxa"/>
            <w:vAlign w:val="bottom"/>
          </w:tcPr>
          <w:p>
            <w:pPr>
              <w:spacing w:after="0"/>
              <w:rPr>
                <w:sz w:val="1"/>
                <w:szCs w:val="1"/>
                <w:color w:val="auto"/>
              </w:rPr>
            </w:pPr>
          </w:p>
        </w:tc>
      </w:tr>
      <w:tr>
        <w:trPr>
          <w:trHeight w:val="171"/>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TWS Acquisition Corporation (Revolver) </w:t>
            </w:r>
            <w:r>
              <w:rPr>
                <w:rFonts w:ascii="Arial" w:cs="Arial" w:eastAsia="Arial" w:hAnsi="Arial"/>
                <w:sz w:val="12"/>
                <w:szCs w:val="12"/>
                <w:color w:val="auto"/>
                <w:vertAlign w:val="superscript"/>
              </w:rPr>
              <w:t>(7)</w:t>
            </w:r>
          </w:p>
        </w:tc>
        <w:tc>
          <w:tcPr>
            <w:tcW w:w="860" w:type="dxa"/>
            <w:vAlign w:val="bottom"/>
            <w:vMerge w:val="restart"/>
          </w:tcPr>
          <w:p>
            <w:pPr>
              <w:jc w:val="center"/>
              <w:ind w:right="92"/>
              <w:spacing w:after="0"/>
              <w:rPr>
                <w:sz w:val="20"/>
                <w:szCs w:val="20"/>
                <w:color w:val="auto"/>
              </w:rPr>
            </w:pPr>
            <w:r>
              <w:rPr>
                <w:rFonts w:ascii="Arial" w:cs="Arial" w:eastAsia="Arial" w:hAnsi="Arial"/>
                <w:sz w:val="10"/>
                <w:szCs w:val="10"/>
                <w:color w:val="auto"/>
                <w:w w:val="95"/>
              </w:rPr>
              <w:t>06/16/2025</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Education</w:t>
            </w:r>
          </w:p>
        </w:tc>
        <w:tc>
          <w:tcPr>
            <w:tcW w:w="980" w:type="dxa"/>
            <w:vAlign w:val="bottom"/>
            <w:vMerge w:val="restart"/>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vMerge w:val="restart"/>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1,644</w:t>
            </w:r>
          </w:p>
        </w:tc>
        <w:tc>
          <w:tcPr>
            <w:tcW w:w="260" w:type="dxa"/>
            <w:vAlign w:val="bottom"/>
          </w:tcPr>
          <w:p>
            <w:pPr>
              <w:spacing w:after="0"/>
              <w:rPr>
                <w:sz w:val="14"/>
                <w:szCs w:val="14"/>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(8 )</w:t>
            </w:r>
          </w:p>
        </w:tc>
        <w:tc>
          <w:tcPr>
            <w:tcW w:w="0" w:type="dxa"/>
            <w:vAlign w:val="bottom"/>
          </w:tcPr>
          <w:p>
            <w:pPr>
              <w:spacing w:after="0"/>
              <w:rPr>
                <w:sz w:val="1"/>
                <w:szCs w:val="1"/>
                <w:color w:val="auto"/>
              </w:rPr>
            </w:pPr>
          </w:p>
        </w:tc>
      </w:tr>
      <w:tr>
        <w:trPr>
          <w:trHeight w:val="77"/>
        </w:trPr>
        <w:tc>
          <w:tcPr>
            <w:tcW w:w="29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9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Tyto Athene, LLC (Revolver) </w:t>
            </w:r>
            <w:r>
              <w:rPr>
                <w:rFonts w:ascii="Arial" w:cs="Arial" w:eastAsia="Arial" w:hAnsi="Arial"/>
                <w:sz w:val="12"/>
                <w:szCs w:val="12"/>
                <w:color w:val="auto"/>
                <w:vertAlign w:val="superscript"/>
              </w:rPr>
              <w:t>(7)</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04/01/2026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(26 )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Unique Indoor Comfort,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05/24/2027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8.95 %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L+525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27,233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26,904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26,634</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Unique Indoor Comfort, LLC </w:t>
            </w:r>
            <w:r>
              <w:rPr>
                <w:rFonts w:ascii="Arial" w:cs="Arial" w:eastAsia="Arial" w:hAnsi="Arial"/>
                <w:sz w:val="12"/>
                <w:szCs w:val="12"/>
                <w:color w:val="auto"/>
                <w:vertAlign w:val="superscript"/>
              </w:rPr>
              <w:t>(7)</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05/24/2027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16,140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(194 )</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Unique Indoor Comfort, LLC (Revolver) </w:t>
            </w:r>
            <w:r>
              <w:rPr>
                <w:rFonts w:ascii="Arial" w:cs="Arial" w:eastAsia="Arial" w:hAnsi="Arial"/>
                <w:sz w:val="12"/>
                <w:szCs w:val="12"/>
                <w:color w:val="auto"/>
                <w:vertAlign w:val="superscript"/>
              </w:rPr>
              <w:t>(7)</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05/24/2027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(66 )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03/31/2027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12.42 %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L+875</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25,368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24,881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16,946</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02/27/2026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9.09 %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3,831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3,771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3,716</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Wildcat Buyerco, Inc. (Revolver) </w:t>
            </w:r>
            <w:r>
              <w:rPr>
                <w:rFonts w:ascii="Arial" w:cs="Arial" w:eastAsia="Arial" w:hAnsi="Arial"/>
                <w:sz w:val="12"/>
                <w:szCs w:val="12"/>
                <w:color w:val="auto"/>
                <w:vertAlign w:val="superscript"/>
              </w:rPr>
              <w:t>(7)</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02/27/2026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(41 )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Zips Car Wash,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03/01/2024</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10.13 %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L+725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2,627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2,608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2,562</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86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599,263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588,267</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Second Lien Secured Debt—22.2% of Net Assets</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Atlas Purchaser, Inc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05/07/2029</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11.19 %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L+900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16,551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14,909</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Best Practice Associates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06/29/2027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12.67 %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L+900</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17,825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17,506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17,290</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Burgess Point Purchaser Corporation</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07/28/2030</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Auto Sector</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12.16 %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L+900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7,752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7,680</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Data Axle, Inc.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04/03/2024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4"/>
              </w:rPr>
              <w:t>Other Media</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12.92 %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L+925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20,400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20,288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20,196</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ENC Parent Corporation</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08/19/2029</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11.17 %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L+750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7,125</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Halo Buyer, Inc.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07/06/2026</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11.37 %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1M L+825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32,500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32,164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31,769</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Inventus Power, Inc.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09/29/2024</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12.17 %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L+850</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16,593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16,387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16,344</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QuantiTech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02/04/2027</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12.68 %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L+1,000</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148</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VT Topco, Inc.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08/17/2026</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9.87 %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L+675</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14,932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14,475</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133,160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129,936</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Subordinated Debt/Corporate Notes—9.1% of Net Assets</w:t>
            </w:r>
          </w:p>
        </w:tc>
        <w:tc>
          <w:tcPr>
            <w:tcW w:w="86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Express Wash Acquisition Company, LLC</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01/15/2029</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15.31 %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L+1,150</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21,000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20,278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20,359</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Flock Financial, LLC</w:t>
            </w:r>
          </w:p>
        </w:tc>
        <w:tc>
          <w:tcPr>
            <w:tcW w:w="86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05/26/2027</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Financial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12.50 %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33,190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32,895</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Subordinated Debt/Corporate Notes</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53,468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53,254</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 xml:space="preserve">Preferred Equity/Partnership Interests—1.3% of Net Assets </w:t>
            </w:r>
            <w:r>
              <w:rPr>
                <w:rFonts w:ascii="Arial" w:cs="Arial" w:eastAsia="Arial" w:hAnsi="Arial"/>
                <w:sz w:val="12"/>
                <w:szCs w:val="12"/>
                <w:b w:val="1"/>
                <w:bCs w:val="1"/>
                <w:color w:val="auto"/>
                <w:vertAlign w:val="superscript"/>
              </w:rPr>
              <w:t>(6)</w:t>
            </w:r>
          </w:p>
        </w:tc>
        <w:tc>
          <w:tcPr>
            <w:tcW w:w="86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(9)</w:t>
            </w:r>
          </w:p>
        </w:tc>
        <w:tc>
          <w:tcPr>
            <w:tcW w:w="860" w:type="dxa"/>
            <w:vAlign w:val="bottom"/>
          </w:tcPr>
          <w:p>
            <w:pPr>
              <w:ind w:left="58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2,400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AH Newco Equityholdings, LLC</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6.00 %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2,127</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(9)</w:t>
            </w:r>
          </w:p>
        </w:tc>
        <w:tc>
          <w:tcPr>
            <w:tcW w:w="860" w:type="dxa"/>
            <w:vAlign w:val="bottom"/>
          </w:tcPr>
          <w:p>
            <w:pPr>
              <w:ind w:left="58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1,135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1,427</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Topco, LP</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743,826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704</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Mars Intermediate Holdings II, Inc </w:t>
            </w:r>
            <w:r>
              <w:rPr>
                <w:rFonts w:ascii="Arial" w:cs="Arial" w:eastAsia="Arial" w:hAnsi="Arial"/>
                <w:sz w:val="12"/>
                <w:szCs w:val="12"/>
                <w:color w:val="auto"/>
                <w:vertAlign w:val="superscript"/>
              </w:rPr>
              <w:t>(9)</w:t>
            </w:r>
          </w:p>
        </w:tc>
        <w:tc>
          <w:tcPr>
            <w:tcW w:w="860" w:type="dxa"/>
            <w:vAlign w:val="bottom"/>
          </w:tcPr>
          <w:p>
            <w:pPr>
              <w:ind w:left="58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484</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NXOF Holdings, Inc. (Tyto Athene, LLC)</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227</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ORL Holdco, Inc.</w:t>
            </w:r>
          </w:p>
        </w:tc>
        <w:tc>
          <w:tcPr>
            <w:tcW w:w="860" w:type="dxa"/>
            <w:vAlign w:val="bottom"/>
          </w:tcPr>
          <w:p>
            <w:pPr>
              <w:ind w:left="58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575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Signature CR Intermediate Holdco, Inc.</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12.00 %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1,932</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(8),(11)</w:t>
            </w:r>
          </w:p>
        </w:tc>
        <w:tc>
          <w:tcPr>
            <w:tcW w:w="860" w:type="dxa"/>
            <w:vAlign w:val="bottom"/>
          </w:tcPr>
          <w:p>
            <w:pPr>
              <w:ind w:left="58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Food</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219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TWD Parent Holdings, LLC</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40"/>
        </w:trPr>
        <w:tc>
          <w:tcPr>
            <w:tcW w:w="2980" w:type="dxa"/>
            <w:vAlign w:val="bottom"/>
          </w:tcPr>
          <w:p>
            <w:pPr>
              <w:ind w:left="80"/>
              <w:spacing w:after="0"/>
              <w:rPr>
                <w:sz w:val="20"/>
                <w:szCs w:val="20"/>
                <w:color w:val="auto"/>
              </w:rPr>
            </w:pPr>
            <w:r>
              <w:rPr>
                <w:rFonts w:ascii="Arial" w:cs="Arial" w:eastAsia="Arial" w:hAnsi="Arial"/>
                <w:sz w:val="10"/>
                <w:szCs w:val="10"/>
                <w:color w:val="auto"/>
              </w:rPr>
              <w:t>(The Vertex Companies, LLC)</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Preferred Equity/Partnership Interests</w:t>
            </w:r>
          </w:p>
        </w:tc>
        <w:tc>
          <w:tcPr>
            <w:tcW w:w="86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7,325</w:t>
            </w: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w w:val="99"/>
              </w:rPr>
              <w:t>Common Equity/Partnership Interests/Warrants—26.2% of Net</w:t>
            </w:r>
          </w:p>
        </w:tc>
        <w:tc>
          <w:tcPr>
            <w:tcW w:w="8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0"/>
                <w:szCs w:val="10"/>
                <w:b w:val="1"/>
                <w:bCs w:val="1"/>
                <w:color w:val="auto"/>
              </w:rPr>
              <w:t xml:space="preserve">Assets </w:t>
            </w:r>
            <w:r>
              <w:rPr>
                <w:rFonts w:ascii="Arial" w:cs="Arial" w:eastAsia="Arial" w:hAnsi="Arial"/>
                <w:sz w:val="12"/>
                <w:szCs w:val="12"/>
                <w:b w:val="1"/>
                <w:bCs w:val="1"/>
                <w:color w:val="auto"/>
                <w:vertAlign w:val="superscript"/>
              </w:rPr>
              <w:t>(6)</w:t>
            </w:r>
          </w:p>
        </w:tc>
        <w:tc>
          <w:tcPr>
            <w:tcW w:w="8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(9)</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Affinion Group Holdings, Inc. (Warrants)</w:t>
            </w:r>
          </w:p>
        </w:tc>
        <w:tc>
          <w:tcPr>
            <w:tcW w:w="860" w:type="dxa"/>
            <w:vAlign w:val="bottom"/>
          </w:tcPr>
          <w:p>
            <w:pPr>
              <w:jc w:val="center"/>
              <w:ind w:right="92"/>
              <w:spacing w:after="0"/>
              <w:rPr>
                <w:sz w:val="20"/>
                <w:szCs w:val="20"/>
                <w:color w:val="auto"/>
              </w:rPr>
            </w:pPr>
            <w:r>
              <w:rPr>
                <w:rFonts w:ascii="Arial" w:cs="Arial" w:eastAsia="Arial" w:hAnsi="Arial"/>
                <w:sz w:val="10"/>
                <w:szCs w:val="10"/>
                <w:color w:val="auto"/>
                <w:w w:val="95"/>
              </w:rPr>
              <w:t>04/10/2024</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77,190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(9)</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805,164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1,127</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(7), (9)</w:t>
            </w:r>
          </w:p>
        </w:tc>
        <w:tc>
          <w:tcPr>
            <w:tcW w:w="860" w:type="dxa"/>
            <w:vAlign w:val="bottom"/>
          </w:tcPr>
          <w:p>
            <w:pPr>
              <w:ind w:left="58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194,836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Altamira Intermediate Company II, Inc.</w:t>
            </w:r>
          </w:p>
        </w:tc>
        <w:tc>
          <w:tcPr>
            <w:tcW w:w="86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1120" w:type="dxa"/>
            <w:vAlign w:val="bottom"/>
          </w:tcPr>
          <w:p>
            <w:pPr>
              <w:ind w:left="400"/>
              <w:spacing w:after="0"/>
              <w:rPr>
                <w:sz w:val="20"/>
                <w:szCs w:val="20"/>
                <w:color w:val="auto"/>
              </w:rPr>
            </w:pPr>
            <w:r>
              <w:rPr>
                <w:rFonts w:ascii="Arial" w:cs="Arial" w:eastAsia="Arial" w:hAnsi="Arial"/>
                <w:sz w:val="10"/>
                <w:szCs w:val="10"/>
                <w:b w:val="1"/>
                <w:bCs w:val="1"/>
                <w:color w:val="auto"/>
              </w:rPr>
              <w:t>Maturity /</w:t>
            </w:r>
          </w:p>
        </w:tc>
        <w:tc>
          <w:tcPr>
            <w:tcW w:w="1960" w:type="dxa"/>
            <w:vAlign w:val="bottom"/>
          </w:tcPr>
          <w:p>
            <w:pPr>
              <w:spacing w:after="0"/>
              <w:rPr>
                <w:sz w:val="10"/>
                <w:szCs w:val="10"/>
                <w:color w:val="auto"/>
              </w:rPr>
            </w:pPr>
          </w:p>
        </w:tc>
        <w:tc>
          <w:tcPr>
            <w:tcW w:w="620" w:type="dxa"/>
            <w:vAlign w:val="bottom"/>
          </w:tcPr>
          <w:p>
            <w:pPr>
              <w:ind w:left="220"/>
              <w:spacing w:after="0"/>
              <w:rPr>
                <w:sz w:val="20"/>
                <w:szCs w:val="20"/>
                <w:color w:val="auto"/>
              </w:rPr>
            </w:pPr>
            <w:r>
              <w:rPr>
                <w:rFonts w:ascii="Arial" w:cs="Arial" w:eastAsia="Arial" w:hAnsi="Arial"/>
                <w:sz w:val="10"/>
                <w:szCs w:val="10"/>
                <w:b w:val="1"/>
                <w:bCs w:val="1"/>
                <w:color w:val="auto"/>
              </w:rPr>
              <w:t>Current</w:t>
            </w:r>
          </w:p>
        </w:tc>
        <w:tc>
          <w:tcPr>
            <w:tcW w:w="300" w:type="dxa"/>
            <w:vAlign w:val="bottom"/>
          </w:tcPr>
          <w:p>
            <w:pPr>
              <w:spacing w:after="0"/>
              <w:rPr>
                <w:sz w:val="10"/>
                <w:szCs w:val="10"/>
                <w:color w:val="auto"/>
              </w:rPr>
            </w:pPr>
          </w:p>
        </w:tc>
        <w:tc>
          <w:tcPr>
            <w:tcW w:w="1060" w:type="dxa"/>
            <w:vAlign w:val="bottom"/>
          </w:tcPr>
          <w:p>
            <w:pPr>
              <w:jc w:val="center"/>
              <w:ind w:right="72"/>
              <w:spacing w:after="0"/>
              <w:rPr>
                <w:sz w:val="20"/>
                <w:szCs w:val="20"/>
                <w:color w:val="auto"/>
              </w:rPr>
            </w:pPr>
            <w:r>
              <w:rPr>
                <w:rFonts w:ascii="Arial" w:cs="Arial" w:eastAsia="Arial" w:hAnsi="Arial"/>
                <w:sz w:val="10"/>
                <w:szCs w:val="10"/>
                <w:b w:val="1"/>
                <w:bCs w:val="1"/>
                <w:color w:val="auto"/>
                <w:w w:val="98"/>
              </w:rPr>
              <w:t>Spread Above</w:t>
            </w:r>
          </w:p>
        </w:tc>
        <w:tc>
          <w:tcPr>
            <w:tcW w:w="880" w:type="dxa"/>
            <w:vAlign w:val="bottom"/>
          </w:tcPr>
          <w:p>
            <w:pPr>
              <w:jc w:val="right"/>
              <w:ind w:right="33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1120" w:type="dxa"/>
            <w:vAlign w:val="bottom"/>
          </w:tcPr>
          <w:p>
            <w:pPr>
              <w:ind w:left="380"/>
              <w:spacing w:after="0"/>
              <w:rPr>
                <w:sz w:val="20"/>
                <w:szCs w:val="20"/>
                <w:color w:val="auto"/>
              </w:rPr>
            </w:pPr>
            <w:r>
              <w:rPr>
                <w:rFonts w:ascii="Arial" w:cs="Arial" w:eastAsia="Arial" w:hAnsi="Arial"/>
                <w:sz w:val="10"/>
                <w:szCs w:val="10"/>
                <w:b w:val="1"/>
                <w:bCs w:val="1"/>
                <w:color w:val="auto"/>
              </w:rPr>
              <w:t>Expiration</w:t>
            </w:r>
          </w:p>
        </w:tc>
        <w:tc>
          <w:tcPr>
            <w:tcW w:w="19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620" w:type="dxa"/>
            <w:vAlign w:val="bottom"/>
          </w:tcPr>
          <w:p>
            <w:pPr>
              <w:ind w:left="220"/>
              <w:spacing w:after="0"/>
              <w:rPr>
                <w:sz w:val="20"/>
                <w:szCs w:val="20"/>
                <w:color w:val="auto"/>
              </w:rPr>
            </w:pPr>
            <w:r>
              <w:rPr>
                <w:rFonts w:ascii="Arial" w:cs="Arial" w:eastAsia="Arial" w:hAnsi="Arial"/>
                <w:sz w:val="10"/>
                <w:szCs w:val="10"/>
                <w:b w:val="1"/>
                <w:bCs w:val="1"/>
                <w:color w:val="auto"/>
              </w:rPr>
              <w:t>Coupon</w:t>
            </w:r>
          </w:p>
        </w:tc>
        <w:tc>
          <w:tcPr>
            <w:tcW w:w="300" w:type="dxa"/>
            <w:vAlign w:val="bottom"/>
          </w:tcPr>
          <w:p>
            <w:pPr>
              <w:spacing w:after="0"/>
              <w:rPr>
                <w:sz w:val="11"/>
                <w:szCs w:val="11"/>
                <w:color w:val="auto"/>
              </w:rPr>
            </w:pPr>
          </w:p>
        </w:tc>
        <w:tc>
          <w:tcPr>
            <w:tcW w:w="1060" w:type="dxa"/>
            <w:vAlign w:val="bottom"/>
          </w:tcPr>
          <w:p>
            <w:pPr>
              <w:jc w:val="center"/>
              <w:ind w:right="7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(4)</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1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3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AMCSI Crash Co-Invest,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Auto Sector</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2,419,200</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2,419</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2,470</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AMCSI Crash Co-Invest, LP </w:t>
            </w:r>
            <w:r>
              <w:rPr>
                <w:rFonts w:ascii="Arial" w:cs="Arial" w:eastAsia="Arial" w:hAnsi="Arial"/>
                <w:sz w:val="12"/>
                <w:szCs w:val="12"/>
                <w:color w:val="auto"/>
                <w:vertAlign w:val="superscript"/>
              </w:rPr>
              <w:t>(7)</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580,800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(9)</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270</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Athletico Holdings, LLC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9,357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10,000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9,516</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Atlas Investment Aggregator, LLC </w:t>
            </w:r>
            <w:r>
              <w:rPr>
                <w:rFonts w:ascii="Arial" w:cs="Arial" w:eastAsia="Arial" w:hAnsi="Arial"/>
                <w:sz w:val="12"/>
                <w:szCs w:val="12"/>
                <w:color w:val="auto"/>
                <w:vertAlign w:val="superscript"/>
              </w:rPr>
              <w:t>(9)</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1,219</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Burgess Point Holdings, LP</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690</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3,562,500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3,716</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CI (Allied) Investment Holdings, LLC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120,962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1,243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1,651</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(PRA Events, Inc.) </w:t>
            </w:r>
            <w:r>
              <w:rPr>
                <w:rFonts w:ascii="Arial" w:cs="Arial" w:eastAsia="Arial" w:hAnsi="Arial"/>
                <w:sz w:val="12"/>
                <w:szCs w:val="12"/>
                <w:color w:val="auto"/>
                <w:vertAlign w:val="superscript"/>
              </w:rPr>
              <w:t>(9)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Connatix Parent, LLC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57,416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632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689</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Cowboy Parent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26,360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4,011</w:t>
            </w:r>
          </w:p>
        </w:tc>
        <w:tc>
          <w:tcPr>
            <w:tcW w:w="0" w:type="dxa"/>
            <w:vAlign w:val="bottom"/>
          </w:tcPr>
          <w:p>
            <w:pPr>
              <w:spacing w:after="0"/>
              <w:rPr>
                <w:sz w:val="1"/>
                <w:szCs w:val="1"/>
                <w:color w:val="auto"/>
              </w:rPr>
            </w:pPr>
          </w:p>
        </w:tc>
      </w:tr>
      <w:tr>
        <w:trPr>
          <w:trHeight w:val="140"/>
        </w:trPr>
        <w:tc>
          <w:tcPr>
            <w:tcW w:w="2740" w:type="dxa"/>
            <w:vAlign w:val="bottom"/>
          </w:tcPr>
          <w:p>
            <w:pPr>
              <w:ind w:left="80"/>
              <w:spacing w:after="0"/>
              <w:rPr>
                <w:sz w:val="20"/>
                <w:szCs w:val="20"/>
                <w:color w:val="auto"/>
              </w:rPr>
            </w:pPr>
            <w:r>
              <w:rPr>
                <w:rFonts w:ascii="Arial" w:cs="Arial" w:eastAsia="Arial" w:hAnsi="Arial"/>
                <w:sz w:val="10"/>
                <w:szCs w:val="10"/>
                <w:color w:val="auto"/>
              </w:rPr>
              <w:t>(Blackhawk Industrial Distribution, Inc.)</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40" w:type="dxa"/>
            <w:vAlign w:val="bottom"/>
            <w:shd w:val="clear" w:color="auto" w:fill="CCECFF"/>
          </w:tcPr>
          <w:p>
            <w:pPr>
              <w:spacing w:after="0"/>
              <w:rPr>
                <w:sz w:val="12"/>
                <w:szCs w:val="12"/>
                <w:color w:val="auto"/>
              </w:rPr>
            </w:pP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Crane 1 Acquisition Parent Holdings, L.P.</w:t>
            </w:r>
          </w:p>
        </w:tc>
        <w:tc>
          <w:tcPr>
            <w:tcW w:w="112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Services</w:t>
            </w:r>
          </w:p>
        </w:tc>
        <w:tc>
          <w:tcPr>
            <w:tcW w:w="6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104</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122</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Delta InvestCo LP</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698,889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684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1,425</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(Sigma Defense Systems, LLC) </w:t>
            </w:r>
            <w:r>
              <w:rPr>
                <w:rFonts w:ascii="Arial" w:cs="Arial" w:eastAsia="Arial" w:hAnsi="Arial"/>
                <w:sz w:val="12"/>
                <w:szCs w:val="12"/>
                <w:color w:val="auto"/>
                <w:vertAlign w:val="superscript"/>
              </w:rPr>
              <w:t>(9)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Delta InvestCo LP </w:t>
            </w:r>
            <w:r>
              <w:rPr>
                <w:rFonts w:ascii="Arial" w:cs="Arial" w:eastAsia="Arial" w:hAnsi="Arial"/>
                <w:sz w:val="12"/>
                <w:szCs w:val="12"/>
                <w:color w:val="auto"/>
                <w:vertAlign w:val="superscript"/>
              </w:rPr>
              <w:t>(7)</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442,155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(Sigma Defense Systems, LLC) </w:t>
            </w:r>
            <w:r>
              <w:rPr>
                <w:rFonts w:ascii="Arial" w:cs="Arial" w:eastAsia="Arial" w:hAnsi="Arial"/>
                <w:sz w:val="12"/>
                <w:szCs w:val="12"/>
                <w:color w:val="auto"/>
                <w:vertAlign w:val="superscript"/>
              </w:rPr>
              <w:t>(7), (9)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ECM Investors, LLC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8"/>
              </w:rPr>
              <w:t>Electronics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167,537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358</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eCommission Holding Corporation </w:t>
            </w:r>
            <w:r>
              <w:rPr>
                <w:rFonts w:ascii="Arial" w:cs="Arial" w:eastAsia="Arial" w:hAnsi="Arial"/>
                <w:sz w:val="12"/>
                <w:szCs w:val="12"/>
                <w:color w:val="auto"/>
                <w:vertAlign w:val="superscript"/>
              </w:rPr>
              <w:t>(11)</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Financial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1,391</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Exigo, LLC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1,458,333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1,458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1,288</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Express Wash Topco,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Auto Sector</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658,000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3,369</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14,186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1,441</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(7),(9)</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FedHC InvestCo II LP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20,357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2,290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2,253</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Gauge Lash Coinvest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889,376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4,208</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Gauge Schlesinger Coinvest, LLC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Gauge TVC Coinvest,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Transportation</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810,645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3,229</w:t>
            </w:r>
          </w:p>
        </w:tc>
        <w:tc>
          <w:tcPr>
            <w:tcW w:w="0" w:type="dxa"/>
            <w:vAlign w:val="bottom"/>
          </w:tcPr>
          <w:p>
            <w:pPr>
              <w:spacing w:after="0"/>
              <w:rPr>
                <w:sz w:val="1"/>
                <w:szCs w:val="1"/>
                <w:color w:val="auto"/>
              </w:rPr>
            </w:pPr>
          </w:p>
        </w:tc>
      </w:tr>
      <w:tr>
        <w:trPr>
          <w:trHeight w:val="140"/>
        </w:trPr>
        <w:tc>
          <w:tcPr>
            <w:tcW w:w="2740" w:type="dxa"/>
            <w:vAlign w:val="bottom"/>
          </w:tcPr>
          <w:p>
            <w:pPr>
              <w:ind w:left="80"/>
              <w:spacing w:after="0"/>
              <w:rPr>
                <w:sz w:val="20"/>
                <w:szCs w:val="20"/>
                <w:color w:val="auto"/>
              </w:rPr>
            </w:pPr>
            <w:r>
              <w:rPr>
                <w:rFonts w:ascii="Arial" w:cs="Arial" w:eastAsia="Arial" w:hAnsi="Arial"/>
                <w:sz w:val="10"/>
                <w:szCs w:val="10"/>
                <w:color w:val="auto"/>
              </w:rPr>
              <w:t>(TVC Enterprises, LLC)</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GCOM InvestCo LP </w:t>
            </w:r>
            <w:r>
              <w:rPr>
                <w:rFonts w:ascii="Arial" w:cs="Arial" w:eastAsia="Arial" w:hAnsi="Arial"/>
                <w:sz w:val="12"/>
                <w:szCs w:val="12"/>
                <w:color w:val="auto"/>
                <w:vertAlign w:val="superscript"/>
              </w:rPr>
              <w:t>(9)</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2,434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587</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Go Dawgs Capital III, LP</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Building Materials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675,325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783</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(American Insulated Glass, LLC) </w:t>
            </w:r>
            <w:r>
              <w:rPr>
                <w:rFonts w:ascii="Arial" w:cs="Arial" w:eastAsia="Arial" w:hAnsi="Arial"/>
                <w:sz w:val="12"/>
                <w:szCs w:val="12"/>
                <w:color w:val="auto"/>
                <w:vertAlign w:val="superscript"/>
              </w:rPr>
              <w:t>(9)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Green Veracity Holdings, LP - Class A</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15,000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1,500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5,700</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(VT Topco, Inc.)</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Hancock Claims Consultants Investors, LLC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rPr>
              <w:t>Insurance</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477</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1,387</w:t>
            </w: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rPr>
                <w:sz w:val="20"/>
                <w:szCs w:val="20"/>
                <w:color w:val="auto"/>
              </w:rPr>
            </w:pPr>
            <w:r>
              <w:rPr>
                <w:rFonts w:ascii="Arial" w:cs="Arial" w:eastAsia="Arial" w:hAnsi="Arial"/>
                <w:sz w:val="10"/>
                <w:szCs w:val="10"/>
                <w:color w:val="auto"/>
              </w:rPr>
              <w:t>Icon Partners V C, L.P.</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1"/>
                <w:szCs w:val="11"/>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vMerge w:val="restart"/>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1,111,111</w:t>
            </w:r>
          </w:p>
        </w:tc>
        <w:tc>
          <w:tcPr>
            <w:tcW w:w="260" w:type="dxa"/>
            <w:vAlign w:val="bottom"/>
          </w:tcPr>
          <w:p>
            <w:pPr>
              <w:spacing w:after="0"/>
              <w:rPr>
                <w:sz w:val="11"/>
                <w:szCs w:val="11"/>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0"/>
                <w:szCs w:val="10"/>
                <w:color w:val="auto"/>
              </w:rPr>
              <w:t>1,111</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1,194</w:t>
            </w: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Icon Partners V C, L.P. </w:t>
            </w:r>
            <w:r>
              <w:rPr>
                <w:rFonts w:ascii="Arial" w:cs="Arial" w:eastAsia="Arial" w:hAnsi="Arial"/>
                <w:sz w:val="12"/>
                <w:szCs w:val="12"/>
                <w:color w:val="auto"/>
                <w:vertAlign w:val="superscript"/>
              </w:rPr>
              <w:t>(7),(9)</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388,889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Imagine Topco, LP</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743,826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Infogroup Parent Holdings, Inc.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Other Media</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181,495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3,270</w:t>
            </w:r>
          </w:p>
        </w:tc>
        <w:tc>
          <w:tcPr>
            <w:tcW w:w="0" w:type="dxa"/>
            <w:vAlign w:val="bottom"/>
          </w:tcPr>
          <w:p>
            <w:pPr>
              <w:spacing w:after="0"/>
              <w:rPr>
                <w:sz w:val="1"/>
                <w:szCs w:val="1"/>
                <w:color w:val="auto"/>
              </w:rPr>
            </w:pPr>
          </w:p>
        </w:tc>
      </w:tr>
      <w:tr>
        <w:trPr>
          <w:trHeight w:val="140"/>
        </w:trPr>
        <w:tc>
          <w:tcPr>
            <w:tcW w:w="2740" w:type="dxa"/>
            <w:vAlign w:val="bottom"/>
          </w:tcPr>
          <w:p>
            <w:pPr>
              <w:ind w:left="80"/>
              <w:spacing w:after="0"/>
              <w:rPr>
                <w:sz w:val="20"/>
                <w:szCs w:val="20"/>
                <w:color w:val="auto"/>
              </w:rPr>
            </w:pPr>
            <w:r>
              <w:rPr>
                <w:rFonts w:ascii="Arial" w:cs="Arial" w:eastAsia="Arial" w:hAnsi="Arial"/>
                <w:sz w:val="10"/>
                <w:szCs w:val="10"/>
                <w:color w:val="auto"/>
              </w:rPr>
              <w:t>(Data Axle, Inc.)</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Ironclad Holdco,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Environmental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592</w:t>
            </w:r>
          </w:p>
        </w:tc>
        <w:tc>
          <w:tcPr>
            <w:tcW w:w="0" w:type="dxa"/>
            <w:vAlign w:val="bottom"/>
          </w:tcPr>
          <w:p>
            <w:pPr>
              <w:spacing w:after="0"/>
              <w:rPr>
                <w:sz w:val="1"/>
                <w:szCs w:val="1"/>
                <w:color w:val="auto"/>
              </w:rPr>
            </w:pPr>
          </w:p>
        </w:tc>
      </w:tr>
      <w:tr>
        <w:trPr>
          <w:trHeight w:val="144"/>
        </w:trPr>
        <w:tc>
          <w:tcPr>
            <w:tcW w:w="2740" w:type="dxa"/>
            <w:vAlign w:val="bottom"/>
          </w:tcPr>
          <w:p>
            <w:pPr>
              <w:ind w:left="80"/>
              <w:spacing w:after="0"/>
              <w:rPr>
                <w:sz w:val="20"/>
                <w:szCs w:val="20"/>
                <w:color w:val="auto"/>
              </w:rPr>
            </w:pPr>
            <w:r>
              <w:rPr>
                <w:rFonts w:ascii="Arial" w:cs="Arial" w:eastAsia="Arial" w:hAnsi="Arial"/>
                <w:sz w:val="10"/>
                <w:szCs w:val="10"/>
                <w:color w:val="auto"/>
              </w:rPr>
              <w:t xml:space="preserve">(Applied Technical Services, LLC) </w:t>
            </w:r>
            <w:r>
              <w:rPr>
                <w:rFonts w:ascii="Arial" w:cs="Arial" w:eastAsia="Arial" w:hAnsi="Arial"/>
                <w:sz w:val="12"/>
                <w:szCs w:val="12"/>
                <w:color w:val="auto"/>
                <w:vertAlign w:val="superscript"/>
              </w:rPr>
              <w:t>(9)</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ITC Infusion Co-invest,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113,839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1,199</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ITC Rumba, LLC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375,675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42,031</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(Cano Health, LLC) </w:t>
            </w:r>
            <w:r>
              <w:rPr>
                <w:rFonts w:ascii="Arial" w:cs="Arial" w:eastAsia="Arial" w:hAnsi="Arial"/>
                <w:sz w:val="12"/>
                <w:szCs w:val="12"/>
                <w:color w:val="auto"/>
                <w:vertAlign w:val="superscript"/>
              </w:rPr>
              <w:t>(9)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JWC-WE Holdings, L.P.</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Home and Office Furnishings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2,688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(Walker Edison Furniture Company LLC) </w:t>
            </w:r>
            <w:r>
              <w:rPr>
                <w:rFonts w:ascii="Arial" w:cs="Arial" w:eastAsia="Arial" w:hAnsi="Arial"/>
                <w:sz w:val="12"/>
                <w:szCs w:val="12"/>
                <w:color w:val="auto"/>
                <w:vertAlign w:val="superscript"/>
              </w:rPr>
              <w:t>(9)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Kentucky Racing Holdco, LLC (Warrants)</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Hotels, Motels, Inns and Gaming</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161,252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1,774</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Kinetic Purchaser,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1,308,814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1,309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1,854</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Personal, Food and Miscellaneous</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40" w:type="dxa"/>
            <w:vAlign w:val="bottom"/>
          </w:tcPr>
          <w:p>
            <w:pPr>
              <w:ind w:left="20"/>
              <w:spacing w:after="0"/>
              <w:rPr>
                <w:sz w:val="20"/>
                <w:szCs w:val="20"/>
                <w:color w:val="auto"/>
              </w:rPr>
            </w:pPr>
            <w:r>
              <w:rPr>
                <w:rFonts w:ascii="Arial" w:cs="Arial" w:eastAsia="Arial" w:hAnsi="Arial"/>
                <w:sz w:val="10"/>
                <w:szCs w:val="10"/>
                <w:color w:val="auto"/>
              </w:rPr>
              <w:t>KL Stockton Co-Invest LP</w:t>
            </w:r>
          </w:p>
        </w:tc>
        <w:tc>
          <w:tcPr>
            <w:tcW w:w="112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Services</w:t>
            </w:r>
          </w:p>
        </w:tc>
        <w:tc>
          <w:tcPr>
            <w:tcW w:w="620" w:type="dxa"/>
            <w:vAlign w:val="bottom"/>
          </w:tcPr>
          <w:p>
            <w:pPr>
              <w:spacing w:after="0"/>
              <w:rPr>
                <w:sz w:val="10"/>
                <w:szCs w:val="10"/>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382,353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382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643</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(Any Hour Services) </w:t>
            </w:r>
            <w:r>
              <w:rPr>
                <w:rFonts w:ascii="Arial" w:cs="Arial" w:eastAsia="Arial" w:hAnsi="Arial"/>
                <w:sz w:val="12"/>
                <w:szCs w:val="12"/>
                <w:color w:val="auto"/>
                <w:vertAlign w:val="superscript"/>
              </w:rPr>
              <w:t>(9)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Lariat ecoserv Co-Invest Holdings, LLC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Environmental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363,656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1,376</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Lightspeed Investment Holdco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273,143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373</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Mars Intermidiate Holdings II, Inc.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126</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Aggregator,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1,925,990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1,926</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Meadowlark Title, LLC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815,385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897</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3,920,145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3,984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2,990</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NEPRT Parent Holdings, LLC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Consumer Products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1,299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1,261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243</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(Recteq, LLC) </w:t>
            </w:r>
            <w:r>
              <w:rPr>
                <w:rFonts w:ascii="Arial" w:cs="Arial" w:eastAsia="Arial" w:hAnsi="Arial"/>
                <w:sz w:val="12"/>
                <w:szCs w:val="12"/>
                <w:color w:val="auto"/>
                <w:vertAlign w:val="superscript"/>
              </w:rPr>
              <w:t>(9)</w:t>
            </w:r>
          </w:p>
        </w:tc>
        <w:tc>
          <w:tcPr>
            <w:tcW w:w="1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North Haven Saints Equity Holdings, LP</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351,553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373</w:t>
            </w:r>
          </w:p>
        </w:tc>
        <w:tc>
          <w:tcPr>
            <w:tcW w:w="0" w:type="dxa"/>
            <w:vAlign w:val="bottom"/>
          </w:tcPr>
          <w:p>
            <w:pPr>
              <w:spacing w:after="0"/>
              <w:rPr>
                <w:sz w:val="1"/>
                <w:szCs w:val="1"/>
                <w:color w:val="auto"/>
              </w:rPr>
            </w:pPr>
          </w:p>
        </w:tc>
      </w:tr>
      <w:tr>
        <w:trPr>
          <w:trHeight w:val="140"/>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NXOF Holdings, Inc.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shd w:val="clear" w:color="auto" w:fill="CCECFF"/>
          </w:tcPr>
          <w:p>
            <w:pPr>
              <w:spacing w:after="0"/>
              <w:rPr>
                <w:sz w:val="12"/>
                <w:szCs w:val="12"/>
                <w:color w:val="auto"/>
              </w:rPr>
            </w:pPr>
          </w:p>
        </w:tc>
        <w:tc>
          <w:tcPr>
            <w:tcW w:w="300" w:type="dxa"/>
            <w:vAlign w:val="bottom"/>
            <w:vMerge w:val="restart"/>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vMerge w:val="restart"/>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3,261</w:t>
            </w:r>
          </w:p>
        </w:tc>
        <w:tc>
          <w:tcPr>
            <w:tcW w:w="26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3</w:t>
            </w:r>
          </w:p>
        </w:tc>
        <w:tc>
          <w:tcPr>
            <w:tcW w:w="18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16"/>
        </w:trPr>
        <w:tc>
          <w:tcPr>
            <w:tcW w:w="274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00" w:type="dxa"/>
            <w:vAlign w:val="bottom"/>
            <w:vMerge w:val="continue"/>
            <w:shd w:val="clear" w:color="auto" w:fill="CCECFF"/>
          </w:tcPr>
          <w:p>
            <w:pPr>
              <w:spacing w:after="0"/>
              <w:rPr>
                <w:sz w:val="10"/>
                <w:szCs w:val="10"/>
                <w:color w:val="auto"/>
              </w:rPr>
            </w:pPr>
          </w:p>
        </w:tc>
        <w:tc>
          <w:tcPr>
            <w:tcW w:w="1060" w:type="dxa"/>
            <w:vAlign w:val="bottom"/>
            <w:vMerge w:val="continue"/>
            <w:shd w:val="clear" w:color="auto" w:fill="CCECFF"/>
          </w:tcPr>
          <w:p>
            <w:pPr>
              <w:spacing w:after="0"/>
              <w:rPr>
                <w:sz w:val="10"/>
                <w:szCs w:val="10"/>
                <w:color w:val="auto"/>
              </w:rPr>
            </w:pPr>
          </w:p>
        </w:tc>
        <w:tc>
          <w:tcPr>
            <w:tcW w:w="880" w:type="dxa"/>
            <w:vAlign w:val="bottom"/>
            <w:vMerge w:val="continue"/>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80"/>
              <w:spacing w:after="0"/>
              <w:rPr>
                <w:sz w:val="20"/>
                <w:szCs w:val="20"/>
                <w:color w:val="auto"/>
              </w:rPr>
            </w:pPr>
            <w:r>
              <w:rPr>
                <w:rFonts w:ascii="Arial" w:cs="Arial" w:eastAsia="Arial" w:hAnsi="Arial"/>
                <w:sz w:val="10"/>
                <w:szCs w:val="10"/>
                <w:color w:val="auto"/>
              </w:rPr>
              <w:t>(Tyto Athene, LLC)</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OceanSound Discovery Equity,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98,286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1,651</w:t>
            </w:r>
          </w:p>
        </w:tc>
        <w:tc>
          <w:tcPr>
            <w:tcW w:w="0" w:type="dxa"/>
            <w:vAlign w:val="bottom"/>
          </w:tcPr>
          <w:p>
            <w:pPr>
              <w:spacing w:after="0"/>
              <w:rPr>
                <w:sz w:val="1"/>
                <w:szCs w:val="1"/>
                <w:color w:val="auto"/>
              </w:rPr>
            </w:pPr>
          </w:p>
        </w:tc>
      </w:tr>
      <w:tr>
        <w:trPr>
          <w:trHeight w:val="144"/>
        </w:trPr>
        <w:tc>
          <w:tcPr>
            <w:tcW w:w="2740" w:type="dxa"/>
            <w:vAlign w:val="bottom"/>
          </w:tcPr>
          <w:p>
            <w:pPr>
              <w:ind w:left="80"/>
              <w:spacing w:after="0"/>
              <w:rPr>
                <w:sz w:val="20"/>
                <w:szCs w:val="20"/>
                <w:color w:val="auto"/>
              </w:rPr>
            </w:pPr>
            <w:r>
              <w:rPr>
                <w:rFonts w:ascii="Arial" w:cs="Arial" w:eastAsia="Arial" w:hAnsi="Arial"/>
                <w:sz w:val="10"/>
                <w:szCs w:val="10"/>
                <w:color w:val="auto"/>
              </w:rPr>
              <w:t xml:space="preserve">(Holdco Sands Intermediate, LLC) </w:t>
            </w:r>
            <w:r>
              <w:rPr>
                <w:rFonts w:ascii="Arial" w:cs="Arial" w:eastAsia="Arial" w:hAnsi="Arial"/>
                <w:sz w:val="12"/>
                <w:szCs w:val="12"/>
                <w:color w:val="auto"/>
                <w:vertAlign w:val="superscript"/>
              </w:rPr>
              <w:t>(9)</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OHCP V BC COI,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446,250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382</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OHCP V BC COI, L.P. </w:t>
            </w:r>
            <w:r>
              <w:rPr>
                <w:rFonts w:ascii="Arial" w:cs="Arial" w:eastAsia="Arial" w:hAnsi="Arial"/>
                <w:sz w:val="12"/>
                <w:szCs w:val="12"/>
                <w:color w:val="auto"/>
                <w:vertAlign w:val="superscript"/>
              </w:rPr>
              <w:t>(7),(9)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303,750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(44 )</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Oral Surgery (ITC) Holdings, LLC </w:t>
            </w:r>
            <w:r>
              <w:rPr>
                <w:rFonts w:ascii="Arial" w:cs="Arial" w:eastAsia="Arial" w:hAnsi="Arial"/>
                <w:sz w:val="12"/>
                <w:szCs w:val="12"/>
                <w:color w:val="auto"/>
                <w:vertAlign w:val="superscript"/>
              </w:rPr>
              <w:t>(9)</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2,904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173</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ORL Holdco, Inc.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638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PennantPark-TSO Senior Loan Fund II,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Financial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15,038,871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15,039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15,571</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Pink Lily Holdco, LLC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1,044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550</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1,918,047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1,918</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712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352</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(7),(9)</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0"/>
                <w:szCs w:val="10"/>
                <w:color w:val="auto"/>
              </w:rPr>
              <w:t xml:space="preserve">QuantiTech InvestCo II LP </w:t>
            </w:r>
            <w:r>
              <w:rPr>
                <w:rFonts w:ascii="Arial" w:cs="Arial" w:eastAsia="Arial" w:hAnsi="Arial"/>
                <w:sz w:val="12"/>
                <w:szCs w:val="12"/>
                <w:color w:val="auto"/>
                <w:vertAlign w:val="superscript"/>
              </w:rPr>
              <w:t>(9)</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44"/>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RFMG Parent,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1,050,000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1,090</w:t>
            </w:r>
          </w:p>
        </w:tc>
        <w:tc>
          <w:tcPr>
            <w:tcW w:w="0" w:type="dxa"/>
            <w:vAlign w:val="bottom"/>
          </w:tcPr>
          <w:p>
            <w:pPr>
              <w:spacing w:after="0"/>
              <w:rPr>
                <w:sz w:val="1"/>
                <w:szCs w:val="1"/>
                <w:color w:val="auto"/>
              </w:rPr>
            </w:pPr>
          </w:p>
        </w:tc>
      </w:tr>
      <w:tr>
        <w:trPr>
          <w:trHeight w:val="140"/>
        </w:trPr>
        <w:tc>
          <w:tcPr>
            <w:tcW w:w="2740" w:type="dxa"/>
            <w:vAlign w:val="bottom"/>
          </w:tcPr>
          <w:p>
            <w:pPr>
              <w:ind w:left="80"/>
              <w:spacing w:after="0"/>
              <w:rPr>
                <w:sz w:val="20"/>
                <w:szCs w:val="20"/>
                <w:color w:val="auto"/>
              </w:rPr>
            </w:pPr>
            <w:r>
              <w:rPr>
                <w:rFonts w:ascii="Arial" w:cs="Arial" w:eastAsia="Arial" w:hAnsi="Arial"/>
                <w:sz w:val="10"/>
                <w:szCs w:val="10"/>
                <w:color w:val="auto"/>
              </w:rPr>
              <w:t>(Rancho Health MSO, Inc.)</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SBI Holdings Investments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36,585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359</w:t>
            </w:r>
          </w:p>
        </w:tc>
        <w:tc>
          <w:tcPr>
            <w:tcW w:w="0" w:type="dxa"/>
            <w:vAlign w:val="bottom"/>
          </w:tcPr>
          <w:p>
            <w:pPr>
              <w:spacing w:after="0"/>
              <w:rPr>
                <w:sz w:val="1"/>
                <w:szCs w:val="1"/>
                <w:color w:val="auto"/>
              </w:rPr>
            </w:pPr>
          </w:p>
        </w:tc>
      </w:tr>
      <w:tr>
        <w:trPr>
          <w:trHeight w:val="140"/>
        </w:trPr>
        <w:tc>
          <w:tcPr>
            <w:tcW w:w="2740" w:type="dxa"/>
            <w:vAlign w:val="bottom"/>
          </w:tcPr>
          <w:p>
            <w:pPr>
              <w:ind w:left="80"/>
              <w:spacing w:after="0"/>
              <w:rPr>
                <w:sz w:val="20"/>
                <w:szCs w:val="20"/>
                <w:color w:val="auto"/>
              </w:rPr>
            </w:pPr>
            <w:r>
              <w:rPr>
                <w:rFonts w:ascii="Arial" w:cs="Arial" w:eastAsia="Arial" w:hAnsi="Arial"/>
                <w:sz w:val="10"/>
                <w:szCs w:val="10"/>
                <w:color w:val="auto"/>
              </w:rPr>
              <w:t>(Sales Benchmark Index LLC)</w:t>
            </w:r>
          </w:p>
        </w:tc>
        <w:tc>
          <w:tcPr>
            <w:tcW w:w="1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Topco, LP</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2,981</w:t>
            </w: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0"/>
                <w:szCs w:val="10"/>
                <w:color w:val="auto"/>
              </w:rPr>
              <w:t>Signature CR Intermediate Holdco, Inc.</w:t>
            </w:r>
          </w:p>
        </w:tc>
        <w:tc>
          <w:tcPr>
            <w:tcW w:w="1120" w:type="dxa"/>
            <w:vAlign w:val="bottom"/>
          </w:tcPr>
          <w:p>
            <w:pPr>
              <w:ind w:left="840"/>
              <w:spacing w:after="0"/>
              <w:rPr>
                <w:sz w:val="20"/>
                <w:szCs w:val="20"/>
                <w:color w:val="auto"/>
              </w:rPr>
            </w:pPr>
            <w:r>
              <w:rPr>
                <w:rFonts w:ascii="Arial" w:cs="Arial" w:eastAsia="Arial" w:hAnsi="Arial"/>
                <w:sz w:val="10"/>
                <w:szCs w:val="10"/>
                <w:color w:val="auto"/>
              </w:rPr>
              <w:t>—</w:t>
            </w:r>
          </w:p>
        </w:tc>
        <w:tc>
          <w:tcPr>
            <w:tcW w:w="19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62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Arial" w:cs="Arial" w:eastAsia="Arial" w:hAnsi="Arial"/>
                <w:sz w:val="10"/>
                <w:szCs w:val="10"/>
                <w:color w:val="auto"/>
              </w:rPr>
              <w:t>—</w:t>
            </w:r>
          </w:p>
        </w:tc>
        <w:tc>
          <w:tcPr>
            <w:tcW w:w="1060" w:type="dxa"/>
            <w:vAlign w:val="bottom"/>
          </w:tcPr>
          <w:p>
            <w:pPr>
              <w:ind w:left="7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7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 L2 Holdings, LLC</w:t>
            </w:r>
          </w:p>
        </w:tc>
        <w:tc>
          <w:tcPr>
            <w:tcW w:w="1120" w:type="dxa"/>
            <w:vAlign w:val="bottom"/>
            <w:shd w:val="clear" w:color="auto" w:fill="CCECFF"/>
          </w:tcPr>
          <w:p>
            <w:pPr>
              <w:ind w:left="840"/>
              <w:spacing w:after="0"/>
              <w:rPr>
                <w:sz w:val="20"/>
                <w:szCs w:val="20"/>
                <w:color w:val="auto"/>
              </w:rPr>
            </w:pPr>
            <w:r>
              <w:rPr>
                <w:rFonts w:ascii="Arial" w:cs="Arial" w:eastAsia="Arial" w:hAnsi="Arial"/>
                <w:sz w:val="10"/>
                <w:szCs w:val="10"/>
                <w:color w:val="auto"/>
              </w:rPr>
              <w:t>—</w:t>
            </w:r>
          </w:p>
        </w:tc>
        <w:tc>
          <w:tcPr>
            <w:tcW w:w="19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Products</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ind w:left="7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881,966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913</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jc w:val="center"/>
              <w:ind w:right="32"/>
              <w:spacing w:after="0"/>
              <w:rPr>
                <w:sz w:val="20"/>
                <w:szCs w:val="20"/>
                <w:color w:val="auto"/>
              </w:rPr>
            </w:pPr>
            <w:r>
              <w:rPr>
                <w:rFonts w:ascii="Arial" w:cs="Arial" w:eastAsia="Arial" w:hAnsi="Arial"/>
                <w:sz w:val="10"/>
                <w:szCs w:val="10"/>
                <w:b w:val="1"/>
                <w:bCs w:val="1"/>
                <w:color w:val="auto"/>
                <w:w w:val="95"/>
              </w:rPr>
              <w:t>Basis Point</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980" w:type="dxa"/>
            <w:vAlign w:val="bottom"/>
          </w:tcPr>
          <w:p>
            <w:pPr>
              <w:ind w:left="140"/>
              <w:spacing w:after="0"/>
              <w:rPr>
                <w:sz w:val="20"/>
                <w:szCs w:val="20"/>
                <w:color w:val="auto"/>
              </w:rPr>
            </w:pPr>
            <w:r>
              <w:rPr>
                <w:rFonts w:ascii="Arial" w:cs="Arial" w:eastAsia="Arial" w:hAnsi="Arial"/>
                <w:sz w:val="10"/>
                <w:szCs w:val="10"/>
                <w:b w:val="1"/>
                <w:bCs w:val="1"/>
                <w:color w:val="auto"/>
              </w:rPr>
              <w:t>Maturity /</w:t>
            </w:r>
          </w:p>
        </w:tc>
        <w:tc>
          <w:tcPr>
            <w:tcW w:w="1840" w:type="dxa"/>
            <w:vAlign w:val="bottom"/>
          </w:tcPr>
          <w:p>
            <w:pPr>
              <w:spacing w:after="0"/>
              <w:rPr>
                <w:sz w:val="10"/>
                <w:szCs w:val="10"/>
                <w:color w:val="auto"/>
              </w:rPr>
            </w:pPr>
          </w:p>
        </w:tc>
        <w:tc>
          <w:tcPr>
            <w:tcW w:w="98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920" w:type="dxa"/>
            <w:vAlign w:val="bottom"/>
          </w:tcPr>
          <w:p>
            <w:pPr>
              <w:jc w:val="center"/>
              <w:ind w:right="12"/>
              <w:spacing w:after="0"/>
              <w:rPr>
                <w:sz w:val="20"/>
                <w:szCs w:val="20"/>
                <w:color w:val="auto"/>
              </w:rPr>
            </w:pPr>
            <w:r>
              <w:rPr>
                <w:rFonts w:ascii="Arial" w:cs="Arial" w:eastAsia="Arial" w:hAnsi="Arial"/>
                <w:sz w:val="10"/>
                <w:szCs w:val="10"/>
                <w:b w:val="1"/>
                <w:bCs w:val="1"/>
                <w:color w:val="auto"/>
                <w:w w:val="98"/>
              </w:rPr>
              <w:t>Spread Above</w:t>
            </w:r>
          </w:p>
        </w:tc>
        <w:tc>
          <w:tcPr>
            <w:tcW w:w="260" w:type="dxa"/>
            <w:vAlign w:val="bottom"/>
          </w:tcPr>
          <w:p>
            <w:pPr>
              <w:spacing w:after="0"/>
              <w:rPr>
                <w:sz w:val="10"/>
                <w:szCs w:val="10"/>
                <w:color w:val="auto"/>
              </w:rPr>
            </w:pPr>
          </w:p>
        </w:tc>
        <w:tc>
          <w:tcPr>
            <w:tcW w:w="820" w:type="dxa"/>
            <w:vAlign w:val="bottom"/>
          </w:tcPr>
          <w:p>
            <w:pPr>
              <w:jc w:val="right"/>
              <w:ind w:right="432"/>
              <w:spacing w:after="0"/>
              <w:rPr>
                <w:sz w:val="20"/>
                <w:szCs w:val="20"/>
                <w:color w:val="auto"/>
              </w:rPr>
            </w:pPr>
            <w:r>
              <w:rPr>
                <w:rFonts w:ascii="Arial" w:cs="Arial" w:eastAsia="Arial" w:hAnsi="Arial"/>
                <w:sz w:val="10"/>
                <w:szCs w:val="10"/>
                <w:b w:val="1"/>
                <w:bCs w:val="1"/>
                <w:color w:val="auto"/>
              </w:rPr>
              <w:t>Par /</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80" w:type="dxa"/>
            <w:vAlign w:val="bottom"/>
          </w:tcPr>
          <w:p>
            <w:pPr>
              <w:ind w:left="120"/>
              <w:spacing w:after="0"/>
              <w:rPr>
                <w:sz w:val="20"/>
                <w:szCs w:val="20"/>
                <w:color w:val="auto"/>
              </w:rPr>
            </w:pPr>
            <w:r>
              <w:rPr>
                <w:rFonts w:ascii="Arial" w:cs="Arial" w:eastAsia="Arial" w:hAnsi="Arial"/>
                <w:sz w:val="10"/>
                <w:szCs w:val="10"/>
                <w:b w:val="1"/>
                <w:bCs w:val="1"/>
                <w:color w:val="auto"/>
              </w:rPr>
              <w:t>Expiration</w:t>
            </w:r>
          </w:p>
        </w:tc>
        <w:tc>
          <w:tcPr>
            <w:tcW w:w="1840" w:type="dxa"/>
            <w:vAlign w:val="bottom"/>
          </w:tcPr>
          <w:p>
            <w:pPr>
              <w:jc w:val="center"/>
              <w:ind w:right="92"/>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920" w:type="dxa"/>
            <w:vAlign w:val="bottom"/>
          </w:tcPr>
          <w:p>
            <w:pPr>
              <w:jc w:val="center"/>
              <w:ind w:right="1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(4)</w:t>
            </w:r>
          </w:p>
        </w:tc>
        <w:tc>
          <w:tcPr>
            <w:tcW w:w="260" w:type="dxa"/>
            <w:vAlign w:val="bottom"/>
          </w:tcPr>
          <w:p>
            <w:pPr>
              <w:spacing w:after="0"/>
              <w:rPr>
                <w:sz w:val="11"/>
                <w:szCs w:val="11"/>
                <w:color w:val="auto"/>
              </w:rPr>
            </w:pPr>
          </w:p>
        </w:tc>
        <w:tc>
          <w:tcPr>
            <w:tcW w:w="820" w:type="dxa"/>
            <w:vAlign w:val="bottom"/>
          </w:tcPr>
          <w:p>
            <w:pPr>
              <w:jc w:val="right"/>
              <w:ind w:right="372"/>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580" w:type="dxa"/>
            <w:vAlign w:val="bottom"/>
          </w:tcPr>
          <w:p>
            <w:pPr>
              <w:jc w:val="right"/>
              <w:ind w:right="212"/>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(3)</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SSC Dominion Holdings, LLC</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1,500</w:t>
            </w:r>
          </w:p>
        </w:tc>
        <w:tc>
          <w:tcPr>
            <w:tcW w:w="1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1,500</w:t>
            </w:r>
          </w:p>
        </w:tc>
        <w:tc>
          <w:tcPr>
            <w:tcW w:w="280" w:type="dxa"/>
            <w:vAlign w:val="bottom"/>
            <w:gridSpan w:val="3"/>
            <w:shd w:val="clear" w:color="auto" w:fill="CCECFF"/>
          </w:tcPr>
          <w:p>
            <w:pPr>
              <w:jc w:val="right"/>
              <w:ind w:right="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2,041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80"/>
              <w:spacing w:after="0"/>
              <w:rPr>
                <w:sz w:val="20"/>
                <w:szCs w:val="20"/>
                <w:color w:val="auto"/>
              </w:rPr>
            </w:pPr>
            <w:r>
              <w:rPr>
                <w:rFonts w:ascii="Arial" w:cs="Arial" w:eastAsia="Arial" w:hAnsi="Arial"/>
                <w:sz w:val="10"/>
                <w:szCs w:val="10"/>
                <w:color w:val="auto"/>
              </w:rPr>
              <w:t>Class A (US Dominion, Inc.)</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SSC Dominion Holdings, LLC</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1,500</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4,389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80"/>
              <w:spacing w:after="0"/>
              <w:rPr>
                <w:sz w:val="20"/>
                <w:szCs w:val="20"/>
                <w:color w:val="auto"/>
              </w:rPr>
            </w:pPr>
            <w:r>
              <w:rPr>
                <w:rFonts w:ascii="Arial" w:cs="Arial" w:eastAsia="Arial" w:hAnsi="Arial"/>
                <w:sz w:val="10"/>
                <w:szCs w:val="10"/>
                <w:color w:val="auto"/>
              </w:rPr>
              <w:t>Class B (US Dominion, Inc.)</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StellPen Holdings, LLC</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vMerge w:val="restart"/>
            <w:shd w:val="clear" w:color="auto" w:fill="CCECFF"/>
          </w:tcPr>
          <w:p>
            <w:pPr>
              <w:jc w:val="center"/>
              <w:ind w:right="112"/>
              <w:spacing w:after="0"/>
              <w:rPr>
                <w:sz w:val="20"/>
                <w:szCs w:val="20"/>
                <w:color w:val="auto"/>
              </w:rPr>
            </w:pPr>
            <w:r>
              <w:rPr>
                <w:rFonts w:ascii="Arial" w:cs="Arial" w:eastAsia="Arial" w:hAnsi="Arial"/>
                <w:sz w:val="10"/>
                <w:szCs w:val="10"/>
                <w:color w:val="auto"/>
              </w:rPr>
              <w:t>Media</w:t>
            </w:r>
          </w:p>
        </w:tc>
        <w:tc>
          <w:tcPr>
            <w:tcW w:w="980" w:type="dxa"/>
            <w:vAlign w:val="bottom"/>
            <w:vMerge w:val="restart"/>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vMerge w:val="restart"/>
            <w:shd w:val="clear" w:color="auto" w:fill="CCECFF"/>
          </w:tcPr>
          <w:p>
            <w:pPr>
              <w:jc w:val="right"/>
              <w:ind w:right="172"/>
              <w:spacing w:after="0"/>
              <w:rPr>
                <w:sz w:val="20"/>
                <w:szCs w:val="20"/>
                <w:color w:val="auto"/>
              </w:rPr>
            </w:pPr>
            <w:r>
              <w:rPr>
                <w:rFonts w:ascii="Arial" w:cs="Arial" w:eastAsia="Arial" w:hAnsi="Arial"/>
                <w:sz w:val="10"/>
                <w:szCs w:val="10"/>
                <w:color w:val="auto"/>
              </w:rPr>
              <w:t>153,846</w:t>
            </w:r>
          </w:p>
        </w:tc>
        <w:tc>
          <w:tcPr>
            <w:tcW w:w="16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154</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152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98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1840" w:type="dxa"/>
            <w:vAlign w:val="bottom"/>
            <w:vMerge w:val="continue"/>
            <w:shd w:val="clear" w:color="auto" w:fill="CCECFF"/>
          </w:tcPr>
          <w:p>
            <w:pPr>
              <w:spacing w:after="0"/>
              <w:rPr>
                <w:sz w:val="8"/>
                <w:szCs w:val="8"/>
                <w:color w:val="auto"/>
              </w:rPr>
            </w:pPr>
          </w:p>
        </w:tc>
        <w:tc>
          <w:tcPr>
            <w:tcW w:w="980" w:type="dxa"/>
            <w:vAlign w:val="bottom"/>
            <w:vMerge w:val="continue"/>
            <w:shd w:val="clear" w:color="auto" w:fill="CCECFF"/>
          </w:tcPr>
          <w:p>
            <w:pPr>
              <w:spacing w:after="0"/>
              <w:rPr>
                <w:sz w:val="8"/>
                <w:szCs w:val="8"/>
                <w:color w:val="auto"/>
              </w:rPr>
            </w:pPr>
          </w:p>
        </w:tc>
        <w:tc>
          <w:tcPr>
            <w:tcW w:w="920" w:type="dxa"/>
            <w:vAlign w:val="bottom"/>
            <w:vMerge w:val="continue"/>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80" w:type="dxa"/>
            <w:vAlign w:val="bottom"/>
            <w:vMerge w:val="continue"/>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680" w:type="dxa"/>
            <w:vAlign w:val="bottom"/>
            <w:vMerge w:val="continue"/>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80"/>
              <w:spacing w:after="0"/>
              <w:rPr>
                <w:sz w:val="20"/>
                <w:szCs w:val="20"/>
                <w:color w:val="auto"/>
              </w:rPr>
            </w:pPr>
            <w:r>
              <w:rPr>
                <w:rFonts w:ascii="Arial" w:cs="Arial" w:eastAsia="Arial" w:hAnsi="Arial"/>
                <w:sz w:val="10"/>
                <w:szCs w:val="10"/>
                <w:color w:val="auto"/>
              </w:rPr>
              <w:t>(CF512, Inc.)</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TAC LifePort Holdings, LLC </w:t>
            </w:r>
            <w:r>
              <w:rPr>
                <w:rFonts w:ascii="Arial" w:cs="Arial" w:eastAsia="Arial" w:hAnsi="Arial"/>
                <w:sz w:val="12"/>
                <w:szCs w:val="12"/>
                <w:color w:val="auto"/>
                <w:vertAlign w:val="superscript"/>
              </w:rPr>
              <w:t>(9)</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232,558</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Tower Arch Infolinks Media, LP </w:t>
            </w:r>
            <w:r>
              <w:rPr>
                <w:rFonts w:ascii="Arial" w:cs="Arial" w:eastAsia="Arial" w:hAnsi="Arial"/>
                <w:sz w:val="12"/>
                <w:szCs w:val="12"/>
                <w:color w:val="auto"/>
                <w:vertAlign w:val="superscript"/>
              </w:rPr>
              <w:t>(9)</w:t>
            </w:r>
          </w:p>
        </w:tc>
        <w:tc>
          <w:tcPr>
            <w:tcW w:w="980" w:type="dxa"/>
            <w:vAlign w:val="bottom"/>
          </w:tcPr>
          <w:p>
            <w:pPr>
              <w:ind w:left="58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112"/>
              <w:spacing w:after="0"/>
              <w:rPr>
                <w:sz w:val="20"/>
                <w:szCs w:val="20"/>
                <w:color w:val="auto"/>
              </w:rPr>
            </w:pPr>
            <w:r>
              <w:rPr>
                <w:rFonts w:ascii="Arial" w:cs="Arial" w:eastAsia="Arial" w:hAnsi="Arial"/>
                <w:sz w:val="10"/>
                <w:szCs w:val="10"/>
                <w:color w:val="auto"/>
              </w:rPr>
              <w:t>Media</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531,293</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Tower Arch Infolinks Media, LP </w:t>
            </w:r>
            <w:r>
              <w:rPr>
                <w:rFonts w:ascii="Arial" w:cs="Arial" w:eastAsia="Arial" w:hAnsi="Arial"/>
                <w:sz w:val="12"/>
                <w:szCs w:val="12"/>
                <w:color w:val="auto"/>
                <w:vertAlign w:val="superscript"/>
              </w:rPr>
              <w:t>(7), (9)</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rPr>
              <w:t>Media</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364,151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(8). (11)</w:t>
            </w:r>
          </w:p>
        </w:tc>
        <w:tc>
          <w:tcPr>
            <w:tcW w:w="980" w:type="dxa"/>
            <w:vAlign w:val="bottom"/>
          </w:tcPr>
          <w:p>
            <w:pPr>
              <w:ind w:left="58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92"/>
              <w:spacing w:after="0"/>
              <w:rPr>
                <w:sz w:val="20"/>
                <w:szCs w:val="20"/>
                <w:color w:val="auto"/>
              </w:rPr>
            </w:pPr>
            <w:r>
              <w:rPr>
                <w:rFonts w:ascii="Arial" w:cs="Arial" w:eastAsia="Arial" w:hAnsi="Arial"/>
                <w:sz w:val="10"/>
                <w:szCs w:val="10"/>
                <w:color w:val="auto"/>
                <w:w w:val="96"/>
              </w:rPr>
              <w:t>Food</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11,527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TWD Parent Holdings, LLC</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92"/>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608</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980" w:type="dxa"/>
            <w:vAlign w:val="bottom"/>
          </w:tcPr>
          <w:p>
            <w:pPr>
              <w:ind w:left="80"/>
              <w:spacing w:after="0"/>
              <w:rPr>
                <w:sz w:val="20"/>
                <w:szCs w:val="20"/>
                <w:color w:val="auto"/>
              </w:rPr>
            </w:pPr>
            <w:r>
              <w:rPr>
                <w:rFonts w:ascii="Arial" w:cs="Arial" w:eastAsia="Arial" w:hAnsi="Arial"/>
                <w:sz w:val="10"/>
                <w:szCs w:val="10"/>
                <w:color w:val="auto"/>
              </w:rPr>
              <w:t>(The Vertex Companies, LLC)</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U.S. Well Services, Inc. - Class A </w:t>
            </w:r>
            <w:r>
              <w:rPr>
                <w:rFonts w:ascii="Arial" w:cs="Arial" w:eastAsia="Arial" w:hAnsi="Arial"/>
                <w:sz w:val="12"/>
                <w:szCs w:val="12"/>
                <w:color w:val="auto"/>
                <w:vertAlign w:val="superscript"/>
              </w:rPr>
              <w:t>(5), (11)</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8"/>
              </w:rPr>
              <w:t>Oil and Gas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60,057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3,022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UniVista Insurance </w:t>
            </w:r>
            <w:r>
              <w:rPr>
                <w:rFonts w:ascii="Arial" w:cs="Arial" w:eastAsia="Arial" w:hAnsi="Arial"/>
                <w:sz w:val="12"/>
                <w:szCs w:val="12"/>
                <w:color w:val="auto"/>
                <w:vertAlign w:val="superscript"/>
              </w:rPr>
              <w:t>(9)</w:t>
            </w:r>
          </w:p>
        </w:tc>
        <w:tc>
          <w:tcPr>
            <w:tcW w:w="980" w:type="dxa"/>
            <w:vAlign w:val="bottom"/>
          </w:tcPr>
          <w:p>
            <w:pPr>
              <w:ind w:left="58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92"/>
              <w:spacing w:after="0"/>
              <w:rPr>
                <w:sz w:val="20"/>
                <w:szCs w:val="20"/>
                <w:color w:val="auto"/>
              </w:rPr>
            </w:pPr>
            <w:r>
              <w:rPr>
                <w:rFonts w:ascii="Arial" w:cs="Arial" w:eastAsia="Arial" w:hAnsi="Arial"/>
                <w:sz w:val="10"/>
                <w:szCs w:val="10"/>
                <w:color w:val="auto"/>
                <w:w w:val="95"/>
              </w:rPr>
              <w:t>Business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400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WCP Ivyrehab QP CF Feeder, LP</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3,762,257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3,762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3,762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WCP Ivyrehab QP CF Feeder, LP - Unfunded </w:t>
            </w:r>
            <w:r>
              <w:rPr>
                <w:rFonts w:ascii="Arial" w:cs="Arial" w:eastAsia="Arial" w:hAnsi="Arial"/>
                <w:sz w:val="12"/>
                <w:szCs w:val="12"/>
                <w:color w:val="auto"/>
                <w:vertAlign w:val="superscript"/>
              </w:rPr>
              <w:t>(7)</w:t>
            </w:r>
          </w:p>
        </w:tc>
        <w:tc>
          <w:tcPr>
            <w:tcW w:w="980" w:type="dxa"/>
            <w:vAlign w:val="bottom"/>
          </w:tcPr>
          <w:p>
            <w:pPr>
              <w:ind w:left="58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11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237,743</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Wildcat Parent, LP</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8"/>
              </w:rPr>
              <w:t>Electronics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2,314</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616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80"/>
              <w:spacing w:after="0"/>
              <w:rPr>
                <w:sz w:val="20"/>
                <w:szCs w:val="20"/>
                <w:color w:val="auto"/>
              </w:rPr>
            </w:pPr>
            <w:r>
              <w:rPr>
                <w:rFonts w:ascii="Arial" w:cs="Arial" w:eastAsia="Arial" w:hAnsi="Arial"/>
                <w:sz w:val="10"/>
                <w:szCs w:val="10"/>
                <w:color w:val="auto"/>
              </w:rPr>
              <w:t>(Wildcat Buyerco, Inc.)</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Common Equity/Partnership Interests/Warrants</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91,596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153,373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Investments in Non-Controlled, Non-Affiliated Portfolio</w:t>
            </w:r>
          </w:p>
        </w:tc>
        <w:tc>
          <w:tcPr>
            <w:tcW w:w="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Companies</w:t>
            </w:r>
          </w:p>
        </w:tc>
        <w:tc>
          <w:tcPr>
            <w:tcW w:w="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882,513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932,155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60" w:type="dxa"/>
            <w:vAlign w:val="bottom"/>
            <w:gridSpan w:val="2"/>
            <w:shd w:val="clear" w:color="auto" w:fill="CCECFF"/>
          </w:tcPr>
          <w:p>
            <w:pPr>
              <w:ind w:left="20"/>
              <w:spacing w:after="0" w:line="108" w:lineRule="exact"/>
              <w:rPr>
                <w:sz w:val="20"/>
                <w:szCs w:val="20"/>
                <w:color w:val="auto"/>
              </w:rPr>
            </w:pPr>
            <w:r>
              <w:rPr>
                <w:rFonts w:ascii="Arial" w:cs="Arial" w:eastAsia="Arial" w:hAnsi="Arial"/>
                <w:sz w:val="10"/>
                <w:szCs w:val="10"/>
                <w:b w:val="1"/>
                <w:bCs w:val="1"/>
                <w:color w:val="auto"/>
                <w:w w:val="95"/>
              </w:rPr>
              <w:t xml:space="preserve">Investments in Non-Controlled, Affiliated Portfolio Companies—5.9% of Net Assets </w:t>
            </w:r>
            <w:r>
              <w:rPr>
                <w:rFonts w:ascii="Arial" w:cs="Arial" w:eastAsia="Arial" w:hAnsi="Arial"/>
                <w:sz w:val="12"/>
                <w:szCs w:val="12"/>
                <w:b w:val="1"/>
                <w:bCs w:val="1"/>
                <w:color w:val="auto"/>
                <w:w w:val="95"/>
                <w:vertAlign w:val="superscript"/>
              </w:rPr>
              <w:t>(1),</w:t>
            </w:r>
          </w:p>
        </w:tc>
        <w:tc>
          <w:tcPr>
            <w:tcW w:w="1840" w:type="dxa"/>
            <w:vAlign w:val="bottom"/>
            <w:shd w:val="clear" w:color="auto" w:fill="CCECFF"/>
          </w:tcPr>
          <w:p>
            <w:pPr>
              <w:spacing w:after="0"/>
              <w:rPr>
                <w:sz w:val="9"/>
                <w:szCs w:val="9"/>
                <w:color w:val="auto"/>
              </w:rPr>
            </w:pPr>
          </w:p>
        </w:tc>
        <w:tc>
          <w:tcPr>
            <w:tcW w:w="98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6"/>
                <w:szCs w:val="6"/>
                <w:b w:val="1"/>
                <w:bCs w:val="1"/>
                <w:color w:val="auto"/>
              </w:rPr>
              <w:t>(2)</w:t>
            </w:r>
          </w:p>
        </w:tc>
        <w:tc>
          <w:tcPr>
            <w:tcW w:w="980" w:type="dxa"/>
            <w:vAlign w:val="bottom"/>
            <w:tcBorders>
              <w:bottom w:val="single" w:sz="8" w:color="CCECFF"/>
            </w:tcBorders>
            <w:shd w:val="clear" w:color="auto" w:fill="CCECFF"/>
          </w:tcPr>
          <w:p>
            <w:pPr>
              <w:spacing w:after="0"/>
              <w:rPr>
                <w:sz w:val="8"/>
                <w:szCs w:val="8"/>
                <w:color w:val="auto"/>
              </w:rPr>
            </w:pPr>
          </w:p>
        </w:tc>
        <w:tc>
          <w:tcPr>
            <w:tcW w:w="1840" w:type="dxa"/>
            <w:vAlign w:val="bottom"/>
            <w:tcBorders>
              <w:bottom w:val="single" w:sz="8" w:color="CCECFF"/>
            </w:tcBorders>
            <w:shd w:val="clear" w:color="auto" w:fill="CCECFF"/>
          </w:tcPr>
          <w:p>
            <w:pPr>
              <w:spacing w:after="0"/>
              <w:rPr>
                <w:sz w:val="8"/>
                <w:szCs w:val="8"/>
                <w:color w:val="auto"/>
              </w:rPr>
            </w:pPr>
          </w:p>
        </w:tc>
        <w:tc>
          <w:tcPr>
            <w:tcW w:w="980" w:type="dxa"/>
            <w:vAlign w:val="bottom"/>
            <w:tcBorders>
              <w:bottom w:val="single" w:sz="8" w:color="CCECFF"/>
            </w:tcBorders>
            <w:shd w:val="clear" w:color="auto" w:fill="CCECFF"/>
          </w:tcPr>
          <w:p>
            <w:pPr>
              <w:spacing w:after="0"/>
              <w:rPr>
                <w:sz w:val="8"/>
                <w:szCs w:val="8"/>
                <w:color w:val="auto"/>
              </w:rPr>
            </w:pPr>
          </w:p>
        </w:tc>
        <w:tc>
          <w:tcPr>
            <w:tcW w:w="9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Preferred Equity/Partnership Interests—5.6% of Net Assets</w:t>
            </w:r>
            <w:r>
              <w:rPr>
                <w:rFonts w:ascii="Arial" w:cs="Arial" w:eastAsia="Arial" w:hAnsi="Arial"/>
                <w:sz w:val="12"/>
                <w:szCs w:val="12"/>
                <w:b w:val="1"/>
                <w:bCs w:val="1"/>
                <w:color w:val="auto"/>
                <w:vertAlign w:val="superscript"/>
              </w:rPr>
              <w:t>(6)</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Cascade Environmental Holdings, LLC </w:t>
            </w:r>
            <w:r>
              <w:rPr>
                <w:rFonts w:ascii="Arial" w:cs="Arial" w:eastAsia="Arial" w:hAnsi="Arial"/>
                <w:sz w:val="12"/>
                <w:szCs w:val="12"/>
                <w:color w:val="auto"/>
                <w:vertAlign w:val="superscript"/>
              </w:rPr>
              <w:t>(9)</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5"/>
              </w:rPr>
              <w:t>Environmental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5,887,236</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32,791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32,791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Preferred Equity/Partnership Interests</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32,791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32,791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Common Equity/Partnership Interests/Warrants—0.3% of Net</w:t>
            </w:r>
          </w:p>
        </w:tc>
        <w:tc>
          <w:tcPr>
            <w:tcW w:w="980" w:type="dxa"/>
            <w:vAlign w:val="bottom"/>
            <w:shd w:val="clear" w:color="auto" w:fill="CCECFF"/>
          </w:tcPr>
          <w:p>
            <w:pPr>
              <w:spacing w:after="0"/>
              <w:rPr>
                <w:sz w:val="11"/>
                <w:szCs w:val="11"/>
                <w:color w:val="auto"/>
              </w:rPr>
            </w:pPr>
          </w:p>
        </w:tc>
        <w:tc>
          <w:tcPr>
            <w:tcW w:w="18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Arial" w:cs="Arial" w:eastAsia="Arial" w:hAnsi="Arial"/>
                <w:sz w:val="10"/>
                <w:szCs w:val="10"/>
                <w:b w:val="1"/>
                <w:bCs w:val="1"/>
                <w:color w:val="auto"/>
              </w:rPr>
              <w:t xml:space="preserve">Assets </w:t>
            </w:r>
            <w:r>
              <w:rPr>
                <w:rFonts w:ascii="Arial" w:cs="Arial" w:eastAsia="Arial" w:hAnsi="Arial"/>
                <w:sz w:val="12"/>
                <w:szCs w:val="12"/>
                <w:b w:val="1"/>
                <w:bCs w:val="1"/>
                <w:color w:val="auto"/>
                <w:vertAlign w:val="superscript"/>
              </w:rPr>
              <w:t>(6)</w:t>
            </w:r>
          </w:p>
        </w:tc>
        <w:tc>
          <w:tcPr>
            <w:tcW w:w="980" w:type="dxa"/>
            <w:vAlign w:val="bottom"/>
            <w:shd w:val="clear" w:color="auto" w:fill="CCECFF"/>
          </w:tcPr>
          <w:p>
            <w:pPr>
              <w:spacing w:after="0"/>
              <w:rPr>
                <w:sz w:val="11"/>
                <w:szCs w:val="11"/>
                <w:color w:val="auto"/>
              </w:rPr>
            </w:pPr>
          </w:p>
        </w:tc>
        <w:tc>
          <w:tcPr>
            <w:tcW w:w="18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Cascade Environmental Holdings, LLC</w:t>
            </w:r>
          </w:p>
        </w:tc>
        <w:tc>
          <w:tcPr>
            <w:tcW w:w="980" w:type="dxa"/>
            <w:vAlign w:val="bottom"/>
          </w:tcPr>
          <w:p>
            <w:pPr>
              <w:ind w:left="58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112"/>
              <w:spacing w:after="0"/>
              <w:rPr>
                <w:sz w:val="20"/>
                <w:szCs w:val="20"/>
                <w:color w:val="auto"/>
              </w:rPr>
            </w:pPr>
            <w:r>
              <w:rPr>
                <w:rFonts w:ascii="Arial" w:cs="Arial" w:eastAsia="Arial" w:hAnsi="Arial"/>
                <w:sz w:val="10"/>
                <w:szCs w:val="10"/>
                <w:color w:val="auto"/>
                <w:w w:val="95"/>
              </w:rPr>
              <w:t>Environmental Services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7,444,347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2,852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JF Intermediate, LLC</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5"/>
              </w:rPr>
              <w:t>Distribution</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19,687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1,969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1,969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Common Equity/Partnership Interests/Warrants</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4,821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1,969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in Non-Controlled, Affiliated Portfolio</w:t>
            </w:r>
          </w:p>
        </w:tc>
        <w:tc>
          <w:tcPr>
            <w:tcW w:w="980" w:type="dxa"/>
            <w:vAlign w:val="bottom"/>
            <w:shd w:val="clear" w:color="auto" w:fill="CCECFF"/>
          </w:tcPr>
          <w:p>
            <w:pPr>
              <w:spacing w:after="0"/>
              <w:rPr>
                <w:sz w:val="11"/>
                <w:szCs w:val="11"/>
                <w:color w:val="auto"/>
              </w:rPr>
            </w:pPr>
          </w:p>
        </w:tc>
        <w:tc>
          <w:tcPr>
            <w:tcW w:w="18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Companies</w:t>
            </w:r>
          </w:p>
        </w:tc>
        <w:tc>
          <w:tcPr>
            <w:tcW w:w="980" w:type="dxa"/>
            <w:vAlign w:val="bottom"/>
            <w:shd w:val="clear" w:color="auto" w:fill="CCECFF"/>
          </w:tcPr>
          <w:p>
            <w:pPr>
              <w:spacing w:after="0"/>
              <w:rPr>
                <w:sz w:val="11"/>
                <w:szCs w:val="11"/>
                <w:color w:val="auto"/>
              </w:rPr>
            </w:pPr>
          </w:p>
        </w:tc>
        <w:tc>
          <w:tcPr>
            <w:tcW w:w="18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37,612</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34,760</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Investments in Controlled, Affiliated Portfolio Companies</w:t>
            </w:r>
          </w:p>
        </w:tc>
        <w:tc>
          <w:tcPr>
            <w:tcW w:w="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0"/>
                <w:szCs w:val="10"/>
                <w:b w:val="1"/>
                <w:bCs w:val="1"/>
                <w:color w:val="auto"/>
              </w:rPr>
              <w:t xml:space="preserve">—44.3% of Net Assets </w:t>
            </w:r>
            <w:r>
              <w:rPr>
                <w:rFonts w:ascii="Arial" w:cs="Arial" w:eastAsia="Arial" w:hAnsi="Arial"/>
                <w:sz w:val="12"/>
                <w:szCs w:val="12"/>
                <w:b w:val="1"/>
                <w:bCs w:val="1"/>
                <w:color w:val="auto"/>
                <w:vertAlign w:val="superscript"/>
              </w:rPr>
              <w:t>(1), (2)</w:t>
            </w:r>
          </w:p>
        </w:tc>
        <w:tc>
          <w:tcPr>
            <w:tcW w:w="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First Lien Secured Debt—7.3% of Net Assets</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AKW Holdings Limited </w:t>
            </w:r>
            <w:r>
              <w:rPr>
                <w:rFonts w:ascii="Arial" w:cs="Arial" w:eastAsia="Arial" w:hAnsi="Arial"/>
                <w:sz w:val="12"/>
                <w:szCs w:val="12"/>
                <w:color w:val="auto"/>
                <w:vertAlign w:val="superscript"/>
              </w:rPr>
              <w:t>(8), (10), (11)</w:t>
            </w:r>
          </w:p>
        </w:tc>
        <w:tc>
          <w:tcPr>
            <w:tcW w:w="980" w:type="dxa"/>
            <w:vAlign w:val="bottom"/>
          </w:tcPr>
          <w:p>
            <w:pPr>
              <w:ind w:left="120"/>
              <w:spacing w:after="0"/>
              <w:rPr>
                <w:sz w:val="20"/>
                <w:szCs w:val="20"/>
                <w:color w:val="auto"/>
              </w:rPr>
            </w:pPr>
            <w:r>
              <w:rPr>
                <w:rFonts w:ascii="Arial" w:cs="Arial" w:eastAsia="Arial" w:hAnsi="Arial"/>
                <w:sz w:val="10"/>
                <w:szCs w:val="10"/>
                <w:color w:val="auto"/>
              </w:rPr>
              <w:t>03/13/2024</w:t>
            </w:r>
          </w:p>
        </w:tc>
        <w:tc>
          <w:tcPr>
            <w:tcW w:w="1840" w:type="dxa"/>
            <w:vAlign w:val="bottom"/>
          </w:tcPr>
          <w:p>
            <w:pPr>
              <w:jc w:val="center"/>
              <w:ind w:right="11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8.67 %</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3M L+700</w:t>
            </w:r>
          </w:p>
        </w:tc>
        <w:tc>
          <w:tcPr>
            <w:tcW w:w="2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38,250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52,792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42,698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52,792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42,698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Second Lien Secured Debt—0% of Net Assets</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Mailsouth Inc.</w:t>
            </w:r>
          </w:p>
        </w:tc>
        <w:tc>
          <w:tcPr>
            <w:tcW w:w="980" w:type="dxa"/>
            <w:vAlign w:val="bottom"/>
            <w:shd w:val="clear" w:color="auto" w:fill="CCECFF"/>
          </w:tcPr>
          <w:p>
            <w:pPr>
              <w:ind w:left="120"/>
              <w:spacing w:after="0"/>
              <w:rPr>
                <w:sz w:val="20"/>
                <w:szCs w:val="20"/>
                <w:color w:val="auto"/>
              </w:rPr>
            </w:pPr>
            <w:r>
              <w:rPr>
                <w:rFonts w:ascii="Arial" w:cs="Arial" w:eastAsia="Arial" w:hAnsi="Arial"/>
                <w:sz w:val="10"/>
                <w:szCs w:val="10"/>
                <w:color w:val="auto"/>
              </w:rPr>
              <w:t>04/23/2025</w:t>
            </w:r>
          </w:p>
        </w:tc>
        <w:tc>
          <w:tcPr>
            <w:tcW w:w="1840" w:type="dxa"/>
            <w:vAlign w:val="bottom"/>
            <w:shd w:val="clear" w:color="auto" w:fill="CCECFF"/>
          </w:tcPr>
          <w:p>
            <w:pPr>
              <w:jc w:val="center"/>
              <w:ind w:right="132"/>
              <w:spacing w:after="0"/>
              <w:rPr>
                <w:sz w:val="20"/>
                <w:szCs w:val="20"/>
                <w:color w:val="auto"/>
              </w:rPr>
            </w:pPr>
            <w:r>
              <w:rPr>
                <w:rFonts w:ascii="Arial" w:cs="Arial" w:eastAsia="Arial" w:hAnsi="Arial"/>
                <w:sz w:val="10"/>
                <w:szCs w:val="10"/>
                <w:color w:val="auto"/>
                <w:w w:val="95"/>
              </w:rPr>
              <w:t>Printing and Publishing</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12,846</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12,383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12,383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Subordinated Debt—15.0% of Net Assets</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PennantPark Senior Loan Fund, LLC </w:t>
            </w:r>
            <w:r>
              <w:rPr>
                <w:rFonts w:ascii="Arial" w:cs="Arial" w:eastAsia="Arial" w:hAnsi="Arial"/>
                <w:sz w:val="12"/>
                <w:szCs w:val="12"/>
                <w:color w:val="auto"/>
                <w:vertAlign w:val="superscript"/>
              </w:rPr>
              <w:t>(11)</w:t>
            </w:r>
          </w:p>
        </w:tc>
        <w:tc>
          <w:tcPr>
            <w:tcW w:w="980" w:type="dxa"/>
            <w:vAlign w:val="bottom"/>
          </w:tcPr>
          <w:p>
            <w:pPr>
              <w:ind w:left="120"/>
              <w:spacing w:after="0"/>
              <w:rPr>
                <w:sz w:val="20"/>
                <w:szCs w:val="20"/>
                <w:color w:val="auto"/>
              </w:rPr>
            </w:pPr>
            <w:r>
              <w:rPr>
                <w:rFonts w:ascii="Arial" w:cs="Arial" w:eastAsia="Arial" w:hAnsi="Arial"/>
                <w:sz w:val="10"/>
                <w:szCs w:val="10"/>
                <w:color w:val="auto"/>
              </w:rPr>
              <w:t>07/31/2027</w:t>
            </w:r>
          </w:p>
        </w:tc>
        <w:tc>
          <w:tcPr>
            <w:tcW w:w="1840" w:type="dxa"/>
            <w:vAlign w:val="bottom"/>
          </w:tcPr>
          <w:p>
            <w:pPr>
              <w:jc w:val="center"/>
              <w:ind w:right="112"/>
              <w:spacing w:after="0"/>
              <w:rPr>
                <w:sz w:val="20"/>
                <w:szCs w:val="20"/>
                <w:color w:val="auto"/>
              </w:rPr>
            </w:pPr>
            <w:r>
              <w:rPr>
                <w:rFonts w:ascii="Arial" w:cs="Arial" w:eastAsia="Arial" w:hAnsi="Arial"/>
                <w:sz w:val="10"/>
                <w:szCs w:val="10"/>
                <w:color w:val="auto"/>
                <w:w w:val="93"/>
              </w:rPr>
              <w:t>Financial Services</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10.79 %</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3M L+800</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88,011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88,011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88,011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Subordinated Debt</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88,011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88,011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 xml:space="preserve">Common Equity—22.0% of Net Assets </w:t>
            </w:r>
            <w:r>
              <w:rPr>
                <w:rFonts w:ascii="Arial" w:cs="Arial" w:eastAsia="Arial" w:hAnsi="Arial"/>
                <w:sz w:val="12"/>
                <w:szCs w:val="12"/>
                <w:b w:val="1"/>
                <w:bCs w:val="1"/>
                <w:color w:val="auto"/>
                <w:vertAlign w:val="superscript"/>
              </w:rPr>
              <w:t>(6)</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AKW Holdings Limited </w:t>
            </w:r>
            <w:r>
              <w:rPr>
                <w:rFonts w:ascii="Arial" w:cs="Arial" w:eastAsia="Arial" w:hAnsi="Arial"/>
                <w:sz w:val="12"/>
                <w:szCs w:val="12"/>
                <w:color w:val="auto"/>
                <w:vertAlign w:val="superscript"/>
              </w:rPr>
              <w:t>(8), (10), (11)</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5"/>
              </w:rPr>
              <w:t>Healthcare, Education and Childcare</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950</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3,297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MSpark, LLC</w:t>
            </w:r>
          </w:p>
        </w:tc>
        <w:tc>
          <w:tcPr>
            <w:tcW w:w="980" w:type="dxa"/>
            <w:vAlign w:val="bottom"/>
          </w:tcPr>
          <w:p>
            <w:pPr>
              <w:ind w:left="58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132"/>
              <w:spacing w:after="0"/>
              <w:rPr>
                <w:sz w:val="20"/>
                <w:szCs w:val="20"/>
                <w:color w:val="auto"/>
              </w:rPr>
            </w:pPr>
            <w:r>
              <w:rPr>
                <w:rFonts w:ascii="Arial" w:cs="Arial" w:eastAsia="Arial" w:hAnsi="Arial"/>
                <w:sz w:val="10"/>
                <w:szCs w:val="10"/>
                <w:color w:val="auto"/>
                <w:w w:val="95"/>
              </w:rPr>
              <w:t>Printing and Publishing</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51,151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16,516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PennantPark Senior Loan Fund, LLC</w:t>
            </w:r>
          </w:p>
        </w:tc>
        <w:tc>
          <w:tcPr>
            <w:tcW w:w="980" w:type="dxa"/>
            <w:vAlign w:val="bottom"/>
            <w:shd w:val="clear" w:color="auto" w:fill="CCECFF"/>
          </w:tcPr>
          <w:p>
            <w:pPr>
              <w:ind w:left="58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112"/>
              <w:spacing w:after="0"/>
              <w:rPr>
                <w:sz w:val="20"/>
                <w:szCs w:val="20"/>
                <w:color w:val="auto"/>
              </w:rPr>
            </w:pPr>
            <w:r>
              <w:rPr>
                <w:rFonts w:ascii="Arial" w:cs="Arial" w:eastAsia="Arial" w:hAnsi="Arial"/>
                <w:sz w:val="10"/>
                <w:szCs w:val="10"/>
                <w:color w:val="auto"/>
                <w:w w:val="93"/>
              </w:rPr>
              <w:t>Financial Services</w:t>
            </w:r>
          </w:p>
        </w:tc>
        <w:tc>
          <w:tcPr>
            <w:tcW w:w="9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49,298,789</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49,362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51,098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color w:val="auto"/>
              </w:rPr>
              <w:t xml:space="preserve">RAM Energy Holdings LLC </w:t>
            </w:r>
            <w:r>
              <w:rPr>
                <w:rFonts w:ascii="Arial" w:cs="Arial" w:eastAsia="Arial" w:hAnsi="Arial"/>
                <w:sz w:val="12"/>
                <w:szCs w:val="12"/>
                <w:color w:val="auto"/>
                <w:vertAlign w:val="superscript"/>
              </w:rPr>
              <w:t>(9)</w:t>
            </w:r>
          </w:p>
        </w:tc>
        <w:tc>
          <w:tcPr>
            <w:tcW w:w="980" w:type="dxa"/>
            <w:vAlign w:val="bottom"/>
          </w:tcPr>
          <w:p>
            <w:pPr>
              <w:ind w:left="58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112"/>
              <w:spacing w:after="0"/>
              <w:rPr>
                <w:sz w:val="20"/>
                <w:szCs w:val="20"/>
                <w:color w:val="auto"/>
              </w:rPr>
            </w:pPr>
            <w:r>
              <w:rPr>
                <w:rFonts w:ascii="Arial" w:cs="Arial" w:eastAsia="Arial" w:hAnsi="Arial"/>
                <w:sz w:val="10"/>
                <w:szCs w:val="10"/>
                <w:color w:val="auto"/>
                <w:w w:val="97"/>
              </w:rPr>
              <w:t>Energy and Utilities</w:t>
            </w:r>
          </w:p>
        </w:tc>
        <w:tc>
          <w:tcPr>
            <w:tcW w:w="9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0"/>
                <w:szCs w:val="10"/>
                <w:color w:val="auto"/>
              </w:rPr>
              <w:t>180,805</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162,708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74,282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Common Equity</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228,718</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128,677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w w:val="98"/>
              </w:rPr>
              <w:t>Total Investments in Controlled, Affiliated Portfolio Companies</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381,904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259,386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Investments—209.4% of Net Assets</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1,302,029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1,226,301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Equivalents—9.0% of Net Assets</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BlackRock Federal FD Institutional 30</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39,122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39,122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0"/>
                <w:szCs w:val="10"/>
                <w:color w:val="auto"/>
              </w:rPr>
              <w:t>BNY Mellon Cash Reserve and Cash</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13,722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13,544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98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52,844</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52,666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 Investments and Cash Equivalents—218.4% of Net</w:t>
            </w:r>
          </w:p>
        </w:tc>
        <w:tc>
          <w:tcPr>
            <w:tcW w:w="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1,354,873</w:t>
            </w:r>
          </w:p>
        </w:tc>
        <w:tc>
          <w:tcPr>
            <w:tcW w:w="100" w:type="dxa"/>
            <w:vAlign w:val="bottom"/>
          </w:tcPr>
          <w:p>
            <w:pPr>
              <w:spacing w:after="0"/>
              <w:rPr>
                <w:sz w:val="11"/>
                <w:szCs w:val="1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1,278,967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980" w:type="dxa"/>
            <w:vAlign w:val="bottom"/>
          </w:tcPr>
          <w:p>
            <w:pPr>
              <w:ind w:left="20"/>
              <w:spacing w:after="0" w:line="79" w:lineRule="exact"/>
              <w:rPr>
                <w:sz w:val="20"/>
                <w:szCs w:val="20"/>
                <w:color w:val="auto"/>
              </w:rPr>
            </w:pPr>
            <w:r>
              <w:rPr>
                <w:rFonts w:ascii="Arial" w:cs="Arial" w:eastAsia="Arial" w:hAnsi="Arial"/>
                <w:sz w:val="8"/>
                <w:szCs w:val="8"/>
                <w:b w:val="1"/>
                <w:bCs w:val="1"/>
                <w:color w:val="auto"/>
              </w:rPr>
              <w:t>Assets</w:t>
            </w:r>
          </w:p>
        </w:tc>
        <w:tc>
          <w:tcPr>
            <w:tcW w:w="9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Liabilities in Excess of Other Assets—(118.4%) of Net Assets</w:t>
            </w:r>
          </w:p>
        </w:tc>
        <w:tc>
          <w:tcPr>
            <w:tcW w:w="98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(693,402 )</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Net Assets—100.0%</w:t>
            </w: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585,565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180"/>
        <w:spacing w:after="0" w:line="271" w:lineRule="auto"/>
        <w:rPr>
          <w:sz w:val="20"/>
          <w:szCs w:val="20"/>
          <w:color w:val="auto"/>
        </w:rPr>
      </w:pPr>
      <w:r>
        <w:rPr>
          <w:rFonts w:ascii="Arial" w:cs="Arial" w:eastAsia="Arial" w:hAnsi="Arial"/>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 w:lineRule="exact"/>
        <w:rPr>
          <w:sz w:val="20"/>
          <w:szCs w:val="20"/>
          <w:color w:val="auto"/>
        </w:rPr>
      </w:pPr>
    </w:p>
    <w:p>
      <w:pPr>
        <w:ind w:right="380"/>
        <w:spacing w:after="0" w:line="271" w:lineRule="auto"/>
        <w:rPr>
          <w:sz w:val="20"/>
          <w:szCs w:val="20"/>
          <w:color w:val="auto"/>
        </w:rPr>
      </w:pPr>
      <w:r>
        <w:rPr>
          <w:rFonts w:ascii="Arial" w:cs="Arial" w:eastAsia="Arial" w:hAnsi="Arial"/>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(3)Valued based on our accounting policy (See Note 2).</w:t>
      </w:r>
    </w:p>
    <w:p>
      <w:pPr>
        <w:spacing w:after="0" w:line="30" w:lineRule="exact"/>
        <w:rPr>
          <w:sz w:val="20"/>
          <w:szCs w:val="20"/>
          <w:color w:val="auto"/>
        </w:rPr>
      </w:pPr>
    </w:p>
    <w:p>
      <w:pPr>
        <w:ind w:right="20"/>
        <w:spacing w:after="0" w:line="288" w:lineRule="auto"/>
        <w:rPr>
          <w:sz w:val="20"/>
          <w:szCs w:val="20"/>
          <w:color w:val="auto"/>
        </w:rPr>
      </w:pPr>
      <w:r>
        <w:rPr>
          <w:rFonts w:ascii="Arial" w:cs="Arial" w:eastAsia="Arial" w:hAnsi="Arial"/>
          <w:sz w:val="10"/>
          <w:szCs w:val="10"/>
          <w:color w:val="auto"/>
        </w:rPr>
        <w:t>(4)Represents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rPr>
          <w:sz w:val="20"/>
          <w:szCs w:val="20"/>
          <w:color w:val="auto"/>
        </w:rPr>
      </w:pPr>
      <w:r>
        <w:rPr>
          <w:rFonts w:ascii="Arial" w:cs="Arial" w:eastAsia="Arial" w:hAnsi="Arial"/>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(8)Non-U.S.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(10)Par / Shares amount is denominated in British Pounds (£) as denoted.</w:t>
      </w:r>
    </w:p>
    <w:p>
      <w:pPr>
        <w:spacing w:after="0" w:line="30" w:lineRule="exact"/>
        <w:rPr>
          <w:sz w:val="20"/>
          <w:szCs w:val="20"/>
          <w:color w:val="auto"/>
        </w:rPr>
      </w:pPr>
    </w:p>
    <w:p>
      <w:pPr>
        <w:ind w:right="120"/>
        <w:spacing w:after="0" w:line="248" w:lineRule="auto"/>
        <w:rPr>
          <w:sz w:val="20"/>
          <w:szCs w:val="20"/>
          <w:color w:val="auto"/>
        </w:rPr>
      </w:pPr>
      <w:r>
        <w:rPr>
          <w:rFonts w:ascii="Arial" w:cs="Arial" w:eastAsia="Arial" w:hAnsi="Arial"/>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40" w:orient="portrait"/>
          <w:cols w:equalWidth="0" w:num="1">
            <w:col w:w="10560"/>
          </w:cols>
          <w:pgMar w:left="660" w:top="734" w:right="680"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(Unaudited)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MARCH 31, 2023</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171" w:lineRule="exact"/>
        <w:rPr>
          <w:sz w:val="20"/>
          <w:szCs w:val="20"/>
          <w:color w:val="auto"/>
        </w:rPr>
      </w:pPr>
    </w:p>
    <w:p>
      <w:pPr>
        <w:ind w:right="40" w:firstLine="420"/>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139"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39" w:lineRule="exact"/>
        <w:rPr>
          <w:sz w:val="20"/>
          <w:szCs w:val="20"/>
          <w:color w:val="auto"/>
        </w:rPr>
      </w:pPr>
    </w:p>
    <w:p>
      <w:pPr>
        <w:jc w:val="both"/>
        <w:ind w:right="120" w:firstLine="420"/>
        <w:spacing w:after="0" w:line="263" w:lineRule="auto"/>
        <w:rPr>
          <w:sz w:val="20"/>
          <w:szCs w:val="20"/>
          <w:color w:val="auto"/>
        </w:rPr>
      </w:pPr>
      <w:r>
        <w:rPr>
          <w:rFonts w:ascii="Arial" w:cs="Arial" w:eastAsia="Arial" w:hAnsi="Arial"/>
          <w:sz w:val="13"/>
          <w:szCs w:val="13"/>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33" w:lineRule="exact"/>
        <w:rPr>
          <w:sz w:val="20"/>
          <w:szCs w:val="20"/>
          <w:color w:val="auto"/>
        </w:rPr>
      </w:pPr>
    </w:p>
    <w:p>
      <w:pPr>
        <w:ind w:right="80" w:firstLine="420"/>
        <w:spacing w:after="0" w:line="259" w:lineRule="auto"/>
        <w:rPr>
          <w:sz w:val="20"/>
          <w:szCs w:val="20"/>
          <w:color w:val="auto"/>
        </w:rPr>
      </w:pPr>
      <w:r>
        <w:rPr>
          <w:rFonts w:ascii="Arial" w:cs="Arial" w:eastAsia="Arial" w:hAnsi="Arial"/>
          <w:sz w:val="13"/>
          <w:szCs w:val="13"/>
          <w:color w:val="auto"/>
        </w:rPr>
        <w:t>On July 31, 2020, we and certain entities and managed accounts of the private credit investment manager of Pantheon Ventures (UK) LLP, or Pantheon, entered into a limited liability company agreement to co -manage PSLF, a newly-formed unconsolidated joint venture. In connection with this transaction, we contributed in-kind our formerly wholly-owned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p>
    <w:p>
      <w:pPr>
        <w:spacing w:after="0" w:line="135" w:lineRule="exact"/>
        <w:rPr>
          <w:sz w:val="20"/>
          <w:szCs w:val="20"/>
          <w:color w:val="auto"/>
        </w:rPr>
      </w:pPr>
    </w:p>
    <w:p>
      <w:pPr>
        <w:ind w:right="280" w:firstLine="420"/>
        <w:spacing w:after="0" w:line="276" w:lineRule="auto"/>
        <w:rPr>
          <w:sz w:val="20"/>
          <w:szCs w:val="20"/>
          <w:color w:val="auto"/>
        </w:rPr>
      </w:pPr>
      <w:r>
        <w:rPr>
          <w:rFonts w:ascii="Arial" w:cs="Arial" w:eastAsia="Arial" w:hAnsi="Arial"/>
          <w:sz w:val="13"/>
          <w:szCs w:val="13"/>
          <w:color w:val="auto"/>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spacing w:after="0" w:line="124" w:lineRule="exact"/>
        <w:rPr>
          <w:sz w:val="20"/>
          <w:szCs w:val="20"/>
          <w:color w:val="auto"/>
        </w:rPr>
      </w:pPr>
    </w:p>
    <w:p>
      <w:pPr>
        <w:ind w:right="140" w:firstLine="420"/>
        <w:spacing w:after="0" w:line="259" w:lineRule="auto"/>
        <w:rPr>
          <w:sz w:val="20"/>
          <w:szCs w:val="20"/>
          <w:color w:val="auto"/>
        </w:rPr>
      </w:pPr>
      <w:r>
        <w:rPr>
          <w:rFonts w:ascii="Arial" w:cs="Arial" w:eastAsia="Arial" w:hAnsi="Arial"/>
          <w:sz w:val="13"/>
          <w:szCs w:val="13"/>
          <w:color w:val="auto"/>
        </w:rPr>
        <w:t>In January 2022, we funded PennantPark-TSO Senior Loan Fund II LP, ("PTSF II"), an unconsolidated Delaware limited partnership. We sold $82.3 million in investments to a wholly -owned subsidiary of PTSF II in exchange for cash in the amount of $75.7 million and an $6.6 million equity interest in PTSF II representing 23.1% of the total outstanding Class A Units of PTSF II. We recognized $ 0.2 million of realized gain upon the formation of PTSF II. As of March 31, 2023, our capital commitment of $15.0 million is 100% funded and we hold 23.1% of the total outstanding Class A Units of PTSF II and a 4.99% voting interest in the general partner which manages PTSF II.</w:t>
      </w:r>
    </w:p>
    <w:p>
      <w:pPr>
        <w:spacing w:after="0" w:line="135" w:lineRule="exact"/>
        <w:rPr>
          <w:sz w:val="20"/>
          <w:szCs w:val="20"/>
          <w:color w:val="auto"/>
        </w:rPr>
      </w:pPr>
    </w:p>
    <w:p>
      <w:pPr>
        <w:ind w:right="40" w:firstLine="420"/>
        <w:spacing w:after="0" w:line="263" w:lineRule="auto"/>
        <w:rPr>
          <w:sz w:val="20"/>
          <w:szCs w:val="20"/>
          <w:color w:val="auto"/>
        </w:rPr>
      </w:pPr>
      <w:r>
        <w:rPr>
          <w:rFonts w:ascii="Arial" w:cs="Arial" w:eastAsia="Arial" w:hAnsi="Arial"/>
          <w:sz w:val="13"/>
          <w:szCs w:val="13"/>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171" w:lineRule="exact"/>
        <w:rPr>
          <w:sz w:val="20"/>
          <w:szCs w:val="20"/>
          <w:color w:val="auto"/>
        </w:rPr>
      </w:pPr>
    </w:p>
    <w:p>
      <w:pPr>
        <w:ind w:right="60" w:firstLine="420"/>
        <w:spacing w:after="0" w:line="254"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39" w:lineRule="exact"/>
        <w:rPr>
          <w:sz w:val="20"/>
          <w:szCs w:val="20"/>
          <w:color w:val="auto"/>
        </w:rPr>
      </w:pPr>
    </w:p>
    <w:p>
      <w:pPr>
        <w:ind w:right="60" w:firstLine="420"/>
        <w:spacing w:after="0" w:line="263" w:lineRule="auto"/>
        <w:rPr>
          <w:sz w:val="20"/>
          <w:szCs w:val="20"/>
          <w:color w:val="auto"/>
        </w:rPr>
      </w:pPr>
      <w:r>
        <w:rPr>
          <w:rFonts w:ascii="Arial" w:cs="Arial" w:eastAsia="Arial" w:hAnsi="Arial"/>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 X, as appropriate. In accordance with Article 6-09 of Regulation S-X, we have provided a Consolidated Statement of Changes in Net Assets in lieu of a Consolidated Statement of Changes in Stockholders’ Equity.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(a)Investment Valuations</w:t>
      </w:r>
    </w:p>
    <w:p>
      <w:pPr>
        <w:spacing w:after="0" w:line="171"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9" w:lineRule="exact"/>
        <w:rPr>
          <w:sz w:val="20"/>
          <w:szCs w:val="20"/>
          <w:color w:val="auto"/>
        </w:rPr>
      </w:pPr>
    </w:p>
    <w:p>
      <w:pPr>
        <w:ind w:right="140" w:firstLine="420"/>
        <w:spacing w:after="0" w:line="276"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4" w:lineRule="exact"/>
        <w:rPr>
          <w:sz w:val="20"/>
          <w:szCs w:val="20"/>
          <w:color w:val="auto"/>
        </w:rPr>
      </w:pPr>
    </w:p>
    <w:p>
      <w:pPr>
        <w:ind w:left="420" w:right="640"/>
        <w:spacing w:after="0" w:line="276" w:lineRule="auto"/>
        <w:rPr>
          <w:sz w:val="20"/>
          <w:szCs w:val="20"/>
          <w:color w:val="auto"/>
        </w:rPr>
      </w:pPr>
      <w:r>
        <w:rPr>
          <w:rFonts w:ascii="Arial" w:cs="Arial" w:eastAsia="Arial" w:hAnsi="Arial"/>
          <w:sz w:val="13"/>
          <w:szCs w:val="13"/>
          <w:color w:val="auto"/>
        </w:rPr>
        <w:t>(1)Our quarterly valuation process begins with each portfolio company or investment being initially valued by the investment professionals of the Investment Adviser responsible for the portfolio investment;</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34" w:right="640"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420" w:right="20"/>
        <w:spacing w:after="0" w:line="263" w:lineRule="auto"/>
        <w:rPr>
          <w:sz w:val="20"/>
          <w:szCs w:val="20"/>
          <w:color w:val="auto"/>
        </w:rPr>
      </w:pPr>
      <w:r>
        <w:rPr>
          <w:rFonts w:ascii="Arial" w:cs="Arial" w:eastAsia="Arial" w:hAnsi="Arial"/>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7" w:lineRule="exact"/>
        <w:rPr>
          <w:sz w:val="20"/>
          <w:szCs w:val="20"/>
          <w:color w:val="auto"/>
        </w:rPr>
      </w:pPr>
    </w:p>
    <w:p>
      <w:pPr>
        <w:ind w:left="420" w:right="380"/>
        <w:spacing w:after="0" w:line="263" w:lineRule="auto"/>
        <w:rPr>
          <w:sz w:val="20"/>
          <w:szCs w:val="20"/>
          <w:color w:val="auto"/>
        </w:rPr>
      </w:pPr>
      <w:r>
        <w:rPr>
          <w:rFonts w:ascii="Arial" w:cs="Arial" w:eastAsia="Arial" w:hAnsi="Arial"/>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7" w:lineRule="exact"/>
        <w:rPr>
          <w:sz w:val="20"/>
          <w:szCs w:val="20"/>
          <w:color w:val="auto"/>
        </w:rPr>
      </w:pPr>
    </w:p>
    <w:p>
      <w:pPr>
        <w:ind w:left="420" w:right="420"/>
        <w:spacing w:after="0" w:line="276" w:lineRule="auto"/>
        <w:rPr>
          <w:sz w:val="20"/>
          <w:szCs w:val="20"/>
          <w:color w:val="auto"/>
        </w:rPr>
      </w:pPr>
      <w:r>
        <w:rPr>
          <w:rFonts w:ascii="Arial" w:cs="Arial" w:eastAsia="Arial" w:hAnsi="Arial"/>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4"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(b)Security Transactions, Revenue Recognition, and Realized/Unrealized Gains or Losses</w:t>
      </w:r>
    </w:p>
    <w:p>
      <w:pPr>
        <w:spacing w:after="0" w:line="171" w:lineRule="exact"/>
        <w:rPr>
          <w:sz w:val="20"/>
          <w:szCs w:val="20"/>
          <w:color w:val="auto"/>
        </w:rPr>
      </w:pPr>
    </w:p>
    <w:p>
      <w:pPr>
        <w:jc w:val="both"/>
        <w:ind w:right="160" w:firstLine="420"/>
        <w:spacing w:after="0" w:line="259" w:lineRule="auto"/>
        <w:rPr>
          <w:sz w:val="20"/>
          <w:szCs w:val="20"/>
          <w:color w:val="auto"/>
        </w:rPr>
      </w:pPr>
      <w:r>
        <w:rPr>
          <w:rFonts w:ascii="Arial" w:cs="Arial" w:eastAsia="Arial" w:hAnsi="Arial"/>
          <w:sz w:val="13"/>
          <w:szCs w:val="13"/>
          <w:color w:val="auto"/>
        </w:rPr>
        <w:t>Security transactions are recorded on a trade- 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135" w:lineRule="exact"/>
        <w:rPr>
          <w:sz w:val="20"/>
          <w:szCs w:val="20"/>
          <w:color w:val="auto"/>
        </w:rPr>
      </w:pPr>
    </w:p>
    <w:p>
      <w:pPr>
        <w:ind w:right="140" w:firstLine="420"/>
        <w:spacing w:after="0" w:line="254"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9" w:lineRule="exact"/>
        <w:rPr>
          <w:sz w:val="20"/>
          <w:szCs w:val="20"/>
          <w:color w:val="auto"/>
        </w:rPr>
      </w:pPr>
    </w:p>
    <w:p>
      <w:pPr>
        <w:ind w:right="20" w:firstLine="420"/>
        <w:spacing w:after="0" w:line="255"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2023, we had one portfolio companies on non-accrual, representing 1.0% and zero percent of our overall portfolio on a cost and fair value basis, respectively. As of September 30, 2022, we had one portfolio company on non-accrual, representing 1.0% and zero percent of our overall portfolio on a cost and fair value basis, respectively.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(c)Income Taxes</w:t>
      </w:r>
    </w:p>
    <w:p>
      <w:pPr>
        <w:spacing w:after="0" w:line="171" w:lineRule="exact"/>
        <w:rPr>
          <w:sz w:val="20"/>
          <w:szCs w:val="20"/>
          <w:color w:val="auto"/>
        </w:rPr>
      </w:pPr>
    </w:p>
    <w:p>
      <w:pPr>
        <w:ind w:right="40" w:firstLine="420"/>
        <w:spacing w:after="0" w:line="254"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and six months ended March 31, 2023, we recorded a provision for taxes on net investment income of $0.5 million and $2.5 million respectively, which pertains to U.S. federal excise tax. For the three and six months ended March 31, 2022, we recorded a provision for taxes on net investment income of $0.2 million and $0.4 million respectively, all of which pertains to U.S. federal excise tax.</w:t>
      </w:r>
    </w:p>
    <w:p>
      <w:pPr>
        <w:spacing w:after="0" w:line="139" w:lineRule="exact"/>
        <w:rPr>
          <w:sz w:val="20"/>
          <w:szCs w:val="20"/>
          <w:color w:val="auto"/>
        </w:rPr>
      </w:pPr>
    </w:p>
    <w:p>
      <w:pPr>
        <w:ind w:firstLine="420"/>
        <w:spacing w:after="0" w:line="255"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 -not”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9" w:lineRule="exact"/>
        <w:rPr>
          <w:sz w:val="20"/>
          <w:szCs w:val="20"/>
          <w:color w:val="auto"/>
        </w:rPr>
      </w:pPr>
    </w:p>
    <w:p>
      <w:pPr>
        <w:ind w:right="40" w:firstLine="420"/>
        <w:spacing w:after="0" w:line="276" w:lineRule="auto"/>
        <w:rPr>
          <w:sz w:val="20"/>
          <w:szCs w:val="20"/>
          <w:color w:val="auto"/>
        </w:rPr>
      </w:pPr>
      <w:r>
        <w:rPr>
          <w:rFonts w:ascii="Arial" w:cs="Arial" w:eastAsia="Arial" w:hAnsi="Arial"/>
          <w:sz w:val="13"/>
          <w:szCs w:val="13"/>
          <w:color w:val="auto"/>
        </w:rPr>
        <w:t>The Taxable Subsidiary (PNNT Investment Holdings, LLC, a second-tier wholly- owned subsidiary of the Company) is subject to U.S. federal, state and local corporate income taxes. The income tax expense and related tax liabilities of the Taxable Subsidiary are reflected in the Company’s consolidated financial statements.</w:t>
      </w:r>
    </w:p>
    <w:p>
      <w:pPr>
        <w:spacing w:after="0" w:line="124" w:lineRule="exact"/>
        <w:rPr>
          <w:sz w:val="20"/>
          <w:szCs w:val="20"/>
          <w:color w:val="auto"/>
        </w:rPr>
      </w:pPr>
    </w:p>
    <w:p>
      <w:pPr>
        <w:ind w:right="100" w:firstLine="420"/>
        <w:spacing w:after="0" w:line="254" w:lineRule="auto"/>
        <w:rPr>
          <w:sz w:val="20"/>
          <w:szCs w:val="20"/>
          <w:color w:val="auto"/>
        </w:rPr>
      </w:pPr>
      <w:r>
        <w:rPr>
          <w:rFonts w:ascii="Arial" w:cs="Arial" w:eastAsia="Arial" w:hAnsi="Arial"/>
          <w:sz w:val="13"/>
          <w:szCs w:val="13"/>
          <w:color w:val="auto"/>
        </w:rPr>
        <w:t>For the three and six months ended March 31, 2023, the Company recognized a provision for taxes of $0.7 million and $0.7 million, respectively, on net realized gain on investments by the Taxable Subsidiary. For the three and six months ended March 31, 2022, the Company recognized a provision for taxes of $ 5.1 million and $5.1 million, respectively, on net realized gain on investments by the Taxable Subsidiary. For the three and six months ended March 31, 2023, the Company recognized a provision for taxes of zero and $(0.9) million, respectively, on net unrealized gain (loss) on investments by the Taxable Subsidiary. For the three and six months ended March 31, 2022, the Company recognized a provision for taxes of $(5.1) million and zero, respectively, on unrealized gain(loss)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2023 and (ii) the expected tax benefit resulting from the use of loss carryforwards to offset such gains. As of March</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20" w:name="page21"/>
    <w:bookmarkEnd w:id="20"/>
    <w:p>
      <w:pPr>
        <w:jc w:val="center"/>
        <w:ind w:right="6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155" w:lineRule="exact"/>
        <w:rPr>
          <w:sz w:val="20"/>
          <w:szCs w:val="20"/>
          <w:color w:val="auto"/>
        </w:rPr>
      </w:pPr>
    </w:p>
    <w:p>
      <w:pPr>
        <w:ind w:right="440"/>
        <w:spacing w:after="0" w:line="276" w:lineRule="auto"/>
        <w:rPr>
          <w:sz w:val="20"/>
          <w:szCs w:val="20"/>
          <w:color w:val="auto"/>
        </w:rPr>
      </w:pPr>
      <w:r>
        <w:rPr>
          <w:rFonts w:ascii="Arial" w:cs="Arial" w:eastAsia="Arial" w:hAnsi="Arial"/>
          <w:sz w:val="13"/>
          <w:szCs w:val="13"/>
          <w:color w:val="auto"/>
        </w:rPr>
        <w:t>31, 2023 and September 30, 2022, the Company recognized a provision for taxes of $(0.7) million and $7.1 million on net realized and unrealized gains on investments by the Taxable Subsidiary.</w:t>
      </w:r>
    </w:p>
    <w:p>
      <w:pPr>
        <w:spacing w:after="0" w:line="124"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During the three and six months ended March 31, 2023, the Company paid zero, respectively, in federal taxes on realized gains on the sale of investments held by the Taxable Subsidiary. During the three and six months ended March 31, 2022, the Company paid $ 4.0 million in taxes on realized gains on the sale of investments held by the Taxable Subsidiary, resulting in remaining tax liability of $ 1.1 million as of March 31, 2022, included under accrued other expenses in the consolidated statement of assets and liabilities. Due to offsetting losses in the year ended September 30, 2022, the $4.0 million is shown on the consolidated statement of assets and liabilities under prepaid expenses and other assets. The state and local tax liability of $6.9 million as of March 31, 2023 is included under accrued other expenses in the consolidated statement of assets and liabilities.</w:t>
      </w:r>
    </w:p>
    <w:p>
      <w:pPr>
        <w:spacing w:after="0" w:line="139" w:lineRule="exact"/>
        <w:rPr>
          <w:sz w:val="20"/>
          <w:szCs w:val="20"/>
          <w:color w:val="auto"/>
        </w:rPr>
      </w:pPr>
    </w:p>
    <w:p>
      <w:pPr>
        <w:ind w:right="120" w:firstLine="420"/>
        <w:spacing w:after="0" w:line="259" w:lineRule="auto"/>
        <w:rPr>
          <w:sz w:val="20"/>
          <w:szCs w:val="20"/>
          <w:color w:val="auto"/>
        </w:rPr>
      </w:pPr>
      <w:r>
        <w:rPr>
          <w:rFonts w:ascii="Arial" w:cs="Arial" w:eastAsia="Arial" w:hAnsi="Arial"/>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99" w:lineRule="exact"/>
        <w:rPr>
          <w:sz w:val="20"/>
          <w:szCs w:val="20"/>
          <w:color w:val="auto"/>
        </w:rPr>
      </w:pPr>
    </w:p>
    <w:p>
      <w:pPr>
        <w:ind w:right="100" w:firstLine="420"/>
        <w:spacing w:after="0" w:line="259" w:lineRule="auto"/>
        <w:rPr>
          <w:sz w:val="20"/>
          <w:szCs w:val="20"/>
          <w:color w:val="auto"/>
        </w:rPr>
      </w:pPr>
      <w:r>
        <w:rPr>
          <w:rFonts w:ascii="Arial" w:cs="Arial" w:eastAsia="Arial" w:hAnsi="Arial"/>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(d)Distributions and Capital Transactions</w:t>
      </w:r>
    </w:p>
    <w:p>
      <w:pPr>
        <w:spacing w:after="0" w:line="171" w:lineRule="exact"/>
        <w:rPr>
          <w:sz w:val="20"/>
          <w:szCs w:val="20"/>
          <w:color w:val="auto"/>
        </w:rPr>
      </w:pPr>
    </w:p>
    <w:p>
      <w:pPr>
        <w:ind w:right="20" w:firstLine="420"/>
        <w:spacing w:after="0" w:line="263" w:lineRule="auto"/>
        <w:rPr>
          <w:sz w:val="20"/>
          <w:szCs w:val="20"/>
          <w:color w:val="auto"/>
        </w:rPr>
      </w:pPr>
      <w:r>
        <w:rPr>
          <w:rFonts w:ascii="Arial" w:cs="Arial" w:eastAsia="Arial" w:hAnsi="Arial"/>
          <w:sz w:val="13"/>
          <w:szCs w:val="13"/>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33" w:lineRule="exact"/>
        <w:rPr>
          <w:sz w:val="20"/>
          <w:szCs w:val="20"/>
          <w:color w:val="auto"/>
        </w:rPr>
      </w:pPr>
    </w:p>
    <w:p>
      <w:pPr>
        <w:ind w:firstLine="420"/>
        <w:spacing w:after="0" w:line="276" w:lineRule="auto"/>
        <w:rPr>
          <w:sz w:val="20"/>
          <w:szCs w:val="20"/>
          <w:color w:val="auto"/>
        </w:rPr>
      </w:pPr>
      <w:r>
        <w:rPr>
          <w:rFonts w:ascii="Arial" w:cs="Arial" w:eastAsia="Arial" w:hAnsi="Arial"/>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(e)Foreign Currency Translation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1.Fair value of investment securities, other assets and liabilities – at the exchange rates prevailing at the end of the applicable period; and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80" w:firstLine="420"/>
        <w:spacing w:after="0" w:line="263" w:lineRule="auto"/>
        <w:rPr>
          <w:sz w:val="20"/>
          <w:szCs w:val="20"/>
          <w:color w:val="auto"/>
        </w:rPr>
      </w:pPr>
      <w:r>
        <w:rPr>
          <w:rFonts w:ascii="Arial" w:cs="Arial" w:eastAsia="Arial" w:hAnsi="Arial"/>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3" w:lineRule="exact"/>
        <w:rPr>
          <w:sz w:val="20"/>
          <w:szCs w:val="20"/>
          <w:color w:val="auto"/>
        </w:rPr>
      </w:pPr>
    </w:p>
    <w:p>
      <w:pPr>
        <w:ind w:right="360" w:firstLine="420"/>
        <w:spacing w:after="0" w:line="263" w:lineRule="auto"/>
        <w:rPr>
          <w:sz w:val="20"/>
          <w:szCs w:val="20"/>
          <w:color w:val="auto"/>
        </w:rPr>
      </w:pPr>
      <w:r>
        <w:rPr>
          <w:rFonts w:ascii="Arial" w:cs="Arial" w:eastAsia="Arial" w:hAnsi="Arial"/>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(f)Consolidation</w:t>
      </w:r>
    </w:p>
    <w:p>
      <w:pPr>
        <w:spacing w:after="0" w:line="135" w:lineRule="exact"/>
        <w:rPr>
          <w:sz w:val="20"/>
          <w:szCs w:val="20"/>
          <w:color w:val="auto"/>
        </w:rPr>
      </w:pPr>
    </w:p>
    <w:p>
      <w:pPr>
        <w:ind w:right="80" w:firstLine="420"/>
        <w:spacing w:after="0" w:line="259" w:lineRule="auto"/>
        <w:rPr>
          <w:sz w:val="20"/>
          <w:szCs w:val="20"/>
          <w:color w:val="auto"/>
        </w:rPr>
      </w:pPr>
      <w:r>
        <w:rPr>
          <w:rFonts w:ascii="Arial" w:cs="Arial" w:eastAsia="Arial" w:hAnsi="Arial"/>
          <w:sz w:val="13"/>
          <w:szCs w:val="13"/>
          <w:color w:val="auto"/>
        </w:rPr>
        <w:t>As permitted under Regulation S-X and as explained by ASC paragraph 946-810 -45-3,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(g)Asset Transfers and Servicing</w:t>
      </w:r>
    </w:p>
    <w:p>
      <w:pPr>
        <w:spacing w:after="0" w:line="171" w:lineRule="exact"/>
        <w:rPr>
          <w:sz w:val="20"/>
          <w:szCs w:val="20"/>
          <w:color w:val="auto"/>
        </w:rPr>
      </w:pPr>
    </w:p>
    <w:p>
      <w:pPr>
        <w:ind w:right="80" w:firstLine="420"/>
        <w:spacing w:after="0" w:line="276" w:lineRule="auto"/>
        <w:rPr>
          <w:sz w:val="20"/>
          <w:szCs w:val="20"/>
          <w:color w:val="auto"/>
        </w:rPr>
      </w:pPr>
      <w:r>
        <w:rPr>
          <w:rFonts w:ascii="Arial" w:cs="Arial" w:eastAsia="Arial" w:hAnsi="Arial"/>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16" w:lineRule="exact"/>
        <w:rPr>
          <w:sz w:val="20"/>
          <w:szCs w:val="20"/>
          <w:color w:val="auto"/>
        </w:rPr>
      </w:pPr>
    </w:p>
    <w:p>
      <w:pPr>
        <w:ind w:left="600" w:hanging="390"/>
        <w:spacing w:after="0"/>
        <w:tabs>
          <w:tab w:leader="none" w:pos="600"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Recent Accounting Pronouncements</w:t>
      </w:r>
    </w:p>
    <w:p>
      <w:pPr>
        <w:spacing w:after="0" w:line="171" w:lineRule="exact"/>
        <w:rPr>
          <w:sz w:val="20"/>
          <w:szCs w:val="20"/>
          <w:color w:val="auto"/>
        </w:rPr>
      </w:pPr>
    </w:p>
    <w:p>
      <w:pPr>
        <w:ind w:right="120" w:firstLine="420"/>
        <w:spacing w:after="0" w:line="255" w:lineRule="auto"/>
        <w:rPr>
          <w:sz w:val="20"/>
          <w:szCs w:val="20"/>
          <w:color w:val="auto"/>
        </w:rPr>
      </w:pPr>
      <w:r>
        <w:rPr>
          <w:rFonts w:ascii="Arial" w:cs="Arial" w:eastAsia="Arial" w:hAnsi="Arial"/>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March 31, 2023.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spacing w:after="0" w:line="139" w:lineRule="exact"/>
        <w:rPr>
          <w:sz w:val="20"/>
          <w:szCs w:val="20"/>
          <w:color w:val="auto"/>
        </w:rPr>
      </w:pPr>
    </w:p>
    <w:p>
      <w:pPr>
        <w:ind w:right="40" w:firstLine="420"/>
        <w:spacing w:after="0" w:line="255" w:lineRule="auto"/>
        <w:rPr>
          <w:sz w:val="20"/>
          <w:szCs w:val="20"/>
          <w:color w:val="auto"/>
        </w:rPr>
      </w:pPr>
      <w:r>
        <w:rPr>
          <w:rFonts w:ascii="Arial" w:cs="Arial" w:eastAsia="Arial" w:hAnsi="Arial"/>
          <w:sz w:val="13"/>
          <w:szCs w:val="13"/>
          <w:color w:val="auto"/>
        </w:rPr>
        <w:t>In March 2022, the FASB issued ASU 2022 -02,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however the impact of the adoption is not expected to be material.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311"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In June 2022, the FASB issued ASU 2022-03, Fair Value Measurement (Topic 820): Fair Value Measurement of Equity Securities Subject to Contractual Sale Restrictions, or ASU 2022 -03,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00" w:lineRule="exact"/>
        <w:rPr>
          <w:sz w:val="20"/>
          <w:szCs w:val="20"/>
          <w:color w:val="auto"/>
        </w:rPr>
      </w:pPr>
    </w:p>
    <w:p>
      <w:pPr>
        <w:spacing w:after="0" w:line="243" w:lineRule="exact"/>
        <w:rPr>
          <w:sz w:val="20"/>
          <w:szCs w:val="20"/>
          <w:color w:val="auto"/>
        </w:rPr>
      </w:pPr>
    </w:p>
    <w:p>
      <w:pPr>
        <w:ind w:left="160" w:hanging="154"/>
        <w:spacing w:after="0"/>
        <w:tabs>
          <w:tab w:leader="none" w:pos="16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AGREEMENTS AND RELATED PARTY TRANSACTIONS</w:t>
      </w:r>
    </w:p>
    <w:p>
      <w:pPr>
        <w:spacing w:after="0" w:line="162" w:lineRule="exact"/>
        <w:rPr>
          <w:rFonts w:ascii="Arial" w:cs="Arial" w:eastAsia="Arial" w:hAnsi="Arial"/>
          <w:sz w:val="13"/>
          <w:szCs w:val="13"/>
          <w:b w:val="1"/>
          <w:bCs w:val="1"/>
          <w:color w:val="auto"/>
        </w:rPr>
      </w:pPr>
    </w:p>
    <w:p>
      <w:pPr>
        <w:ind w:left="480" w:hanging="270"/>
        <w:spacing w:after="0"/>
        <w:tabs>
          <w:tab w:leader="none" w:pos="480" w:val="left"/>
        </w:tabs>
        <w:numPr>
          <w:ilvl w:val="1"/>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Investment Management Agreement</w:t>
      </w:r>
    </w:p>
    <w:p>
      <w:pPr>
        <w:spacing w:after="0" w:line="171"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2023. Under the Investment Management Agreement, the Investment Adviser, subject to the overall supervision of our board of directors, manages the day-to- 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Base Management Fee</w:t>
      </w:r>
    </w:p>
    <w:p>
      <w:pPr>
        <w:spacing w:after="0" w:line="171" w:lineRule="exact"/>
        <w:rPr>
          <w:sz w:val="20"/>
          <w:szCs w:val="20"/>
          <w:color w:val="auto"/>
        </w:rPr>
      </w:pPr>
    </w:p>
    <w:p>
      <w:pPr>
        <w:ind w:right="40" w:firstLine="420"/>
        <w:spacing w:after="0" w:line="252"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2023, the Investment Adviser earned base management fees of $4.0 million and $8.6 million, respectively, from us. For the three and six months ended March 31, 2022, the Investment Adviser earned base management fee of $5.0 million and $10.1 million, respectively, from us.</w:t>
      </w:r>
    </w:p>
    <w:p>
      <w:pPr>
        <w:spacing w:after="0" w:line="13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Incentive Fee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incentive fee has two parts, as follows:</w:t>
      </w:r>
    </w:p>
    <w:p>
      <w:pPr>
        <w:spacing w:after="0" w:line="127" w:lineRule="exact"/>
        <w:rPr>
          <w:sz w:val="20"/>
          <w:szCs w:val="20"/>
          <w:color w:val="auto"/>
        </w:rPr>
      </w:pPr>
    </w:p>
    <w:p>
      <w:pPr>
        <w:ind w:right="40" w:firstLine="420"/>
        <w:spacing w:after="0" w:line="25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 Incentive Fee Net Investment Income, if any, that exceeds the hurdle rate but is less than 2.1212% in any calendar quarter (8.4848% annualized), and (3) 17.5% of the amount of our Pre -Incentive Fee Net Investment Income, if any, that exceeds 2.1212% in any calendar quarter. These calculations are pro-rated for any share issuances or repurchases during the relevant quarter, if applicable.</w:t>
      </w:r>
    </w:p>
    <w:p>
      <w:pPr>
        <w:spacing w:after="0" w:line="108" w:lineRule="exact"/>
        <w:rPr>
          <w:sz w:val="20"/>
          <w:szCs w:val="20"/>
          <w:color w:val="auto"/>
        </w:rPr>
      </w:pPr>
    </w:p>
    <w:p>
      <w:pPr>
        <w:ind w:firstLine="420"/>
        <w:spacing w:after="0" w:line="276" w:lineRule="auto"/>
        <w:rPr>
          <w:sz w:val="20"/>
          <w:szCs w:val="20"/>
          <w:color w:val="auto"/>
        </w:rPr>
      </w:pPr>
      <w:r>
        <w:rPr>
          <w:rFonts w:ascii="Arial" w:cs="Arial" w:eastAsia="Arial" w:hAnsi="Arial"/>
          <w:sz w:val="13"/>
          <w:szCs w:val="13"/>
          <w:color w:val="auto"/>
        </w:rPr>
        <w:t>For the three and six months ended March 31, 2023, the Investment Adviser earned $3.5 million and $5.7 million, respectively, in incentive fees on net investment income from us. For the three and six months ended March 31, 2022, the Investment Adviser earned an incentive fee of zero and $2.7 million, respectively, on net investment income from us.</w:t>
      </w:r>
    </w:p>
    <w:p>
      <w:pPr>
        <w:spacing w:after="0" w:line="88"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Arial" w:cs="Arial" w:eastAsia="Arial" w:hAnsi="Arial"/>
          <w:sz w:val="13"/>
          <w:szCs w:val="13"/>
          <w:color w:val="auto"/>
          <w:strike w:val="1"/>
        </w:rPr>
        <w:t>,</w:t>
      </w:r>
      <w:r>
        <w:rPr>
          <w:rFonts w:ascii="Arial" w:cs="Arial" w:eastAsia="Arial" w:hAnsi="Arial"/>
          <w:sz w:val="13"/>
          <w:szCs w:val="13"/>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2023 and 2022 , the Investment Adviser did not accrue an incentive fee on capital gains as calculated under the Investment Management Agreement (as described above).</w:t>
      </w:r>
    </w:p>
    <w:p>
      <w:pPr>
        <w:spacing w:after="0" w:line="103" w:lineRule="exact"/>
        <w:rPr>
          <w:sz w:val="20"/>
          <w:szCs w:val="20"/>
          <w:color w:val="auto"/>
        </w:rPr>
      </w:pPr>
    </w:p>
    <w:p>
      <w:pPr>
        <w:ind w:right="20" w:firstLine="420"/>
        <w:spacing w:after="0" w:line="255"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22" w:name="page23"/>
    <w:bookmarkEnd w:id="22"/>
    <w:p>
      <w:pPr>
        <w:jc w:val="center"/>
        <w:ind w:right="6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31, 2023</w:t>
      </w:r>
    </w:p>
    <w:p>
      <w:pPr>
        <w:spacing w:after="0" w:line="275"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then there is no accrual for such year. There can be no assurance that such unrealized capital appreciation will be realized in the future. For each of the three and six months ended March 31, 2023 and 2022 the Investment Adviser did not accrue an incentive fee on capital gains as calculated under GAAP.</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(b) Administration Agreement</w:t>
      </w:r>
    </w:p>
    <w:p>
      <w:pPr>
        <w:spacing w:after="0" w:line="171" w:lineRule="exact"/>
        <w:rPr>
          <w:sz w:val="20"/>
          <w:szCs w:val="20"/>
          <w:color w:val="auto"/>
        </w:rPr>
      </w:pPr>
    </w:p>
    <w:p>
      <w:pPr>
        <w:ind w:right="20" w:firstLine="420"/>
        <w:spacing w:after="0" w:line="256"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2023. Under the Administration Agreement, the Administrator provides administrative services and office facilities to us. The Administrator provides similar services to SBIC</w:t>
      </w:r>
    </w:p>
    <w:p>
      <w:pPr>
        <w:spacing w:after="0" w:line="1" w:lineRule="exact"/>
        <w:rPr>
          <w:sz w:val="20"/>
          <w:szCs w:val="20"/>
          <w:color w:val="auto"/>
        </w:rPr>
      </w:pPr>
    </w:p>
    <w:p>
      <w:pPr>
        <w:ind w:firstLine="6"/>
        <w:spacing w:after="0" w:line="252" w:lineRule="auto"/>
        <w:tabs>
          <w:tab w:leader="none" w:pos="11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amount billed by the Administrator may include credits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2023, we reimbursed the Investment Administrator approximately $0.3 million and $0.6 million, respectively, for the services described above. For the three and six months ended March 31, 2022, we reimbursed the Administrator approximately $0.6 million and $0.9 million, respectively, for the services described above.</w:t>
      </w:r>
    </w:p>
    <w:p>
      <w:pPr>
        <w:spacing w:after="0" w:line="141" w:lineRule="exact"/>
        <w:rPr>
          <w:sz w:val="20"/>
          <w:szCs w:val="20"/>
          <w:color w:val="auto"/>
        </w:rPr>
      </w:pPr>
    </w:p>
    <w:p>
      <w:pPr>
        <w:ind w:right="40" w:firstLine="420"/>
        <w:spacing w:after="0" w:line="259" w:lineRule="auto"/>
        <w:rPr>
          <w:sz w:val="20"/>
          <w:szCs w:val="20"/>
          <w:color w:val="auto"/>
        </w:rPr>
      </w:pPr>
      <w:r>
        <w:rPr>
          <w:rFonts w:ascii="Arial" w:cs="Arial" w:eastAsia="Arial" w:hAnsi="Arial"/>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27" w:lineRule="exact"/>
        <w:rPr>
          <w:sz w:val="20"/>
          <w:szCs w:val="20"/>
          <w:color w:val="auto"/>
        </w:rPr>
      </w:pPr>
    </w:p>
    <w:p>
      <w:pPr>
        <w:ind w:left="400" w:hanging="190"/>
        <w:spacing w:after="0"/>
        <w:tabs>
          <w:tab w:leader="none" w:pos="40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Other Related Party Transactions</w:t>
      </w:r>
    </w:p>
    <w:p>
      <w:pPr>
        <w:spacing w:after="0" w:line="170" w:lineRule="exact"/>
        <w:rPr>
          <w:rFonts w:ascii="Arial" w:cs="Arial" w:eastAsia="Arial" w:hAnsi="Arial"/>
          <w:sz w:val="13"/>
          <w:szCs w:val="13"/>
          <w:b w:val="1"/>
          <w:bCs w:val="1"/>
          <w:i w:val="1"/>
          <w:iCs w:val="1"/>
          <w:color w:val="auto"/>
        </w:rPr>
      </w:pPr>
    </w:p>
    <w:p>
      <w:pPr>
        <w:ind w:left="42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There were no transactions subject to Rule 17a-7 under the 1940 Act during each of the three and six months ended March 31, 2023 and 2022.</w:t>
      </w:r>
    </w:p>
    <w:p>
      <w:pPr>
        <w:spacing w:after="0" w:line="163" w:lineRule="exact"/>
        <w:rPr>
          <w:sz w:val="20"/>
          <w:szCs w:val="20"/>
          <w:color w:val="auto"/>
        </w:rPr>
      </w:pPr>
    </w:p>
    <w:p>
      <w:pPr>
        <w:ind w:right="100" w:firstLine="420"/>
        <w:spacing w:after="0" w:line="263" w:lineRule="auto"/>
        <w:rPr>
          <w:sz w:val="20"/>
          <w:szCs w:val="20"/>
          <w:color w:val="auto"/>
        </w:rPr>
      </w:pPr>
      <w:r>
        <w:rPr>
          <w:rFonts w:ascii="Arial" w:cs="Arial" w:eastAsia="Arial" w:hAnsi="Arial"/>
          <w:sz w:val="13"/>
          <w:szCs w:val="13"/>
          <w:color w:val="auto"/>
        </w:rPr>
        <w:t>For the three and six months ended March 31, 2023, we sold $18.4 million and $18.4 million in investments to PSLF at fair value, respectively, and recognized less than $0.1 million and less than $0.1 million of net realized gains, respectively. For the three and six months ended March 31, 2022, we sold $11.5 million and $59.6 million in investments to PSLF at fair value, respectively, and recognized zero and $0.1 million of net realized gains,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For the three and six months ended March 31, 2023, we sold zero in investments to PTSF II at fair value, respectively, and recognized zero of net realized gains, respectively.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 three and six months ended March 31, 2022, we sold $82.3 million in investments to PTSF II at fair value and recognized $0.2 million of net realized gains.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171"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Purchases of investments, including PIK interest, for the three and six months ended March 31, 2023 totaled $59.0 million and $146.3 million, respectively. For the same periods in the prior year, purchases of investments, including PIK interest, totaled $185.7 million and $480.8 million, respectively. Sales and repayments of investments for the three and six months ended March 31, 2023 totaled $114.2 million and $144.8 million, respectively. For the same periods in prior year, sales and repayments of investments totaled $405.5 million and $537.7 million, respectively.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Investments and cash and cash equivalents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March 31, 2023</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6"/>
          </w:tcPr>
          <w:p>
            <w:pPr>
              <w:ind w:left="560"/>
              <w:spacing w:after="0"/>
              <w:rPr>
                <w:sz w:val="20"/>
                <w:szCs w:val="20"/>
                <w:color w:val="auto"/>
              </w:rPr>
            </w:pPr>
            <w:r>
              <w:rPr>
                <w:rFonts w:ascii="Arial" w:cs="Arial" w:eastAsia="Arial" w:hAnsi="Arial"/>
                <w:sz w:val="13"/>
                <w:szCs w:val="13"/>
                <w:b w:val="1"/>
                <w:bCs w:val="1"/>
                <w:color w:val="auto"/>
              </w:rPr>
              <w:t>September 30, 2022</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 xml:space="preserve">Investment Classification </w:t>
            </w:r>
            <w:r>
              <w:rPr>
                <w:rFonts w:ascii="Arial" w:cs="Arial" w:eastAsia="Arial" w:hAnsi="Arial"/>
                <w:sz w:val="13"/>
                <w:szCs w:val="13"/>
                <w:color w:val="auto"/>
              </w:rPr>
              <w:t>($ in thousands)</w:t>
            </w:r>
          </w:p>
        </w:tc>
        <w:tc>
          <w:tcPr>
            <w:tcW w:w="32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320" w:type="dxa"/>
            <w:vAlign w:val="bottom"/>
            <w:vMerge w:val="restart"/>
          </w:tcPr>
          <w:p>
            <w:pPr>
              <w:jc w:val="right"/>
              <w:ind w:right="174"/>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665,671</w:t>
            </w:r>
          </w:p>
        </w:tc>
        <w:tc>
          <w:tcPr>
            <w:tcW w:w="6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648,359</w:t>
            </w:r>
          </w:p>
        </w:tc>
        <w:tc>
          <w:tcPr>
            <w:tcW w:w="120" w:type="dxa"/>
            <w:vAlign w:val="bottom"/>
          </w:tcPr>
          <w:p>
            <w:pPr>
              <w:spacing w:after="0"/>
              <w:rPr>
                <w:sz w:val="14"/>
                <w:szCs w:val="14"/>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652,055</w:t>
            </w:r>
          </w:p>
        </w:tc>
        <w:tc>
          <w:tcPr>
            <w:tcW w:w="8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630,965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1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CFF"/>
          </w:tcPr>
          <w:p>
            <w:pPr>
              <w:ind w:left="20"/>
              <w:spacing w:after="0"/>
              <w:rPr>
                <w:sz w:val="20"/>
                <w:szCs w:val="20"/>
                <w:color w:val="auto"/>
              </w:rPr>
            </w:pPr>
            <w:r>
              <w:rPr>
                <w:rFonts w:ascii="Arial" w:cs="Arial" w:eastAsia="Arial" w:hAnsi="Arial"/>
                <w:sz w:val="13"/>
                <w:szCs w:val="13"/>
                <w:color w:val="auto"/>
              </w:rPr>
              <w:t>Second lien</w:t>
            </w: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128,309</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111,282</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145,542</w:t>
            </w:r>
          </w:p>
        </w:tc>
        <w:tc>
          <w:tcPr>
            <w:tcW w:w="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129,936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3"/>
                <w:szCs w:val="13"/>
                <w:color w:val="auto"/>
              </w:rPr>
              <w:t>Subordinated debt / corporate notes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53,570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52,552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53,468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53,255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CFF"/>
          </w:tcPr>
          <w:p>
            <w:pPr>
              <w:ind w:left="20"/>
              <w:spacing w:after="0"/>
              <w:rPr>
                <w:sz w:val="20"/>
                <w:szCs w:val="20"/>
                <w:color w:val="auto"/>
              </w:rPr>
            </w:pPr>
            <w:r>
              <w:rPr>
                <w:rFonts w:ascii="Arial" w:cs="Arial" w:eastAsia="Arial" w:hAnsi="Arial"/>
                <w:sz w:val="13"/>
                <w:szCs w:val="13"/>
                <w:color w:val="auto"/>
              </w:rPr>
              <w:t>Subordinated notes in PSLF</w:t>
            </w: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95,351</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95,351</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88,011</w:t>
            </w:r>
          </w:p>
        </w:tc>
        <w:tc>
          <w:tcPr>
            <w:tcW w:w="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88,011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3"/>
                <w:szCs w:val="13"/>
                <w:color w:val="auto"/>
              </w:rPr>
              <w:t>Equity</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167,578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171,593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313,591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273,036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 in PSLF</w:t>
            </w: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54,121</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53,374</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49,362</w:t>
            </w:r>
          </w:p>
        </w:tc>
        <w:tc>
          <w:tcPr>
            <w:tcW w:w="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51,098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3"/>
                <w:szCs w:val="13"/>
                <w:color w:val="auto"/>
              </w:rPr>
              <w:t>Total investments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1,164,600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1,132,511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1,302,029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1,226,301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63,105</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63,135</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52,844</w:t>
            </w:r>
          </w:p>
        </w:tc>
        <w:tc>
          <w:tcPr>
            <w:tcW w:w="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52,666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3"/>
                <w:szCs w:val="13"/>
                <w:color w:val="auto"/>
              </w:rPr>
              <w:t>Total investments and cash and cash equivalents</w:t>
            </w: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1,227,705</w:t>
            </w:r>
          </w:p>
        </w:tc>
        <w:tc>
          <w:tcPr>
            <w:tcW w:w="100" w:type="dxa"/>
            <w:vAlign w:val="bottom"/>
          </w:tcPr>
          <w:p>
            <w:pPr>
              <w:spacing w:after="0"/>
              <w:rPr>
                <w:sz w:val="15"/>
                <w:szCs w:val="15"/>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1,195,646</w:t>
            </w:r>
          </w:p>
        </w:tc>
        <w:tc>
          <w:tcPr>
            <w:tcW w:w="12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1,354,873</w:t>
            </w:r>
          </w:p>
        </w:tc>
        <w:tc>
          <w:tcPr>
            <w:tcW w:w="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1,278,967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40" w:orient="portrait"/>
          <w:cols w:equalWidth="0" w:num="1">
            <w:col w:w="10580"/>
          </w:cols>
          <w:pgMar w:left="660" w:top="554" w:right="660" w:bottom="1440" w:gutter="0" w:footer="0" w:header="0"/>
        </w:sectPr>
      </w:pPr>
    </w:p>
    <w:bookmarkStart w:id="23" w:name="page24"/>
    <w:bookmarkEnd w:id="23"/>
    <w:p>
      <w:pPr>
        <w:jc w:val="center"/>
        <w:ind w:right="8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155" w:lineRule="exact"/>
        <w:rPr>
          <w:sz w:val="20"/>
          <w:szCs w:val="20"/>
          <w:color w:val="auto"/>
        </w:rPr>
      </w:pPr>
    </w:p>
    <w:p>
      <w:pPr>
        <w:ind w:right="620" w:firstLine="420"/>
        <w:spacing w:after="0" w:line="276" w:lineRule="auto"/>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and cash equivalents) in such industries as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ind w:left="20"/>
              <w:spacing w:after="0"/>
              <w:rPr>
                <w:sz w:val="20"/>
                <w:szCs w:val="20"/>
                <w:color w:val="auto"/>
              </w:rPr>
            </w:pPr>
            <w:r>
              <w:rPr>
                <w:rFonts w:ascii="Arial" w:cs="Arial" w:eastAsia="Arial" w:hAnsi="Arial"/>
                <w:sz w:val="13"/>
                <w:szCs w:val="13"/>
                <w:b w:val="1"/>
                <w:bCs w:val="1"/>
                <w:color w:val="auto"/>
              </w:rPr>
              <w:t>Industry Classification</w:t>
            </w:r>
          </w:p>
        </w:tc>
        <w:tc>
          <w:tcPr>
            <w:tcW w:w="2260" w:type="dxa"/>
            <w:vAlign w:val="bottom"/>
            <w:gridSpan w:val="2"/>
          </w:tcPr>
          <w:p>
            <w:pPr>
              <w:ind w:left="620"/>
              <w:spacing w:after="0"/>
              <w:rPr>
                <w:sz w:val="20"/>
                <w:szCs w:val="20"/>
                <w:color w:val="auto"/>
              </w:rPr>
            </w:pPr>
            <w:r>
              <w:rPr>
                <w:rFonts w:ascii="Arial" w:cs="Arial" w:eastAsia="Arial" w:hAnsi="Arial"/>
                <w:sz w:val="13"/>
                <w:szCs w:val="13"/>
                <w:b w:val="1"/>
                <w:bCs w:val="1"/>
                <w:color w:val="auto"/>
              </w:rPr>
              <w:t>March 31, 2023</w:t>
            </w:r>
          </w:p>
        </w:tc>
        <w:tc>
          <w:tcPr>
            <w:tcW w:w="360" w:type="dxa"/>
            <w:vAlign w:val="bottom"/>
          </w:tcPr>
          <w:p>
            <w:pPr>
              <w:spacing w:after="0"/>
              <w:rPr>
                <w:sz w:val="15"/>
                <w:szCs w:val="15"/>
                <w:color w:val="auto"/>
              </w:rPr>
            </w:pPr>
          </w:p>
        </w:tc>
        <w:tc>
          <w:tcPr>
            <w:tcW w:w="2720" w:type="dxa"/>
            <w:vAlign w:val="bottom"/>
            <w:gridSpan w:val="2"/>
          </w:tcPr>
          <w:p>
            <w:pPr>
              <w:ind w:left="680"/>
              <w:spacing w:after="0"/>
              <w:rPr>
                <w:sz w:val="20"/>
                <w:szCs w:val="20"/>
                <w:color w:val="auto"/>
              </w:rPr>
            </w:pPr>
            <w:r>
              <w:rPr>
                <w:rFonts w:ascii="Arial" w:cs="Arial" w:eastAsia="Arial" w:hAnsi="Arial"/>
                <w:sz w:val="13"/>
                <w:szCs w:val="13"/>
                <w:b w:val="1"/>
                <w:bCs w:val="1"/>
                <w:color w:val="auto"/>
              </w:rPr>
              <w:t>September 30, 2022</w:t>
            </w:r>
          </w:p>
        </w:tc>
        <w:tc>
          <w:tcPr>
            <w:tcW w:w="180" w:type="dxa"/>
            <w:vAlign w:val="bottom"/>
          </w:tcPr>
          <w:p>
            <w:pPr>
              <w:spacing w:after="0"/>
              <w:rPr>
                <w:sz w:val="15"/>
                <w:szCs w:val="15"/>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Business Services</w:t>
            </w:r>
          </w:p>
        </w:tc>
        <w:tc>
          <w:tcPr>
            <w:tcW w:w="216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36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6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Healthcare, Education and Childcare</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Consumer Products</w:t>
            </w:r>
          </w:p>
        </w:tc>
        <w:tc>
          <w:tcPr>
            <w:tcW w:w="21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Financial Services</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Distribution</w:t>
            </w:r>
          </w:p>
        </w:tc>
        <w:tc>
          <w:tcPr>
            <w:tcW w:w="21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Home and Office Furnishings</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Media</w:t>
            </w:r>
          </w:p>
        </w:tc>
        <w:tc>
          <w:tcPr>
            <w:tcW w:w="21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Telecommunications</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Chemicals, Plastics and Rubber</w:t>
            </w:r>
          </w:p>
        </w:tc>
        <w:tc>
          <w:tcPr>
            <w:tcW w:w="21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Environmental Services</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Auto Sector</w:t>
            </w:r>
          </w:p>
        </w:tc>
        <w:tc>
          <w:tcPr>
            <w:tcW w:w="21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Aerospace and Defense</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Electronics</w:t>
            </w:r>
          </w:p>
        </w:tc>
        <w:tc>
          <w:tcPr>
            <w:tcW w:w="21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Transportation</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Hotels, Motels, Inns and Gaming</w:t>
            </w:r>
          </w:p>
        </w:tc>
        <w:tc>
          <w:tcPr>
            <w:tcW w:w="21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Personal, Food and Miscellaneous Services</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Building Materials</w:t>
            </w:r>
          </w:p>
        </w:tc>
        <w:tc>
          <w:tcPr>
            <w:tcW w:w="21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Personal and Non-Durable Consumer Products</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Education</w:t>
            </w:r>
          </w:p>
        </w:tc>
        <w:tc>
          <w:tcPr>
            <w:tcW w:w="2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Insurance</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Leisure, Amusement, Motion Pictures, Entertainment</w:t>
            </w:r>
          </w:p>
        </w:tc>
        <w:tc>
          <w:tcPr>
            <w:tcW w:w="2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Cargo Transport</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Retail</w:t>
            </w:r>
          </w:p>
        </w:tc>
        <w:tc>
          <w:tcPr>
            <w:tcW w:w="2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040" w:type="dxa"/>
            <w:vAlign w:val="bottom"/>
            <w:shd w:val="clear" w:color="auto" w:fill="CCECFF"/>
          </w:tcPr>
          <w:p>
            <w:pPr>
              <w:ind w:left="20"/>
              <w:spacing w:after="0"/>
              <w:rPr>
                <w:sz w:val="20"/>
                <w:szCs w:val="20"/>
                <w:color w:val="auto"/>
              </w:rPr>
            </w:pPr>
            <w:r>
              <w:rPr>
                <w:rFonts w:ascii="Arial" w:cs="Arial" w:eastAsia="Arial" w:hAnsi="Arial"/>
                <w:sz w:val="13"/>
                <w:szCs w:val="13"/>
                <w:color w:val="auto"/>
              </w:rPr>
              <w:t>Manufacturing / Basic Industries</w:t>
            </w:r>
          </w:p>
        </w:tc>
        <w:tc>
          <w:tcPr>
            <w:tcW w:w="2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3"/>
                <w:szCs w:val="13"/>
                <w:color w:val="auto"/>
              </w:rPr>
              <w:t>Other</w:t>
            </w:r>
          </w:p>
        </w:tc>
        <w:tc>
          <w:tcPr>
            <w:tcW w:w="2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5"/>
        </w:trPr>
        <w:tc>
          <w:tcPr>
            <w:tcW w:w="5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Total</w:t>
            </w:r>
          </w:p>
        </w:tc>
        <w:tc>
          <w:tcPr>
            <w:tcW w:w="2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CFF"/>
            </w:tcBorders>
            <w:shd w:val="clear" w:color="auto" w:fill="CCECFF"/>
          </w:tcPr>
          <w:p>
            <w:pPr>
              <w:spacing w:after="0"/>
              <w:rPr>
                <w:sz w:val="19"/>
                <w:szCs w:val="19"/>
                <w:color w:val="auto"/>
              </w:rPr>
            </w:pPr>
          </w:p>
        </w:tc>
        <w:tc>
          <w:tcPr>
            <w:tcW w:w="360" w:type="dxa"/>
            <w:vAlign w:val="bottom"/>
            <w:tcBorders>
              <w:bottom w:val="single" w:sz="8" w:color="CCECFF"/>
            </w:tcBorders>
            <w:shd w:val="clear" w:color="auto" w:fill="CCECFF"/>
          </w:tcPr>
          <w:p>
            <w:pPr>
              <w:jc w:val="right"/>
              <w:ind w:right="15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3"/>
                <w:szCs w:val="13"/>
                <w:color w:val="auto"/>
                <w:w w:val="86"/>
              </w:rPr>
              <w:t>%</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Excludes investments in PSLF.</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PennantPark Senior Loan Fund, LLC</w:t>
      </w:r>
    </w:p>
    <w:p>
      <w:pPr>
        <w:spacing w:after="0" w:line="171" w:lineRule="exact"/>
        <w:rPr>
          <w:sz w:val="20"/>
          <w:szCs w:val="20"/>
          <w:color w:val="auto"/>
        </w:rPr>
      </w:pPr>
    </w:p>
    <w:p>
      <w:pPr>
        <w:ind w:right="60" w:firstLine="420"/>
        <w:spacing w:after="0" w:line="255" w:lineRule="auto"/>
        <w:rPr>
          <w:sz w:val="20"/>
          <w:szCs w:val="20"/>
          <w:color w:val="auto"/>
        </w:rPr>
      </w:pPr>
      <w:r>
        <w:rPr>
          <w:rFonts w:ascii="Arial" w:cs="Arial" w:eastAsia="Arial" w:hAnsi="Arial"/>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March 31, 2023 and September 30, 2022, PSLF had total assets of $793.0 million and $781.3 million, respectively and its investment portfolio consisted of debt investments in 86 and 80 portfolio companies, respectively. As of March 31, 2023, at fair value, the largest investment in a single portfolio company in PSLF was $19.8 million and the five largest investments totaled $97.6 million. As of September 30, 2022, at fair value, the largest investment in a single portfolio company in PSLF was $19.9 million and the five largest investments totaled $98.5 million. PSLF invests in portfolio companies in the same industries in which we may directly invest.</w:t>
      </w:r>
    </w:p>
    <w:p>
      <w:pPr>
        <w:spacing w:after="0" w:line="139" w:lineRule="exact"/>
        <w:rPr>
          <w:sz w:val="20"/>
          <w:szCs w:val="20"/>
          <w:color w:val="auto"/>
        </w:rPr>
      </w:pPr>
    </w:p>
    <w:p>
      <w:pPr>
        <w:ind w:right="140" w:firstLine="420"/>
        <w:spacing w:after="0" w:line="259" w:lineRule="auto"/>
        <w:rPr>
          <w:sz w:val="20"/>
          <w:szCs w:val="20"/>
          <w:color w:val="auto"/>
        </w:rPr>
      </w:pPr>
      <w:r>
        <w:rPr>
          <w:rFonts w:ascii="Arial" w:cs="Arial" w:eastAsia="Arial" w:hAnsi="Arial"/>
          <w:sz w:val="13"/>
          <w:szCs w:val="13"/>
          <w:color w:val="auto"/>
        </w:rPr>
        <w:t>We and Pantheon provide capital to PSLF in the form of subordinated notes and equity interests. As of March 31, 2023 and September 30, 2022, we and Pantheon owned 60.5% and 39.5%, respectively, of each of the outstanding subordinated notes and equity interests of PSLF. As of March 31, 2023 and September 30, 2022 our investment in PSLF consisted of subordinated notes of $95.4 million (additional $20.5 million unfunded) and $88.0 million (additional $27.9 million unfunded), respectively, and equity interests of $57.5 million (additional $13.3 million unfunded) and $54.8 million (additional $18.3 million unfunded), respectively.</w:t>
      </w:r>
    </w:p>
    <w:p>
      <w:pPr>
        <w:spacing w:after="0" w:line="135" w:lineRule="exact"/>
        <w:rPr>
          <w:sz w:val="20"/>
          <w:szCs w:val="20"/>
          <w:color w:val="auto"/>
        </w:rPr>
      </w:pPr>
    </w:p>
    <w:p>
      <w:pPr>
        <w:ind w:right="140" w:firstLine="420"/>
        <w:spacing w:after="0" w:line="255" w:lineRule="auto"/>
        <w:rPr>
          <w:sz w:val="20"/>
          <w:szCs w:val="20"/>
          <w:color w:val="auto"/>
        </w:rPr>
      </w:pPr>
      <w:r>
        <w:rPr>
          <w:rFonts w:ascii="Arial" w:cs="Arial" w:eastAsia="Arial" w:hAnsi="Arial"/>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9" w:lineRule="exact"/>
        <w:rPr>
          <w:sz w:val="20"/>
          <w:szCs w:val="20"/>
          <w:color w:val="auto"/>
        </w:rPr>
      </w:pPr>
    </w:p>
    <w:p>
      <w:pPr>
        <w:ind w:right="180" w:firstLine="420"/>
        <w:spacing w:after="0" w:line="263" w:lineRule="auto"/>
        <w:rPr>
          <w:sz w:val="20"/>
          <w:szCs w:val="20"/>
          <w:color w:val="auto"/>
        </w:rPr>
      </w:pPr>
      <w:r>
        <w:rPr>
          <w:rFonts w:ascii="Arial" w:cs="Arial" w:eastAsia="Arial" w:hAnsi="Arial"/>
          <w:sz w:val="13"/>
          <w:szCs w:val="13"/>
          <w:color w:val="auto"/>
        </w:rPr>
        <w:t>Additionally, PSLF, through its wholly -owned subsidiary, or PSLF Subsidiary, has entered into a $325.0 million (increased from $225.0 million on September 2, 2022) senior secured revolving credit facility, or the PSLF Credit Facility, with BNP Paribas, which bears interest at SOFR (or an alternative risk-free interest rate index) plus 260 basis points during the investment period and is subject to leverage and borrowing base restrictions.</w:t>
      </w:r>
    </w:p>
    <w:p>
      <w:pPr>
        <w:spacing w:after="0" w:line="133" w:lineRule="exact"/>
        <w:rPr>
          <w:sz w:val="20"/>
          <w:szCs w:val="20"/>
          <w:color w:val="auto"/>
        </w:rPr>
      </w:pPr>
    </w:p>
    <w:p>
      <w:pPr>
        <w:ind w:right="140" w:firstLine="420"/>
        <w:spacing w:after="0" w:line="255" w:lineRule="auto"/>
        <w:rPr>
          <w:sz w:val="20"/>
          <w:szCs w:val="20"/>
          <w:color w:val="auto"/>
        </w:rPr>
      </w:pPr>
      <w:r>
        <w:rPr>
          <w:rFonts w:ascii="Arial" w:cs="Arial" w:eastAsia="Arial" w:hAnsi="Arial"/>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tcPr>
          <w:p>
            <w:pPr>
              <w:ind w:left="420"/>
              <w:spacing w:after="0"/>
              <w:rPr>
                <w:sz w:val="20"/>
                <w:szCs w:val="20"/>
                <w:color w:val="auto"/>
              </w:rPr>
            </w:pPr>
            <w:r>
              <w:rPr>
                <w:rFonts w:ascii="Arial" w:cs="Arial" w:eastAsia="Arial" w:hAnsi="Arial"/>
                <w:sz w:val="13"/>
                <w:szCs w:val="13"/>
                <w:color w:val="auto"/>
              </w:rPr>
              <w:t>Below is a summary of PSLF’s portfolio at fair value:</w:t>
            </w:r>
          </w:p>
        </w:tc>
        <w:tc>
          <w:tcPr>
            <w:tcW w:w="1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54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5460" w:type="dxa"/>
            <w:vAlign w:val="bottom"/>
          </w:tcPr>
          <w:p>
            <w:pPr>
              <w:ind w:left="20"/>
              <w:spacing w:after="0"/>
              <w:rPr>
                <w:sz w:val="20"/>
                <w:szCs w:val="20"/>
                <w:color w:val="auto"/>
              </w:rPr>
            </w:pPr>
            <w:r>
              <w:rPr>
                <w:rFonts w:ascii="Arial" w:cs="Arial" w:eastAsia="Arial" w:hAnsi="Arial"/>
                <w:sz w:val="13"/>
                <w:szCs w:val="13"/>
                <w:color w:val="auto"/>
              </w:rPr>
              <w:t>($ in thousands)</w:t>
            </w:r>
          </w:p>
        </w:tc>
        <w:tc>
          <w:tcPr>
            <w:tcW w:w="1940" w:type="dxa"/>
            <w:vAlign w:val="bottom"/>
          </w:tcPr>
          <w:p>
            <w:pPr>
              <w:spacing w:after="0"/>
              <w:rPr>
                <w:sz w:val="15"/>
                <w:szCs w:val="15"/>
                <w:color w:val="auto"/>
              </w:rPr>
            </w:pPr>
          </w:p>
        </w:tc>
        <w:tc>
          <w:tcPr>
            <w:tcW w:w="1520" w:type="dxa"/>
            <w:vAlign w:val="bottom"/>
          </w:tcPr>
          <w:p>
            <w:pPr>
              <w:jc w:val="right"/>
              <w:ind w:right="414"/>
              <w:spacing w:after="0"/>
              <w:rPr>
                <w:sz w:val="20"/>
                <w:szCs w:val="20"/>
                <w:color w:val="auto"/>
              </w:rPr>
            </w:pPr>
            <w:r>
              <w:rPr>
                <w:rFonts w:ascii="Arial" w:cs="Arial" w:eastAsia="Arial" w:hAnsi="Arial"/>
                <w:sz w:val="13"/>
                <w:szCs w:val="13"/>
                <w:b w:val="1"/>
                <w:bCs w:val="1"/>
                <w:color w:val="auto"/>
              </w:rPr>
              <w:t>March 31, 2023</w:t>
            </w:r>
          </w:p>
        </w:tc>
        <w:tc>
          <w:tcPr>
            <w:tcW w:w="18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Arial" w:cs="Arial" w:eastAsia="Arial" w:hAnsi="Arial"/>
                <w:sz w:val="13"/>
                <w:szCs w:val="13"/>
                <w:b w:val="1"/>
                <w:bCs w:val="1"/>
                <w:color w:val="auto"/>
              </w:rPr>
              <w:t>September 30, 2022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investments</w:t>
            </w:r>
          </w:p>
        </w:tc>
        <w:tc>
          <w:tcPr>
            <w:tcW w:w="194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747,561</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730,108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rPr>
                <w:sz w:val="20"/>
                <w:szCs w:val="20"/>
                <w:color w:val="auto"/>
              </w:rPr>
            </w:pPr>
            <w:r>
              <w:rPr>
                <w:rFonts w:ascii="Arial" w:cs="Arial" w:eastAsia="Arial" w:hAnsi="Arial"/>
                <w:sz w:val="13"/>
                <w:szCs w:val="13"/>
                <w:color w:val="auto"/>
              </w:rPr>
              <w:t>Weighted average cost yield on income producing investments</w:t>
            </w:r>
          </w:p>
        </w:tc>
        <w:tc>
          <w:tcPr>
            <w:tcW w:w="1940" w:type="dxa"/>
            <w:vAlign w:val="bottom"/>
          </w:tcPr>
          <w:p>
            <w:pPr>
              <w:spacing w:after="0"/>
              <w:rPr>
                <w:sz w:val="15"/>
                <w:szCs w:val="15"/>
                <w:color w:val="auto"/>
              </w:rPr>
            </w:pPr>
          </w:p>
        </w:tc>
        <w:tc>
          <w:tcPr>
            <w:tcW w:w="1520" w:type="dxa"/>
            <w:vAlign w:val="bottom"/>
          </w:tcPr>
          <w:p>
            <w:pPr>
              <w:jc w:val="right"/>
              <w:ind w:right="14"/>
              <w:spacing w:after="0"/>
              <w:rPr>
                <w:sz w:val="20"/>
                <w:szCs w:val="20"/>
                <w:color w:val="auto"/>
              </w:rPr>
            </w:pPr>
            <w:r>
              <w:rPr>
                <w:rFonts w:ascii="Arial" w:cs="Arial" w:eastAsia="Arial" w:hAnsi="Arial"/>
                <w:sz w:val="13"/>
                <w:szCs w:val="13"/>
                <w:color w:val="auto"/>
              </w:rPr>
              <w:t>11.3 %</w:t>
            </w:r>
          </w:p>
        </w:tc>
        <w:tc>
          <w:tcPr>
            <w:tcW w:w="1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85"/>
        </w:trPr>
        <w:tc>
          <w:tcPr>
            <w:tcW w:w="5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Number of portfolio companies in PSLF</w:t>
            </w:r>
          </w:p>
        </w:tc>
        <w:tc>
          <w:tcPr>
            <w:tcW w:w="1940" w:type="dxa"/>
            <w:vAlign w:val="bottom"/>
            <w:shd w:val="clear" w:color="auto" w:fill="CCECFF"/>
          </w:tcPr>
          <w:p>
            <w:pPr>
              <w:spacing w:after="0"/>
              <w:rPr>
                <w:sz w:val="16"/>
                <w:szCs w:val="16"/>
                <w:color w:val="auto"/>
              </w:rPr>
            </w:pPr>
          </w:p>
        </w:tc>
        <w:tc>
          <w:tcPr>
            <w:tcW w:w="152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86</w:t>
            </w:r>
          </w:p>
        </w:tc>
        <w:tc>
          <w:tcPr>
            <w:tcW w:w="180" w:type="dxa"/>
            <w:vAlign w:val="bottom"/>
            <w:shd w:val="clear" w:color="auto" w:fill="CCECFF"/>
          </w:tcPr>
          <w:p>
            <w:pPr>
              <w:spacing w:after="0"/>
              <w:rPr>
                <w:sz w:val="16"/>
                <w:szCs w:val="16"/>
                <w:color w:val="auto"/>
              </w:rPr>
            </w:pP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rPr>
                <w:sz w:val="20"/>
                <w:szCs w:val="20"/>
                <w:color w:val="auto"/>
              </w:rPr>
            </w:pPr>
            <w:r>
              <w:rPr>
                <w:rFonts w:ascii="Arial" w:cs="Arial" w:eastAsia="Arial" w:hAnsi="Arial"/>
                <w:sz w:val="13"/>
                <w:szCs w:val="13"/>
                <w:color w:val="auto"/>
              </w:rPr>
              <w:t>Largest portfolio company investment at fair value</w:t>
            </w:r>
          </w:p>
        </w:tc>
        <w:tc>
          <w:tcPr>
            <w:tcW w:w="1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4"/>
              <w:spacing w:after="0"/>
              <w:rPr>
                <w:sz w:val="20"/>
                <w:szCs w:val="20"/>
                <w:color w:val="auto"/>
              </w:rPr>
            </w:pPr>
            <w:r>
              <w:rPr>
                <w:rFonts w:ascii="Arial" w:cs="Arial" w:eastAsia="Arial" w:hAnsi="Arial"/>
                <w:sz w:val="13"/>
                <w:szCs w:val="13"/>
                <w:color w:val="auto"/>
              </w:rPr>
              <w:t>19,750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34"/>
              <w:spacing w:after="0"/>
              <w:rPr>
                <w:sz w:val="20"/>
                <w:szCs w:val="20"/>
                <w:color w:val="auto"/>
              </w:rPr>
            </w:pPr>
            <w:r>
              <w:rPr>
                <w:rFonts w:ascii="Arial" w:cs="Arial" w:eastAsia="Arial" w:hAnsi="Arial"/>
                <w:sz w:val="13"/>
                <w:szCs w:val="13"/>
                <w:color w:val="auto"/>
              </w:rPr>
              <w:t>19,906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of five largest portfolio company investments at fair value</w:t>
            </w:r>
          </w:p>
        </w:tc>
        <w:tc>
          <w:tcPr>
            <w:tcW w:w="194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97,638</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98,502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600"/>
          </w:cols>
          <w:pgMar w:left="660" w:top="554" w:right="640" w:bottom="1440" w:gutter="0" w:footer="0" w:header="0"/>
        </w:sectPr>
      </w:pP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ectPr>
          <w:pgSz w:w="11900" w:h="16840" w:orient="portrait"/>
          <w:cols w:equalWidth="0" w:num="1">
            <w:col w:w="10600"/>
          </w:cols>
          <w:pgMar w:left="660" w:top="554" w:right="640" w:bottom="1440" w:gutter="0" w:footer="0" w:header="0"/>
          <w:type w:val="continuous"/>
        </w:sectPr>
      </w:pPr>
    </w:p>
    <w:bookmarkStart w:id="24" w:name="page25"/>
    <w:bookmarkEnd w:id="24"/>
    <w:p>
      <w:pPr>
        <w:jc w:val="center"/>
        <w:ind w:right="4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3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Below is a listing of PSLF’s individual investments as of March 31, 2023 ($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jc w:val="center"/>
              <w:ind w:right="52"/>
              <w:spacing w:after="0"/>
              <w:rPr>
                <w:sz w:val="20"/>
                <w:szCs w:val="20"/>
                <w:color w:val="auto"/>
              </w:rPr>
            </w:pPr>
            <w:r>
              <w:rPr>
                <w:rFonts w:ascii="Arial" w:cs="Arial" w:eastAsia="Arial" w:hAnsi="Arial"/>
                <w:sz w:val="10"/>
                <w:szCs w:val="10"/>
                <w:b w:val="1"/>
                <w:bCs w:val="1"/>
                <w:color w:val="auto"/>
                <w:w w:val="95"/>
              </w:rPr>
              <w:t>Basis Point</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98"/>
              </w:rPr>
              <w:t>Spread Above</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Maturity</w:t>
            </w:r>
          </w:p>
        </w:tc>
        <w:tc>
          <w:tcPr>
            <w:tcW w:w="2360" w:type="dxa"/>
            <w:vAlign w:val="bottom"/>
          </w:tcPr>
          <w:p>
            <w:pPr>
              <w:jc w:val="center"/>
              <w:ind w:right="12"/>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600" w:type="dxa"/>
            <w:vAlign w:val="bottom"/>
          </w:tcPr>
          <w:p>
            <w:pPr>
              <w:jc w:val="right"/>
              <w:ind w:right="252"/>
              <w:spacing w:after="0"/>
              <w:rPr>
                <w:sz w:val="20"/>
                <w:szCs w:val="20"/>
                <w:color w:val="auto"/>
              </w:rPr>
            </w:pPr>
            <w:r>
              <w:rPr>
                <w:rFonts w:ascii="Arial" w:cs="Arial" w:eastAsia="Arial" w:hAnsi="Arial"/>
                <w:sz w:val="10"/>
                <w:szCs w:val="10"/>
                <w:b w:val="1"/>
                <w:bCs w:val="1"/>
                <w:color w:val="auto"/>
              </w:rPr>
              <w:t>Par</w:t>
            </w:r>
          </w:p>
        </w:tc>
        <w:tc>
          <w:tcPr>
            <w:tcW w:w="720" w:type="dxa"/>
            <w:vAlign w:val="bottom"/>
          </w:tcPr>
          <w:p>
            <w:pPr>
              <w:jc w:val="right"/>
              <w:ind w:right="212"/>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2"/>
                <w:szCs w:val="12"/>
                <w:color w:val="auto"/>
              </w:rPr>
            </w:pPr>
          </w:p>
        </w:tc>
        <w:tc>
          <w:tcPr>
            <w:tcW w:w="700" w:type="dxa"/>
            <w:vAlign w:val="bottom"/>
          </w:tcPr>
          <w:p>
            <w:pPr>
              <w:jc w:val="right"/>
              <w:ind w:right="112"/>
              <w:spacing w:after="0"/>
              <w:rPr>
                <w:sz w:val="20"/>
                <w:szCs w:val="20"/>
                <w:color w:val="auto"/>
              </w:rPr>
            </w:pPr>
            <w:r>
              <w:rPr>
                <w:rFonts w:ascii="Arial" w:cs="Arial" w:eastAsia="Arial" w:hAnsi="Arial"/>
                <w:sz w:val="10"/>
                <w:szCs w:val="10"/>
                <w:b w:val="1"/>
                <w:bCs w:val="1"/>
                <w:color w:val="auto"/>
                <w:w w:val="90"/>
              </w:rPr>
              <w:t>Fair Value</w:t>
            </w:r>
            <w:r>
              <w:rPr>
                <w:rFonts w:ascii="Arial" w:cs="Arial" w:eastAsia="Arial" w:hAnsi="Arial"/>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- 847.4%</w:t>
            </w:r>
          </w:p>
        </w:tc>
        <w:tc>
          <w:tcPr>
            <w:tcW w:w="9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A1 Garage Merger Sub,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12/22/2028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15,000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   14,726</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14,775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Ad.net Acquisition,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5/7/2026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4,913</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4,913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4,876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Alpine Acquisition Corp II</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11/30/2026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Containers, Packaging and Glass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10.45 %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14,912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14,574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14,316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Altamira Technologies,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7/24/2025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10.83 %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846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840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846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Amsive Holding Corporation (f/k/a Vision Purchaser Corporation)</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6/10/2025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11.30 %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14,031</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13,919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13,820</w:t>
            </w:r>
          </w:p>
        </w:tc>
        <w:tc>
          <w:tcPr>
            <w:tcW w:w="0" w:type="dxa"/>
            <w:vAlign w:val="bottom"/>
          </w:tcPr>
          <w:p>
            <w:pPr>
              <w:spacing w:after="0"/>
              <w:rPr>
                <w:sz w:val="1"/>
                <w:szCs w:val="1"/>
                <w:color w:val="auto"/>
              </w:rPr>
            </w:pPr>
          </w:p>
        </w:tc>
      </w:tr>
      <w:tr>
        <w:trPr>
          <w:trHeight w:val="192"/>
        </w:trPr>
        <w:tc>
          <w:tcPr>
            <w:tcW w:w="3060" w:type="dxa"/>
            <w:vAlign w:val="bottom"/>
          </w:tcPr>
          <w:p>
            <w:pPr>
              <w:ind w:left="20"/>
              <w:spacing w:after="0"/>
              <w:rPr>
                <w:sz w:val="20"/>
                <w:szCs w:val="20"/>
                <w:color w:val="auto"/>
              </w:rPr>
            </w:pPr>
            <w:r>
              <w:rPr>
                <w:rFonts w:ascii="Arial" w:cs="Arial" w:eastAsia="Arial" w:hAnsi="Arial"/>
                <w:sz w:val="10"/>
                <w:szCs w:val="10"/>
                <w:color w:val="auto"/>
              </w:rPr>
              <w:t>Anteriad, LLC (f/k/a MeritDirect,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5/23/2024</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line="192" w:lineRule="exact"/>
              <w:rPr>
                <w:sz w:val="20"/>
                <w:szCs w:val="20"/>
                <w:color w:val="auto"/>
              </w:rPr>
            </w:pPr>
            <w:r>
              <w:rPr>
                <w:rFonts w:ascii="Arial" w:cs="Arial" w:eastAsia="Arial" w:hAnsi="Arial"/>
                <w:sz w:val="10"/>
                <w:szCs w:val="10"/>
                <w:color w:val="auto"/>
              </w:rPr>
              <w:t xml:space="preserve">10.55 </w:t>
            </w:r>
            <w:r>
              <w:rPr>
                <w:rFonts w:ascii="Arial" w:cs="Arial" w:eastAsia="Arial" w:hAnsi="Arial"/>
                <w:sz w:val="19"/>
                <w:szCs w:val="19"/>
                <w:color w:val="auto"/>
                <w:vertAlign w:val="subscript"/>
              </w:rPr>
              <w:t>%</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14,761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14,707</w:t>
            </w:r>
          </w:p>
        </w:tc>
        <w:tc>
          <w:tcPr>
            <w:tcW w:w="16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14,318</w:t>
            </w:r>
          </w:p>
        </w:tc>
        <w:tc>
          <w:tcPr>
            <w:tcW w:w="0" w:type="dxa"/>
            <w:vAlign w:val="bottom"/>
          </w:tcPr>
          <w:p>
            <w:pPr>
              <w:spacing w:after="0"/>
              <w:rPr>
                <w:sz w:val="1"/>
                <w:szCs w:val="1"/>
                <w:color w:val="auto"/>
              </w:rPr>
            </w:pPr>
          </w:p>
        </w:tc>
      </w:tr>
      <w:tr>
        <w:trPr>
          <w:trHeight w:val="144"/>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Any Hour Services</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7/21/2027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9,877</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9,870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9,605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Apex Service Partners,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7/31/2025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9.46 %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6,441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6,388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6,408</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B</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7/31/2025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9.77 %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3,324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3,303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3,308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Apex Service Partners, LLC - Term Loan 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7/31/2025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9.84 %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7,550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7,550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7,512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Applied Technical Services,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12/29/2026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Environmental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8,774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8,687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8,598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Arcfield Acquisition Corp.</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3/7/2028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10.62 %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11,880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11,681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11,642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Beta Plus Technologies,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7/1/2029</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9.32 %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14,963</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14,706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13,167</w:t>
            </w:r>
          </w:p>
        </w:tc>
        <w:tc>
          <w:tcPr>
            <w:tcW w:w="0" w:type="dxa"/>
            <w:vAlign w:val="bottom"/>
          </w:tcPr>
          <w:p>
            <w:pPr>
              <w:spacing w:after="0"/>
              <w:rPr>
                <w:sz w:val="1"/>
                <w:szCs w:val="1"/>
                <w:color w:val="auto"/>
              </w:rPr>
            </w:pPr>
          </w:p>
        </w:tc>
      </w:tr>
      <w:tr>
        <w:trPr>
          <w:trHeight w:val="136"/>
        </w:trPr>
        <w:tc>
          <w:tcPr>
            <w:tcW w:w="3060" w:type="dxa"/>
            <w:vAlign w:val="bottom"/>
            <w:vMerge w:val="restart"/>
          </w:tcPr>
          <w:p>
            <w:pPr>
              <w:ind w:left="20"/>
              <w:spacing w:after="0"/>
              <w:rPr>
                <w:sz w:val="20"/>
                <w:szCs w:val="20"/>
                <w:color w:val="auto"/>
              </w:rPr>
            </w:pPr>
            <w:r>
              <w:rPr>
                <w:rFonts w:ascii="Arial" w:cs="Arial" w:eastAsia="Arial" w:hAnsi="Arial"/>
                <w:sz w:val="10"/>
                <w:szCs w:val="10"/>
                <w:color w:val="auto"/>
              </w:rPr>
              <w:t>Blackhawk Industrial Distribution, Inc.</w:t>
            </w:r>
          </w:p>
        </w:tc>
        <w:tc>
          <w:tcPr>
            <w:tcW w:w="960" w:type="dxa"/>
            <w:vAlign w:val="bottom"/>
            <w:vMerge w:val="restart"/>
          </w:tcPr>
          <w:p>
            <w:pPr>
              <w:jc w:val="center"/>
              <w:ind w:left="92"/>
              <w:spacing w:after="0"/>
              <w:rPr>
                <w:sz w:val="20"/>
                <w:szCs w:val="20"/>
                <w:color w:val="auto"/>
              </w:rPr>
            </w:pPr>
            <w:r>
              <w:rPr>
                <w:rFonts w:ascii="Arial" w:cs="Arial" w:eastAsia="Arial" w:hAnsi="Arial"/>
                <w:sz w:val="10"/>
                <w:szCs w:val="10"/>
                <w:color w:val="auto"/>
                <w:w w:val="94"/>
              </w:rPr>
              <w:t>9/17/2024</w:t>
            </w:r>
          </w:p>
        </w:tc>
        <w:tc>
          <w:tcPr>
            <w:tcW w:w="2360" w:type="dxa"/>
            <w:vAlign w:val="bottom"/>
            <w:vMerge w:val="restart"/>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color w:val="auto"/>
              </w:rPr>
              <w:t>9.50 %</w:t>
            </w:r>
          </w:p>
        </w:tc>
        <w:tc>
          <w:tcPr>
            <w:tcW w:w="980" w:type="dxa"/>
            <w:vAlign w:val="bottom"/>
            <w:vMerge w:val="restart"/>
          </w:tcPr>
          <w:p>
            <w:pPr>
              <w:jc w:val="right"/>
              <w:ind w:right="112"/>
              <w:spacing w:after="0"/>
              <w:rPr>
                <w:sz w:val="20"/>
                <w:szCs w:val="20"/>
                <w:color w:val="auto"/>
              </w:rPr>
            </w:pPr>
            <w:r>
              <w:rPr>
                <w:rFonts w:ascii="Arial" w:cs="Arial" w:eastAsia="Arial" w:hAnsi="Arial"/>
                <w:sz w:val="10"/>
                <w:szCs w:val="10"/>
                <w:color w:val="auto"/>
              </w:rPr>
              <w:t>SOFR+500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17,908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17,742</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17,505</w:t>
            </w:r>
          </w:p>
        </w:tc>
        <w:tc>
          <w:tcPr>
            <w:tcW w:w="0" w:type="dxa"/>
            <w:vAlign w:val="bottom"/>
          </w:tcPr>
          <w:p>
            <w:pPr>
              <w:spacing w:after="0"/>
              <w:rPr>
                <w:sz w:val="1"/>
                <w:szCs w:val="1"/>
                <w:color w:val="auto"/>
              </w:rPr>
            </w:pPr>
          </w:p>
        </w:tc>
      </w:tr>
      <w:tr>
        <w:trPr>
          <w:trHeight w:val="52"/>
        </w:trPr>
        <w:tc>
          <w:tcPr>
            <w:tcW w:w="30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Broder Bros., Co.</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12/4/2025</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9,810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9,810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9,810</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Burgess Point Purchaser Corporation</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9/26/2029</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SOFR+525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898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837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853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6/14/2028</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17,369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17,069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17,195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CF512,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8/20/2026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10.96 %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2,962</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2,940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2,903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Connatix Buyer,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7/13/2027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8,855</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8,842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8,523</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Dr. Squatch,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8/31/2027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Personal and Non-Durable 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10.48 %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L+475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6,403</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6,396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6,307</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DRI Holding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12/21/2028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10.09 %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4,404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3,953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3,914</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DRS Holdings III,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11/3/2025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10.90 %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14,591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14,532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14,168</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Duraco Specialty Tapes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6/30/2024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Manufacturing / Basic Industries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8,098</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8,002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7,920</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ECL Entertainment,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5/1/2028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Hotels, Motels, Inns and Gaming</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12.42 %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4,535</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4,535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4,492</w:t>
            </w:r>
          </w:p>
        </w:tc>
        <w:tc>
          <w:tcPr>
            <w:tcW w:w="0" w:type="dxa"/>
            <w:vAlign w:val="bottom"/>
          </w:tcPr>
          <w:p>
            <w:pPr>
              <w:spacing w:after="0"/>
              <w:rPr>
                <w:sz w:val="1"/>
                <w:szCs w:val="1"/>
                <w:color w:val="auto"/>
              </w:rPr>
            </w:pPr>
          </w:p>
        </w:tc>
      </w:tr>
      <w:tr>
        <w:trPr>
          <w:trHeight w:val="140"/>
        </w:trPr>
        <w:tc>
          <w:tcPr>
            <w:tcW w:w="30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ECM Industries, LLC</w:t>
            </w:r>
          </w:p>
        </w:tc>
        <w:tc>
          <w:tcPr>
            <w:tcW w:w="960" w:type="dxa"/>
            <w:vAlign w:val="bottom"/>
            <w:vMerge w:val="restart"/>
            <w:shd w:val="clear" w:color="auto" w:fill="CCECFF"/>
          </w:tcPr>
          <w:p>
            <w:pPr>
              <w:jc w:val="center"/>
              <w:ind w:left="112"/>
              <w:spacing w:after="0"/>
              <w:rPr>
                <w:sz w:val="20"/>
                <w:szCs w:val="20"/>
                <w:color w:val="auto"/>
              </w:rPr>
            </w:pPr>
            <w:r>
              <w:rPr>
                <w:rFonts w:ascii="Arial" w:cs="Arial" w:eastAsia="Arial" w:hAnsi="Arial"/>
                <w:sz w:val="10"/>
                <w:szCs w:val="10"/>
                <w:color w:val="auto"/>
                <w:w w:val="95"/>
              </w:rPr>
              <w:t>12/23/2025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9.45 %</w:t>
            </w:r>
          </w:p>
        </w:tc>
        <w:tc>
          <w:tcPr>
            <w:tcW w:w="980" w:type="dxa"/>
            <w:vAlign w:val="bottom"/>
            <w:vMerge w:val="restart"/>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2,801</w:t>
            </w:r>
          </w:p>
        </w:tc>
        <w:tc>
          <w:tcPr>
            <w:tcW w:w="7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2,749</w:t>
            </w:r>
          </w:p>
        </w:tc>
        <w:tc>
          <w:tcPr>
            <w:tcW w:w="16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2,682</w:t>
            </w:r>
          </w:p>
        </w:tc>
        <w:tc>
          <w:tcPr>
            <w:tcW w:w="0" w:type="dxa"/>
            <w:vAlign w:val="bottom"/>
          </w:tcPr>
          <w:p>
            <w:pPr>
              <w:spacing w:after="0"/>
              <w:rPr>
                <w:sz w:val="1"/>
                <w:szCs w:val="1"/>
                <w:color w:val="auto"/>
              </w:rPr>
            </w:pPr>
          </w:p>
        </w:tc>
      </w:tr>
      <w:tr>
        <w:trPr>
          <w:trHeight w:val="104"/>
        </w:trPr>
        <w:tc>
          <w:tcPr>
            <w:tcW w:w="3060" w:type="dxa"/>
            <w:vAlign w:val="bottom"/>
            <w:vMerge w:val="continue"/>
            <w:shd w:val="clear" w:color="auto" w:fill="CCECFF"/>
          </w:tcPr>
          <w:p>
            <w:pPr>
              <w:spacing w:after="0"/>
              <w:rPr>
                <w:sz w:val="9"/>
                <w:szCs w:val="9"/>
                <w:color w:val="auto"/>
              </w:rPr>
            </w:pPr>
          </w:p>
        </w:tc>
        <w:tc>
          <w:tcPr>
            <w:tcW w:w="960" w:type="dxa"/>
            <w:vAlign w:val="bottom"/>
            <w:vMerge w:val="continue"/>
            <w:shd w:val="clear" w:color="auto" w:fill="CCECFF"/>
          </w:tcPr>
          <w:p>
            <w:pPr>
              <w:spacing w:after="0"/>
              <w:rPr>
                <w:sz w:val="9"/>
                <w:szCs w:val="9"/>
                <w:color w:val="auto"/>
              </w:rPr>
            </w:pPr>
          </w:p>
        </w:tc>
        <w:tc>
          <w:tcPr>
            <w:tcW w:w="2360" w:type="dxa"/>
            <w:vAlign w:val="bottom"/>
            <w:shd w:val="clear" w:color="auto" w:fill="CCECFF"/>
          </w:tcPr>
          <w:p>
            <w:pPr>
              <w:spacing w:after="0"/>
              <w:rPr>
                <w:sz w:val="9"/>
                <w:szCs w:val="9"/>
                <w:color w:val="auto"/>
              </w:rPr>
            </w:pPr>
          </w:p>
        </w:tc>
        <w:tc>
          <w:tcPr>
            <w:tcW w:w="1020" w:type="dxa"/>
            <w:vAlign w:val="bottom"/>
            <w:vMerge w:val="continue"/>
            <w:shd w:val="clear" w:color="auto" w:fill="CCECFF"/>
          </w:tcPr>
          <w:p>
            <w:pPr>
              <w:spacing w:after="0"/>
              <w:rPr>
                <w:sz w:val="9"/>
                <w:szCs w:val="9"/>
                <w:color w:val="auto"/>
              </w:rPr>
            </w:pPr>
          </w:p>
        </w:tc>
        <w:tc>
          <w:tcPr>
            <w:tcW w:w="980" w:type="dxa"/>
            <w:vAlign w:val="bottom"/>
            <w:vMerge w:val="continue"/>
            <w:shd w:val="clear" w:color="auto" w:fill="CCECFF"/>
          </w:tcPr>
          <w:p>
            <w:pPr>
              <w:spacing w:after="0"/>
              <w:rPr>
                <w:sz w:val="9"/>
                <w:szCs w:val="9"/>
                <w:color w:val="auto"/>
              </w:rPr>
            </w:pPr>
          </w:p>
        </w:tc>
        <w:tc>
          <w:tcPr>
            <w:tcW w:w="600" w:type="dxa"/>
            <w:vAlign w:val="bottom"/>
            <w:vMerge w:val="continue"/>
            <w:shd w:val="clear" w:color="auto" w:fill="CCECFF"/>
          </w:tcPr>
          <w:p>
            <w:pPr>
              <w:spacing w:after="0"/>
              <w:rPr>
                <w:sz w:val="9"/>
                <w:szCs w:val="9"/>
                <w:color w:val="auto"/>
              </w:rPr>
            </w:pPr>
          </w:p>
        </w:tc>
        <w:tc>
          <w:tcPr>
            <w:tcW w:w="720" w:type="dxa"/>
            <w:vAlign w:val="bottom"/>
            <w:vMerge w:val="continue"/>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0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EDS Buyer,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1/10/2029</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SOFR+625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6,250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6,172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6,094</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Electro Rent Corporation</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1/17/2024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10.27 %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3,732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3,606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3,632</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Exigo Intermediate II,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3/15/2027</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9,900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9,778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9,702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Fairbanks Morse Defense</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6/17/2028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6M L+475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794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751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756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3/16/2026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Banking, Finance, Insurance &amp; Real Estate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11.23 %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7,305</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7,283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6,949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8/10/2027</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10.66 %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1,964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1,933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1,945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12/31/2026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Insurance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10.39 %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6,827</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6,827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6,691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Holdco Sands Intermediate,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11/23/2028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L+800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19,817</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19,467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19,619</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HV Watterson Holdings,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12/17/2026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11.41 %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15,179</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14,991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14,769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HW Holdco,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12/10/2024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L+700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14,250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14,143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14,036</w:t>
            </w:r>
          </w:p>
        </w:tc>
        <w:tc>
          <w:tcPr>
            <w:tcW w:w="0" w:type="dxa"/>
            <w:vAlign w:val="bottom"/>
          </w:tcPr>
          <w:p>
            <w:pPr>
              <w:spacing w:after="0"/>
              <w:rPr>
                <w:sz w:val="1"/>
                <w:szCs w:val="1"/>
                <w:color w:val="auto"/>
              </w:rPr>
            </w:pPr>
          </w:p>
        </w:tc>
      </w:tr>
      <w:tr>
        <w:trPr>
          <w:trHeight w:val="164"/>
        </w:trPr>
        <w:tc>
          <w:tcPr>
            <w:tcW w:w="3060" w:type="dxa"/>
            <w:vAlign w:val="bottom"/>
          </w:tcPr>
          <w:p>
            <w:pPr>
              <w:ind w:left="20"/>
              <w:spacing w:after="0"/>
              <w:rPr>
                <w:sz w:val="20"/>
                <w:szCs w:val="20"/>
                <w:color w:val="auto"/>
              </w:rPr>
            </w:pPr>
            <w:r>
              <w:rPr>
                <w:rFonts w:ascii="Arial" w:cs="Arial" w:eastAsia="Arial" w:hAnsi="Arial"/>
                <w:sz w:val="10"/>
                <w:szCs w:val="10"/>
                <w:color w:val="auto"/>
              </w:rPr>
              <w:t>Icon Partners III, LP</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5/11/2028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9.32 %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L+475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2,316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2,008</w:t>
            </w:r>
          </w:p>
        </w:tc>
        <w:tc>
          <w:tcPr>
            <w:tcW w:w="16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1,627</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IDC Infusion Services,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12/30/2026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11.55 %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L+750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17,313</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17,090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16,707</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IG Investments Holdings,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9/22/2028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4,451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4,372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4,384</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11/15/2027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10.37 %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5,594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5,503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5,426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12/7/2023</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11.91 %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19,837</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19,589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19,441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Infinity Home Services Holdco,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12/28/2028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11.73 %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11,109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10,910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10,886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Infolinks Media Buyco,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11/1/2026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10.66 %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6,396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6,396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6,396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Integrity Marketing Acquisition,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8/27/2025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Insurance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11.00 %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19,950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19,881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19,750</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K2 Pure Solutions NoCal, L.P.</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12/20/2023</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12.91 %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SOFR+800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13,418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13,351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13,418</w:t>
            </w: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Leisure, Amusement, Motion Pictures,</w:t>
            </w:r>
          </w:p>
        </w:tc>
        <w:tc>
          <w:tcPr>
            <w:tcW w:w="10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10/31/2024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3"/>
              </w:rPr>
              <w:t>Entertainment</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SOFR+603</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2,579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2,573</w:t>
            </w: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2,543</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Lash OpCo,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2/18/2027</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11.17 %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L+650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19,824</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19,642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19,428</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Lightspeed Buyer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2/3/2026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L+475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12,282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12,089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11,975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LJ Avalon Holdings,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1/31/2030</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7"/>
              </w:rPr>
              <w:t>Environmental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11.33 %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6,350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6,236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6,223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MAG DS Corp.</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4/1/2027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5,540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5,139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5,042</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Magenta Buyer,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7/31/2028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6"/>
              </w:rPr>
              <w:t>Software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9.58 %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3,804</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3,551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3,123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Mars Acquisition Holdings Corp.</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5/14/2026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7,884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7,835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7,805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MBS Holdings,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4/16/2027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7,369</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7,295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7,295</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Meadowlark Acquirer,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12/10/2027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10.41 %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2,968</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2,916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2,938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Municipal Emergency Services,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9/28/2027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10.55 %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4,133</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4,076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3,959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NBH Group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8/19/2026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7,467</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7,399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7,467</w:t>
            </w:r>
          </w:p>
        </w:tc>
        <w:tc>
          <w:tcPr>
            <w:tcW w:w="0" w:type="dxa"/>
            <w:vAlign w:val="bottom"/>
          </w:tcPr>
          <w:p>
            <w:pPr>
              <w:spacing w:after="0"/>
              <w:rPr>
                <w:sz w:val="1"/>
                <w:szCs w:val="1"/>
                <w:color w:val="auto"/>
              </w:rPr>
            </w:pPr>
          </w:p>
        </w:tc>
      </w:tr>
      <w:tr>
        <w:trPr>
          <w:trHeight w:val="136"/>
        </w:trPr>
        <w:tc>
          <w:tcPr>
            <w:tcW w:w="3060" w:type="dxa"/>
            <w:vAlign w:val="bottom"/>
          </w:tcPr>
          <w:p>
            <w:pPr>
              <w:ind w:left="20"/>
              <w:spacing w:after="0"/>
              <w:rPr>
                <w:sz w:val="20"/>
                <w:szCs w:val="20"/>
                <w:color w:val="auto"/>
              </w:rPr>
            </w:pPr>
            <w:r>
              <w:rPr>
                <w:rFonts w:ascii="Arial" w:cs="Arial" w:eastAsia="Arial" w:hAnsi="Arial"/>
                <w:sz w:val="10"/>
                <w:szCs w:val="10"/>
                <w:color w:val="auto"/>
              </w:rPr>
              <w:t>Owl Acquisition, LLC</w:t>
            </w:r>
          </w:p>
        </w:tc>
        <w:tc>
          <w:tcPr>
            <w:tcW w:w="960" w:type="dxa"/>
            <w:vAlign w:val="bottom"/>
            <w:vMerge w:val="restart"/>
          </w:tcPr>
          <w:p>
            <w:pPr>
              <w:jc w:val="center"/>
              <w:ind w:left="92"/>
              <w:spacing w:after="0"/>
              <w:rPr>
                <w:sz w:val="20"/>
                <w:szCs w:val="20"/>
                <w:color w:val="auto"/>
              </w:rPr>
            </w:pPr>
            <w:r>
              <w:rPr>
                <w:rFonts w:ascii="Arial" w:cs="Arial" w:eastAsia="Arial" w:hAnsi="Arial"/>
                <w:sz w:val="10"/>
                <w:szCs w:val="10"/>
                <w:color w:val="auto"/>
                <w:w w:val="97"/>
              </w:rPr>
              <w:t>2/4/2028</w:t>
            </w:r>
          </w:p>
        </w:tc>
        <w:tc>
          <w:tcPr>
            <w:tcW w:w="2360" w:type="dxa"/>
            <w:vAlign w:val="bottom"/>
            <w:vMerge w:val="restart"/>
          </w:tcPr>
          <w:p>
            <w:pPr>
              <w:jc w:val="center"/>
              <w:ind w:right="12"/>
              <w:spacing w:after="0"/>
              <w:rPr>
                <w:sz w:val="20"/>
                <w:szCs w:val="20"/>
                <w:color w:val="auto"/>
              </w:rPr>
            </w:pPr>
            <w:r>
              <w:rPr>
                <w:rFonts w:ascii="Arial" w:cs="Arial" w:eastAsia="Arial" w:hAnsi="Arial"/>
                <w:sz w:val="10"/>
                <w:szCs w:val="10"/>
                <w:color w:val="auto"/>
                <w:w w:val="94"/>
              </w:rPr>
              <w:t>Education</w:t>
            </w: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vMerge w:val="restart"/>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color w:val="auto"/>
              </w:rPr>
              <w:t>3,805</w:t>
            </w: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3,702</w:t>
            </w:r>
          </w:p>
        </w:tc>
        <w:tc>
          <w:tcPr>
            <w:tcW w:w="160" w:type="dxa"/>
            <w:vAlign w:val="bottom"/>
          </w:tcPr>
          <w:p>
            <w:pPr>
              <w:spacing w:after="0"/>
              <w:rPr>
                <w:sz w:val="11"/>
                <w:szCs w:val="11"/>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3,710</w:t>
            </w:r>
          </w:p>
        </w:tc>
        <w:tc>
          <w:tcPr>
            <w:tcW w:w="0" w:type="dxa"/>
            <w:vAlign w:val="bottom"/>
          </w:tcPr>
          <w:p>
            <w:pPr>
              <w:spacing w:after="0"/>
              <w:rPr>
                <w:sz w:val="1"/>
                <w:szCs w:val="1"/>
                <w:color w:val="auto"/>
              </w:rPr>
            </w:pPr>
          </w:p>
        </w:tc>
      </w:tr>
      <w:tr>
        <w:trPr>
          <w:trHeight w:val="52"/>
        </w:trPr>
        <w:tc>
          <w:tcPr>
            <w:tcW w:w="30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Ox Two, LLC (New Issue)</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5/18/2026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12.41 %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L+650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4,937</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4,893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4,789</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11/9/2027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11.34 %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8,591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8,459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8,204</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PlayPower,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5/8/2026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L+525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2,565</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2,485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2,309</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11/19/2026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11.21 %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3,331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3,278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3,281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 - Unfunded Term Loan</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11/19/2026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0.00 %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Radius Aerospace,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3/31/2025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10.80 %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12,730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12,650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12,476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Rancho Health MSO,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12/18/2025</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L+450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5,154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5,154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5,154</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2/28/2028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10.78 %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4,950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4,885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4,721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1/29/2026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10.98 %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L+700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9,800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9,408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Research Now Group, LLC and Dynata,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12/20/2024</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10.31 %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14,504</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14,424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10,996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Riverpoint Medical,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6/20/2025</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3,192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3,175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3,144</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Riverside Assessments,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3/10/2025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4"/>
              </w:rPr>
              <w:t>Education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10.48 %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9,908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9,846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9,759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1/3/2025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6,859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6,797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6,825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12/20/2024</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12.26 %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SOFR+300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4,857</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4,857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4,772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Buyer,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6/13/2029</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11.05 %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14,925</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14,734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14,552</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Signature Systems Holding Company</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5/3/2024</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11.55 %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L+450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11,576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11,531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11,576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Solutionreach,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1/17/2024</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Communications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6M L+675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11,320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11,299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10,777</w:t>
            </w:r>
          </w:p>
        </w:tc>
        <w:tc>
          <w:tcPr>
            <w:tcW w:w="0" w:type="dxa"/>
            <w:vAlign w:val="bottom"/>
          </w:tcPr>
          <w:p>
            <w:pPr>
              <w:spacing w:after="0"/>
              <w:rPr>
                <w:sz w:val="1"/>
                <w:szCs w:val="1"/>
                <w:color w:val="auto"/>
              </w:rPr>
            </w:pPr>
          </w:p>
        </w:tc>
      </w:tr>
      <w:tr>
        <w:trPr>
          <w:trHeight w:val="136"/>
        </w:trPr>
        <w:tc>
          <w:tcPr>
            <w:tcW w:w="3060" w:type="dxa"/>
            <w:vAlign w:val="bottom"/>
          </w:tcPr>
          <w:p>
            <w:pPr>
              <w:ind w:left="20"/>
              <w:spacing w:after="0"/>
              <w:rPr>
                <w:sz w:val="20"/>
                <w:szCs w:val="20"/>
                <w:color w:val="auto"/>
              </w:rPr>
            </w:pPr>
            <w:r>
              <w:rPr>
                <w:rFonts w:ascii="Arial" w:cs="Arial" w:eastAsia="Arial" w:hAnsi="Arial"/>
                <w:sz w:val="10"/>
                <w:szCs w:val="10"/>
                <w:color w:val="auto"/>
              </w:rPr>
              <w:t>STV Group Incorporated</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12/11/2026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SOFR+525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12,099</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12,039</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12,038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554" w:right="680"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type w:val="continuous"/>
        </w:sectPr>
      </w:pPr>
    </w:p>
    <w:bookmarkStart w:id="25" w:name="page26"/>
    <w:bookmarkEnd w:id="25"/>
    <w:p>
      <w:pPr>
        <w:jc w:val="center"/>
        <w:ind w:right="4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jc w:val="center"/>
              <w:ind w:right="52"/>
              <w:spacing w:after="0"/>
              <w:rPr>
                <w:sz w:val="20"/>
                <w:szCs w:val="20"/>
                <w:color w:val="auto"/>
              </w:rPr>
            </w:pPr>
            <w:r>
              <w:rPr>
                <w:rFonts w:ascii="Arial" w:cs="Arial" w:eastAsia="Arial" w:hAnsi="Arial"/>
                <w:sz w:val="10"/>
                <w:szCs w:val="10"/>
                <w:b w:val="1"/>
                <w:bCs w:val="1"/>
                <w:color w:val="auto"/>
                <w:w w:val="95"/>
              </w:rPr>
              <w:t>Basis Point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6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98"/>
              </w:rPr>
              <w:t>Spread Above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6"/>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20" w:type="dxa"/>
            <w:vAlign w:val="bottom"/>
          </w:tcPr>
          <w:p>
            <w:pPr>
              <w:ind w:left="280"/>
              <w:spacing w:after="0"/>
              <w:rPr>
                <w:sz w:val="20"/>
                <w:szCs w:val="20"/>
                <w:color w:val="auto"/>
              </w:rPr>
            </w:pPr>
            <w:r>
              <w:rPr>
                <w:rFonts w:ascii="Arial" w:cs="Arial" w:eastAsia="Arial" w:hAnsi="Arial"/>
                <w:sz w:val="10"/>
                <w:szCs w:val="10"/>
                <w:b w:val="1"/>
                <w:bCs w:val="1"/>
                <w:color w:val="auto"/>
              </w:rPr>
              <w:t>Maturity</w:t>
            </w:r>
          </w:p>
        </w:tc>
        <w:tc>
          <w:tcPr>
            <w:tcW w:w="2280" w:type="dxa"/>
            <w:vAlign w:val="bottom"/>
          </w:tcPr>
          <w:p>
            <w:pPr>
              <w:jc w:val="center"/>
              <w:ind w:right="12"/>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8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Par</w:t>
            </w:r>
          </w:p>
        </w:tc>
        <w:tc>
          <w:tcPr>
            <w:tcW w:w="420" w:type="dxa"/>
            <w:vAlign w:val="bottom"/>
          </w:tcPr>
          <w:p>
            <w:pPr>
              <w:jc w:val="right"/>
              <w:ind w:right="112"/>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0"/>
              </w:rPr>
              <w:t>Fair Value</w:t>
            </w:r>
            <w:r>
              <w:rPr>
                <w:rFonts w:ascii="Arial" w:cs="Arial" w:eastAsia="Arial" w:hAnsi="Arial"/>
                <w:sz w:val="12"/>
                <w:szCs w:val="12"/>
                <w:b w:val="1"/>
                <w:bCs w:val="1"/>
                <w:color w:val="auto"/>
                <w:w w:val="90"/>
                <w:vertAlign w:val="superscript"/>
              </w:rPr>
              <w:t>(2)</w:t>
            </w:r>
          </w:p>
        </w:tc>
      </w:tr>
      <w:tr>
        <w:trPr>
          <w:trHeight w:val="113"/>
        </w:trPr>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4"/>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Summit Behavioral Healthcare,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11/24/2028</w:t>
            </w:r>
          </w:p>
        </w:tc>
        <w:tc>
          <w:tcPr>
            <w:tcW w:w="22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9.71 %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L+475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3,590</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3,396</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3,465</w:t>
            </w:r>
          </w:p>
        </w:tc>
        <w:tc>
          <w:tcPr>
            <w:tcW w:w="80" w:type="dxa"/>
            <w:vAlign w:val="bottom"/>
            <w:shd w:val="clear" w:color="auto" w:fill="CCECFF"/>
          </w:tcPr>
          <w:p>
            <w:pPr>
              <w:spacing w:after="0"/>
              <w:rPr>
                <w:sz w:val="12"/>
                <w:szCs w:val="12"/>
                <w:color w:val="auto"/>
              </w:rPr>
            </w:pPr>
          </w:p>
        </w:tc>
      </w:tr>
      <w:tr>
        <w:trPr>
          <w:trHeight w:val="135"/>
        </w:trPr>
        <w:tc>
          <w:tcPr>
            <w:tcW w:w="3140" w:type="dxa"/>
            <w:vAlign w:val="bottom"/>
          </w:tcPr>
          <w:p>
            <w:pPr>
              <w:ind w:left="20"/>
              <w:spacing w:after="0"/>
              <w:rPr>
                <w:sz w:val="20"/>
                <w:szCs w:val="20"/>
                <w:color w:val="auto"/>
              </w:rPr>
            </w:pPr>
            <w:r>
              <w:rPr>
                <w:rFonts w:ascii="Arial" w:cs="Arial" w:eastAsia="Arial" w:hAnsi="Arial"/>
                <w:sz w:val="10"/>
                <w:szCs w:val="10"/>
                <w:color w:val="auto"/>
              </w:rPr>
              <w:t>System Planning and Analysis, Inc. (f/k/a Management Consulting &amp;</w:t>
            </w: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3140" w:type="dxa"/>
            <w:vAlign w:val="bottom"/>
          </w:tcPr>
          <w:p>
            <w:pPr>
              <w:ind w:left="20"/>
              <w:spacing w:after="0"/>
              <w:rPr>
                <w:sz w:val="20"/>
                <w:szCs w:val="20"/>
                <w:color w:val="auto"/>
              </w:rPr>
            </w:pPr>
            <w:r>
              <w:rPr>
                <w:rFonts w:ascii="Arial" w:cs="Arial" w:eastAsia="Arial" w:hAnsi="Arial"/>
                <w:sz w:val="10"/>
                <w:szCs w:val="10"/>
                <w:color w:val="auto"/>
              </w:rPr>
              <w:t>Research, LLC)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8/16/2027</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10.69 %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SOFR+575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16,047</w:t>
            </w:r>
          </w:p>
        </w:tc>
        <w:tc>
          <w:tcPr>
            <w:tcW w:w="1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15,742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15,806</w:t>
            </w:r>
          </w:p>
        </w:tc>
        <w:tc>
          <w:tcPr>
            <w:tcW w:w="80" w:type="dxa"/>
            <w:vAlign w:val="bottom"/>
          </w:tcPr>
          <w:p>
            <w:pPr>
              <w:spacing w:after="0"/>
              <w:rPr>
                <w:sz w:val="10"/>
                <w:szCs w:val="10"/>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Team Services Group,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11/24/2028</w:t>
            </w:r>
          </w:p>
        </w:tc>
        <w:tc>
          <w:tcPr>
            <w:tcW w:w="22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SOFR+500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696</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667</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676</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Teneo Holdings LLC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7/18/2025</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6"/>
              </w:rPr>
              <w:t>Financial Services</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SOFR+525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2,951</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2,941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2,911</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Aegis Technologies Group,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10/31/2025</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11.50 %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11,152</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11,065</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10,928</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The Bluebird Group LLC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7/27/2026</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12.15 %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L+650</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5,446</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5,488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5,370</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Vertex Companies,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8/30/2027</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SOFR+525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4,508</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4,467</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4,414</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11/24/2025</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6"/>
              </w:rPr>
              <w:t>Food</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9.24 %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L+525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5,508</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5,385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5,403</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TVC Enterprises,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3/26/2026</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Transportation</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17,019</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16,899</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16,763</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TWS Acquisition Corporation</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6/16/2025</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4"/>
              </w:rPr>
              <w:t>Education</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11.39 %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L+625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7,949</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7,924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7,949</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Tyto Athene,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4/3/2028</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10.24 %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SOFR+550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12,003</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11,888</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10,887</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UBEO, LLC</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4/3/2024</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5"/>
              </w:rPr>
              <w:t>Printing and Publishing</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9.48 %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L+450</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4,650</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4,639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4,580</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Unique Indoor Comfort,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5/24/2027</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Home and Office Furnishings, Housewares</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L+525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9,925</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9,805</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9,865</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2/27/2026</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10.80 %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SOFR+575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11,449</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11,378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11,163</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3/1/2024</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12.14 %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L+725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19,848</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19,636</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19,401</w:t>
            </w:r>
          </w:p>
        </w:tc>
        <w:tc>
          <w:tcPr>
            <w:tcW w:w="80" w:type="dxa"/>
            <w:vAlign w:val="bottom"/>
            <w:shd w:val="clear" w:color="auto" w:fill="CCECFF"/>
          </w:tcPr>
          <w:p>
            <w:pPr>
              <w:spacing w:after="0"/>
              <w:rPr>
                <w:sz w:val="12"/>
                <w:szCs w:val="12"/>
                <w:color w:val="auto"/>
              </w:rPr>
            </w:pPr>
          </w:p>
        </w:tc>
      </w:tr>
      <w:tr>
        <w:trPr>
          <w:trHeight w:val="144"/>
        </w:trPr>
        <w:tc>
          <w:tcPr>
            <w:tcW w:w="3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761,289</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747,561</w:t>
            </w:r>
          </w:p>
        </w:tc>
        <w:tc>
          <w:tcPr>
            <w:tcW w:w="80" w:type="dxa"/>
            <w:vAlign w:val="bottom"/>
            <w:shd w:val="clear" w:color="auto" w:fill="CCECFF"/>
          </w:tcPr>
          <w:p>
            <w:pPr>
              <w:spacing w:after="0"/>
              <w:rPr>
                <w:sz w:val="12"/>
                <w:szCs w:val="12"/>
                <w:color w:val="auto"/>
              </w:rPr>
            </w:pPr>
          </w:p>
        </w:tc>
      </w:tr>
      <w:tr>
        <w:trPr>
          <w:trHeight w:val="144"/>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Total Investments - 847.4%</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Cash and Cash Equivalents - 46.9%</w:t>
            </w:r>
          </w:p>
        </w:tc>
        <w:tc>
          <w:tcPr>
            <w:tcW w:w="92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BlackRock Federal FD Institutional 30</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41,361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41,361</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92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41,361</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41,361</w:t>
            </w:r>
          </w:p>
        </w:tc>
        <w:tc>
          <w:tcPr>
            <w:tcW w:w="80" w:type="dxa"/>
            <w:vAlign w:val="bottom"/>
            <w:shd w:val="clear" w:color="auto" w:fill="CCECFF"/>
          </w:tcPr>
          <w:p>
            <w:pPr>
              <w:spacing w:after="0"/>
              <w:rPr>
                <w:sz w:val="12"/>
                <w:szCs w:val="12"/>
                <w:color w:val="auto"/>
              </w:rPr>
            </w:pPr>
          </w:p>
        </w:tc>
      </w:tr>
      <w:tr>
        <w:trPr>
          <w:trHeight w:val="144"/>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Total Investments and Cash Equivalents - 894.2%</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802,650</w:t>
            </w: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788,922</w:t>
            </w:r>
          </w:p>
        </w:tc>
        <w:tc>
          <w:tcPr>
            <w:tcW w:w="80" w:type="dxa"/>
            <w:vAlign w:val="bottom"/>
          </w:tcPr>
          <w:p>
            <w:pPr>
              <w:spacing w:after="0"/>
              <w:rPr>
                <w:sz w:val="12"/>
                <w:szCs w:val="12"/>
                <w:color w:val="auto"/>
              </w:rPr>
            </w:pPr>
          </w:p>
        </w:tc>
      </w:tr>
      <w:tr>
        <w:trPr>
          <w:trHeight w:val="20"/>
        </w:trPr>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Liabilities in Excess of Other Assets — (794.2)%</w:t>
            </w:r>
          </w:p>
        </w:tc>
        <w:tc>
          <w:tcPr>
            <w:tcW w:w="920" w:type="dxa"/>
            <w:vAlign w:val="bottom"/>
            <w:shd w:val="clear" w:color="auto" w:fill="CCECFF"/>
          </w:tcPr>
          <w:p>
            <w:pPr>
              <w:spacing w:after="0"/>
              <w:rPr>
                <w:sz w:val="10"/>
                <w:szCs w:val="10"/>
                <w:color w:val="auto"/>
              </w:rPr>
            </w:pPr>
          </w:p>
        </w:tc>
        <w:tc>
          <w:tcPr>
            <w:tcW w:w="2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(700,700 )</w:t>
            </w:r>
          </w:p>
        </w:tc>
      </w:tr>
      <w:tr>
        <w:trPr>
          <w:trHeight w:val="144"/>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Members' Equity—100.0%</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88,222</w:t>
            </w:r>
          </w:p>
        </w:tc>
        <w:tc>
          <w:tcPr>
            <w:tcW w:w="80" w:type="dxa"/>
            <w:vAlign w:val="bottom"/>
          </w:tcPr>
          <w:p>
            <w:pPr>
              <w:spacing w:after="0"/>
              <w:rPr>
                <w:sz w:val="12"/>
                <w:szCs w:val="12"/>
                <w:color w:val="auto"/>
              </w:rPr>
            </w:pPr>
          </w:p>
        </w:tc>
      </w:tr>
      <w:tr>
        <w:trPr>
          <w:trHeight w:val="20"/>
        </w:trPr>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3" w:lineRule="exact"/>
        <w:rPr>
          <w:sz w:val="20"/>
          <w:szCs w:val="20"/>
          <w:color w:val="auto"/>
        </w:rPr>
      </w:pPr>
    </w:p>
    <w:p>
      <w:pPr>
        <w:ind w:right="120"/>
        <w:spacing w:after="0" w:line="225"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PSLF’s accounting policy.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40" w:orient="portrait"/>
          <w:cols w:equalWidth="0" w:num="1">
            <w:col w:w="10560"/>
          </w:cols>
          <w:pgMar w:left="660" w:top="554" w:right="680"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Below is a listing of PSLF’s individual investments as of September 30, 2022 ($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Basis Point</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Spread Above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20" w:type="dxa"/>
            <w:vAlign w:val="bottom"/>
          </w:tcPr>
          <w:p>
            <w:pPr>
              <w:ind w:left="340"/>
              <w:spacing w:after="0"/>
              <w:rPr>
                <w:sz w:val="20"/>
                <w:szCs w:val="20"/>
                <w:color w:val="auto"/>
              </w:rPr>
            </w:pPr>
            <w:r>
              <w:rPr>
                <w:rFonts w:ascii="Arial" w:cs="Arial" w:eastAsia="Arial" w:hAnsi="Arial"/>
                <w:sz w:val="10"/>
                <w:szCs w:val="10"/>
                <w:b w:val="1"/>
                <w:bCs w:val="1"/>
                <w:color w:val="auto"/>
              </w:rPr>
              <w:t>Maturity</w:t>
            </w:r>
          </w:p>
        </w:tc>
        <w:tc>
          <w:tcPr>
            <w:tcW w:w="242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540" w:type="dxa"/>
            <w:vAlign w:val="bottom"/>
          </w:tcPr>
          <w:p>
            <w:pPr>
              <w:jc w:val="right"/>
              <w:ind w:right="172"/>
              <w:spacing w:after="0"/>
              <w:rPr>
                <w:sz w:val="20"/>
                <w:szCs w:val="20"/>
                <w:color w:val="auto"/>
              </w:rPr>
            </w:pPr>
            <w:r>
              <w:rPr>
                <w:rFonts w:ascii="Arial" w:cs="Arial" w:eastAsia="Arial" w:hAnsi="Arial"/>
                <w:sz w:val="10"/>
                <w:szCs w:val="10"/>
                <w:b w:val="1"/>
                <w:bCs w:val="1"/>
                <w:color w:val="auto"/>
              </w:rPr>
              <w:t>Par</w:t>
            </w:r>
          </w:p>
        </w:tc>
        <w:tc>
          <w:tcPr>
            <w:tcW w:w="220" w:type="dxa"/>
            <w:vAlign w:val="bottom"/>
          </w:tcPr>
          <w:p>
            <w:pPr>
              <w:spacing w:after="0"/>
              <w:rPr>
                <w:sz w:val="12"/>
                <w:szCs w:val="12"/>
                <w:color w:val="auto"/>
              </w:rPr>
            </w:pPr>
          </w:p>
        </w:tc>
        <w:tc>
          <w:tcPr>
            <w:tcW w:w="520" w:type="dxa"/>
            <w:vAlign w:val="bottom"/>
          </w:tcPr>
          <w:p>
            <w:pPr>
              <w:jc w:val="right"/>
              <w:ind w:right="212"/>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2"/>
                <w:szCs w:val="12"/>
                <w:color w:val="auto"/>
              </w:rPr>
            </w:pPr>
          </w:p>
        </w:tc>
        <w:tc>
          <w:tcPr>
            <w:tcW w:w="720" w:type="dxa"/>
            <w:vAlign w:val="bottom"/>
          </w:tcPr>
          <w:p>
            <w:pPr>
              <w:jc w:val="right"/>
              <w:ind w:right="112"/>
              <w:spacing w:after="0"/>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c>
          <w:tcPr>
            <w:tcW w:w="0" w:type="dxa"/>
            <w:vAlign w:val="bottom"/>
          </w:tcPr>
          <w:p>
            <w:pPr>
              <w:spacing w:after="0"/>
              <w:rPr>
                <w:sz w:val="1"/>
                <w:szCs w:val="1"/>
                <w:color w:val="auto"/>
              </w:rPr>
            </w:pPr>
          </w:p>
        </w:tc>
      </w:tr>
      <w:tr>
        <w:trPr>
          <w:trHeight w:val="135"/>
        </w:trPr>
        <w:tc>
          <w:tcPr>
            <w:tcW w:w="312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- 864.4%</w:t>
            </w: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Ad.net Acquisition,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05/06/26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  4,938</w:t>
            </w:r>
          </w:p>
        </w:tc>
        <w:tc>
          <w:tcPr>
            <w:tcW w:w="2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4,938</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4,901</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Alpine Acquisition Corp II</w:t>
            </w:r>
          </w:p>
        </w:tc>
        <w:tc>
          <w:tcPr>
            <w:tcW w:w="920" w:type="dxa"/>
            <w:vAlign w:val="bottom"/>
          </w:tcPr>
          <w:p>
            <w:pPr>
              <w:ind w:left="340"/>
              <w:spacing w:after="0"/>
              <w:rPr>
                <w:sz w:val="20"/>
                <w:szCs w:val="20"/>
                <w:color w:val="auto"/>
              </w:rPr>
            </w:pPr>
            <w:r>
              <w:rPr>
                <w:rFonts w:ascii="Arial" w:cs="Arial" w:eastAsia="Arial" w:hAnsi="Arial"/>
                <w:sz w:val="10"/>
                <w:szCs w:val="10"/>
                <w:color w:val="auto"/>
              </w:rPr>
              <w:t>11/30/26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Containers, Packaging and Glass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8.69 %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L+800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9,975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9,785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9,576</w:t>
            </w:r>
          </w:p>
        </w:tc>
        <w:tc>
          <w:tcPr>
            <w:tcW w:w="0" w:type="dxa"/>
            <w:vAlign w:val="bottom"/>
          </w:tcPr>
          <w:p>
            <w:pPr>
              <w:spacing w:after="0"/>
              <w:rPr>
                <w:sz w:val="1"/>
                <w:szCs w:val="1"/>
                <w:color w:val="auto"/>
              </w:rPr>
            </w:pPr>
          </w:p>
        </w:tc>
      </w:tr>
      <w:tr>
        <w:trPr>
          <w:trHeight w:val="140"/>
        </w:trPr>
        <w:tc>
          <w:tcPr>
            <w:tcW w:w="312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Altamira Technologies,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07/24/25</w:t>
            </w:r>
          </w:p>
        </w:tc>
        <w:tc>
          <w:tcPr>
            <w:tcW w:w="2420" w:type="dxa"/>
            <w:vAlign w:val="bottom"/>
            <w:vMerge w:val="restart"/>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10.81 %</w:t>
            </w:r>
          </w:p>
        </w:tc>
        <w:tc>
          <w:tcPr>
            <w:tcW w:w="920" w:type="dxa"/>
            <w:vAlign w:val="bottom"/>
            <w:vMerge w:val="restart"/>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871</w:t>
            </w:r>
          </w:p>
        </w:tc>
        <w:tc>
          <w:tcPr>
            <w:tcW w:w="220" w:type="dxa"/>
            <w:vAlign w:val="bottom"/>
            <w:shd w:val="clear" w:color="auto" w:fill="CCECFF"/>
          </w:tcPr>
          <w:p>
            <w:pPr>
              <w:spacing w:after="0"/>
              <w:rPr>
                <w:sz w:val="12"/>
                <w:szCs w:val="12"/>
                <w:color w:val="auto"/>
              </w:rPr>
            </w:pPr>
          </w:p>
        </w:tc>
        <w:tc>
          <w:tcPr>
            <w:tcW w:w="52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864</w:t>
            </w:r>
          </w:p>
        </w:tc>
        <w:tc>
          <w:tcPr>
            <w:tcW w:w="160" w:type="dxa"/>
            <w:vAlign w:val="bottom"/>
            <w:shd w:val="clear" w:color="auto" w:fill="CCECFF"/>
          </w:tcPr>
          <w:p>
            <w:pPr>
              <w:spacing w:after="0"/>
              <w:rPr>
                <w:sz w:val="12"/>
                <w:szCs w:val="12"/>
                <w:color w:val="auto"/>
              </w:rPr>
            </w:pPr>
          </w:p>
        </w:tc>
        <w:tc>
          <w:tcPr>
            <w:tcW w:w="72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841</w:t>
            </w:r>
          </w:p>
        </w:tc>
        <w:tc>
          <w:tcPr>
            <w:tcW w:w="0" w:type="dxa"/>
            <w:vAlign w:val="bottom"/>
          </w:tcPr>
          <w:p>
            <w:pPr>
              <w:spacing w:after="0"/>
              <w:rPr>
                <w:sz w:val="1"/>
                <w:szCs w:val="1"/>
                <w:color w:val="auto"/>
              </w:rPr>
            </w:pPr>
          </w:p>
        </w:tc>
      </w:tr>
      <w:tr>
        <w:trPr>
          <w:trHeight w:val="116"/>
        </w:trPr>
        <w:tc>
          <w:tcPr>
            <w:tcW w:w="3120" w:type="dxa"/>
            <w:vAlign w:val="bottom"/>
            <w:vMerge w:val="continue"/>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420" w:type="dxa"/>
            <w:vAlign w:val="bottom"/>
            <w:vMerge w:val="continue"/>
            <w:shd w:val="clear" w:color="auto" w:fill="CCECFF"/>
          </w:tcPr>
          <w:p>
            <w:pPr>
              <w:spacing w:after="0"/>
              <w:rPr>
                <w:sz w:val="10"/>
                <w:szCs w:val="10"/>
                <w:color w:val="auto"/>
              </w:rPr>
            </w:pPr>
          </w:p>
        </w:tc>
        <w:tc>
          <w:tcPr>
            <w:tcW w:w="1020" w:type="dxa"/>
            <w:vAlign w:val="bottom"/>
            <w:vMerge w:val="continue"/>
            <w:shd w:val="clear" w:color="auto" w:fill="CCECFF"/>
          </w:tcPr>
          <w:p>
            <w:pPr>
              <w:spacing w:after="0"/>
              <w:rPr>
                <w:sz w:val="10"/>
                <w:szCs w:val="10"/>
                <w:color w:val="auto"/>
              </w:rPr>
            </w:pPr>
          </w:p>
        </w:tc>
        <w:tc>
          <w:tcPr>
            <w:tcW w:w="920" w:type="dxa"/>
            <w:vAlign w:val="bottom"/>
            <w:vMerge w:val="continue"/>
            <w:shd w:val="clear" w:color="auto" w:fill="CCECFF"/>
          </w:tcPr>
          <w:p>
            <w:pPr>
              <w:spacing w:after="0"/>
              <w:rPr>
                <w:sz w:val="10"/>
                <w:szCs w:val="10"/>
                <w:color w:val="auto"/>
              </w:rPr>
            </w:pPr>
          </w:p>
        </w:tc>
        <w:tc>
          <w:tcPr>
            <w:tcW w:w="540" w:type="dxa"/>
            <w:vAlign w:val="bottom"/>
            <w:vMerge w:val="continue"/>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vMerge w:val="continue"/>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19,90</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American Insulated Glass, LLC</w:t>
            </w:r>
          </w:p>
        </w:tc>
        <w:tc>
          <w:tcPr>
            <w:tcW w:w="920" w:type="dxa"/>
            <w:vAlign w:val="bottom"/>
          </w:tcPr>
          <w:p>
            <w:pPr>
              <w:ind w:left="340"/>
              <w:spacing w:after="0"/>
              <w:rPr>
                <w:sz w:val="20"/>
                <w:szCs w:val="20"/>
                <w:color w:val="auto"/>
              </w:rPr>
            </w:pPr>
            <w:r>
              <w:rPr>
                <w:rFonts w:ascii="Arial" w:cs="Arial" w:eastAsia="Arial" w:hAnsi="Arial"/>
                <w:sz w:val="10"/>
                <w:szCs w:val="10"/>
                <w:color w:val="auto"/>
              </w:rPr>
              <w:t>12/21/23</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Building Materials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7.79 %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19,868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19,906</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14,10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Amsive Holding Corporation (f/k/a Vision Purchaser Corporation)</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06/10/25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13,968</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13,892</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15,16</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Anteriad, LLC (f/k/a MeritDirect, LLC)</w:t>
            </w:r>
          </w:p>
        </w:tc>
        <w:tc>
          <w:tcPr>
            <w:tcW w:w="920" w:type="dxa"/>
            <w:vAlign w:val="bottom"/>
          </w:tcPr>
          <w:p>
            <w:pPr>
              <w:ind w:left="340"/>
              <w:spacing w:after="0"/>
              <w:rPr>
                <w:sz w:val="20"/>
                <w:szCs w:val="20"/>
                <w:color w:val="auto"/>
              </w:rPr>
            </w:pPr>
            <w:r>
              <w:rPr>
                <w:rFonts w:ascii="Arial" w:cs="Arial" w:eastAsia="Arial" w:hAnsi="Arial"/>
                <w:sz w:val="10"/>
                <w:szCs w:val="10"/>
                <w:color w:val="auto"/>
              </w:rPr>
              <w:t>05/23/24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15,084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15,168</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Any Hour Services</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07/21/27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7.98 %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9,942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9,934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9,743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Apex Service Partners, LLC</w:t>
            </w:r>
          </w:p>
        </w:tc>
        <w:tc>
          <w:tcPr>
            <w:tcW w:w="920" w:type="dxa"/>
            <w:vAlign w:val="bottom"/>
          </w:tcPr>
          <w:p>
            <w:pPr>
              <w:ind w:left="340"/>
              <w:spacing w:after="0"/>
              <w:rPr>
                <w:sz w:val="20"/>
                <w:szCs w:val="20"/>
                <w:color w:val="auto"/>
              </w:rPr>
            </w:pPr>
            <w:r>
              <w:rPr>
                <w:rFonts w:ascii="Arial" w:cs="Arial" w:eastAsia="Arial" w:hAnsi="Arial"/>
                <w:sz w:val="10"/>
                <w:szCs w:val="10"/>
                <w:color w:val="auto"/>
              </w:rPr>
              <w:t>07/31/25</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6.25 %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6,569</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6,502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6,536</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B</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07/31/25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6.55 %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3,323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3,298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3,307</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Apex Service Partners, LLC - Term Loan C</w:t>
            </w:r>
          </w:p>
        </w:tc>
        <w:tc>
          <w:tcPr>
            <w:tcW w:w="920" w:type="dxa"/>
            <w:vAlign w:val="bottom"/>
          </w:tcPr>
          <w:p>
            <w:pPr>
              <w:ind w:left="340"/>
              <w:spacing w:after="0"/>
              <w:rPr>
                <w:sz w:val="20"/>
                <w:szCs w:val="20"/>
                <w:color w:val="auto"/>
              </w:rPr>
            </w:pPr>
            <w:r>
              <w:rPr>
                <w:rFonts w:ascii="Arial" w:cs="Arial" w:eastAsia="Arial" w:hAnsi="Arial"/>
                <w:sz w:val="10"/>
                <w:szCs w:val="10"/>
                <w:color w:val="auto"/>
              </w:rPr>
              <w:t>07/31/25</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6.50 %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7,607</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7,608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7,569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Applied Technical Services,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12/29/26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Environmental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8,822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8,725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8,602</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11,94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Arcfield Acquisition Corp.</w:t>
            </w:r>
          </w:p>
        </w:tc>
        <w:tc>
          <w:tcPr>
            <w:tcW w:w="920" w:type="dxa"/>
            <w:vAlign w:val="bottom"/>
          </w:tcPr>
          <w:p>
            <w:pPr>
              <w:ind w:left="340"/>
              <w:spacing w:after="0"/>
              <w:rPr>
                <w:sz w:val="20"/>
                <w:szCs w:val="20"/>
                <w:color w:val="auto"/>
              </w:rPr>
            </w:pPr>
            <w:r>
              <w:rPr>
                <w:rFonts w:ascii="Arial" w:cs="Arial" w:eastAsia="Arial" w:hAnsi="Arial"/>
                <w:sz w:val="10"/>
                <w:szCs w:val="10"/>
                <w:color w:val="auto"/>
              </w:rPr>
              <w:t>03/07/28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8.99 %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11,721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11,701</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Beta Plus Technologies,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07/01/29</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7.56 %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L+525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14,700</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14,700</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17,99</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Blackhawk Industrial Distribution, Inc.</w:t>
            </w:r>
          </w:p>
        </w:tc>
        <w:tc>
          <w:tcPr>
            <w:tcW w:w="920" w:type="dxa"/>
            <w:vAlign w:val="bottom"/>
          </w:tcPr>
          <w:p>
            <w:pPr>
              <w:ind w:left="340"/>
              <w:spacing w:after="0"/>
              <w:rPr>
                <w:sz w:val="20"/>
                <w:szCs w:val="20"/>
                <w:color w:val="auto"/>
              </w:rPr>
            </w:pPr>
            <w:r>
              <w:rPr>
                <w:rFonts w:ascii="Arial" w:cs="Arial" w:eastAsia="Arial" w:hAnsi="Arial"/>
                <w:sz w:val="10"/>
                <w:szCs w:val="10"/>
                <w:color w:val="auto"/>
              </w:rPr>
              <w:t>09/17/24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8.57 %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17,772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17,596</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Broder Bros., Co.</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12/02/22</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7.39 %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9,937</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9,937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9,937</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17,45</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Cartessa Aesthetics, LLC</w:t>
            </w:r>
          </w:p>
        </w:tc>
        <w:tc>
          <w:tcPr>
            <w:tcW w:w="920" w:type="dxa"/>
            <w:vAlign w:val="bottom"/>
          </w:tcPr>
          <w:p>
            <w:pPr>
              <w:ind w:left="340"/>
              <w:spacing w:after="0"/>
              <w:rPr>
                <w:sz w:val="20"/>
                <w:szCs w:val="20"/>
                <w:color w:val="auto"/>
              </w:rPr>
            </w:pPr>
            <w:r>
              <w:rPr>
                <w:rFonts w:ascii="Arial" w:cs="Arial" w:eastAsia="Arial" w:hAnsi="Arial"/>
                <w:sz w:val="10"/>
                <w:szCs w:val="10"/>
                <w:color w:val="auto"/>
              </w:rPr>
              <w:t>05/13/28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9.55 %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17,131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17,194</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CF512,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08/20/26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9.08 %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2,985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2,958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2,940</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Connatix Buyer, Inc.</w:t>
            </w:r>
          </w:p>
        </w:tc>
        <w:tc>
          <w:tcPr>
            <w:tcW w:w="920" w:type="dxa"/>
            <w:vAlign w:val="bottom"/>
          </w:tcPr>
          <w:p>
            <w:pPr>
              <w:ind w:left="340"/>
              <w:spacing w:after="0"/>
              <w:rPr>
                <w:sz w:val="20"/>
                <w:szCs w:val="20"/>
                <w:color w:val="auto"/>
              </w:rPr>
            </w:pPr>
            <w:r>
              <w:rPr>
                <w:rFonts w:ascii="Arial" w:cs="Arial" w:eastAsia="Arial" w:hAnsi="Arial"/>
                <w:sz w:val="10"/>
                <w:szCs w:val="10"/>
                <w:color w:val="auto"/>
              </w:rPr>
              <w:t>07/13/27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8.42 %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9,045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9,029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8,819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 Squatch,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08/31/27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L+475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6,435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6,427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6,339</w:t>
            </w:r>
          </w:p>
        </w:tc>
        <w:tc>
          <w:tcPr>
            <w:tcW w:w="0" w:type="dxa"/>
            <w:vAlign w:val="bottom"/>
          </w:tcPr>
          <w:p>
            <w:pPr>
              <w:spacing w:after="0"/>
              <w:rPr>
                <w:sz w:val="1"/>
                <w:szCs w:val="1"/>
                <w:color w:val="auto"/>
              </w:rPr>
            </w:pPr>
          </w:p>
        </w:tc>
      </w:tr>
      <w:tr>
        <w:trPr>
          <w:trHeight w:val="136"/>
        </w:trPr>
        <w:tc>
          <w:tcPr>
            <w:tcW w:w="3120" w:type="dxa"/>
            <w:vAlign w:val="bottom"/>
            <w:vMerge w:val="restart"/>
          </w:tcPr>
          <w:p>
            <w:pPr>
              <w:ind w:left="20"/>
              <w:spacing w:after="0"/>
              <w:rPr>
                <w:sz w:val="20"/>
                <w:szCs w:val="20"/>
                <w:color w:val="auto"/>
              </w:rPr>
            </w:pPr>
            <w:r>
              <w:rPr>
                <w:rFonts w:ascii="Arial" w:cs="Arial" w:eastAsia="Arial" w:hAnsi="Arial"/>
                <w:sz w:val="10"/>
                <w:szCs w:val="10"/>
                <w:color w:val="auto"/>
              </w:rPr>
              <w:t>DRI Holding Inc.</w:t>
            </w:r>
          </w:p>
        </w:tc>
        <w:tc>
          <w:tcPr>
            <w:tcW w:w="920" w:type="dxa"/>
            <w:vAlign w:val="bottom"/>
            <w:vMerge w:val="restart"/>
          </w:tcPr>
          <w:p>
            <w:pPr>
              <w:ind w:left="340"/>
              <w:spacing w:after="0"/>
              <w:rPr>
                <w:sz w:val="20"/>
                <w:szCs w:val="20"/>
                <w:color w:val="auto"/>
              </w:rPr>
            </w:pPr>
            <w:r>
              <w:rPr>
                <w:rFonts w:ascii="Arial" w:cs="Arial" w:eastAsia="Arial" w:hAnsi="Arial"/>
                <w:sz w:val="10"/>
                <w:szCs w:val="10"/>
                <w:color w:val="auto"/>
              </w:rPr>
              <w:t>12/21/28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color w:val="auto"/>
              </w:rPr>
              <w:t>8.37 %</w:t>
            </w: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2,776</w:t>
            </w:r>
          </w:p>
        </w:tc>
        <w:tc>
          <w:tcPr>
            <w:tcW w:w="2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2,526</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2,490</w:t>
            </w:r>
          </w:p>
        </w:tc>
        <w:tc>
          <w:tcPr>
            <w:tcW w:w="0" w:type="dxa"/>
            <w:vAlign w:val="bottom"/>
          </w:tcPr>
          <w:p>
            <w:pPr>
              <w:spacing w:after="0"/>
              <w:rPr>
                <w:sz w:val="1"/>
                <w:szCs w:val="1"/>
                <w:color w:val="auto"/>
              </w:rPr>
            </w:pPr>
          </w:p>
        </w:tc>
      </w:tr>
      <w:tr>
        <w:trPr>
          <w:trHeight w:val="88"/>
        </w:trPr>
        <w:tc>
          <w:tcPr>
            <w:tcW w:w="31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4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15,14</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DRS Holdings III,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11/03/25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15,063</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14,658</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Duraco Specialty Tapes LLC</w:t>
            </w:r>
          </w:p>
        </w:tc>
        <w:tc>
          <w:tcPr>
            <w:tcW w:w="920" w:type="dxa"/>
            <w:vAlign w:val="bottom"/>
          </w:tcPr>
          <w:p>
            <w:pPr>
              <w:ind w:left="340"/>
              <w:spacing w:after="0"/>
              <w:rPr>
                <w:sz w:val="20"/>
                <w:szCs w:val="20"/>
                <w:color w:val="auto"/>
              </w:rPr>
            </w:pPr>
            <w:r>
              <w:rPr>
                <w:rFonts w:ascii="Arial" w:cs="Arial" w:eastAsia="Arial" w:hAnsi="Arial"/>
                <w:sz w:val="10"/>
                <w:szCs w:val="10"/>
                <w:color w:val="auto"/>
              </w:rPr>
              <w:t>06/30/24</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Manufacturing / Basic Industries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8.62 %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8,139</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8,008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7,944</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05/01/28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Hotels, Motels, Inns and Gaming</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10.62 %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4,558</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4,558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4,489</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ECM Industries, LLC</w:t>
            </w:r>
          </w:p>
        </w:tc>
        <w:tc>
          <w:tcPr>
            <w:tcW w:w="920" w:type="dxa"/>
            <w:vAlign w:val="bottom"/>
          </w:tcPr>
          <w:p>
            <w:pPr>
              <w:ind w:left="340"/>
              <w:spacing w:after="0"/>
              <w:rPr>
                <w:sz w:val="20"/>
                <w:szCs w:val="20"/>
                <w:color w:val="auto"/>
              </w:rPr>
            </w:pPr>
            <w:r>
              <w:rPr>
                <w:rFonts w:ascii="Arial" w:cs="Arial" w:eastAsia="Arial" w:hAnsi="Arial"/>
                <w:sz w:val="10"/>
                <w:szCs w:val="10"/>
                <w:color w:val="auto"/>
              </w:rPr>
              <w:t>12/23/25</w:t>
            </w:r>
          </w:p>
        </w:tc>
        <w:tc>
          <w:tcPr>
            <w:tcW w:w="2420" w:type="dxa"/>
            <w:vAlign w:val="bottom"/>
          </w:tcPr>
          <w:p>
            <w:pPr>
              <w:jc w:val="center"/>
              <w:spacing w:after="0"/>
              <w:rPr>
                <w:sz w:val="20"/>
                <w:szCs w:val="20"/>
                <w:color w:val="auto"/>
              </w:rPr>
            </w:pPr>
            <w:r>
              <w:rPr>
                <w:rFonts w:ascii="Arial" w:cs="Arial" w:eastAsia="Arial" w:hAnsi="Arial"/>
                <w:sz w:val="10"/>
                <w:szCs w:val="10"/>
                <w:color w:val="auto"/>
                <w:w w:val="93"/>
              </w:rPr>
              <w:t>Electronics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6.32 %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2,823</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2,761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2,689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Exigo Intermediate II,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03/15/27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9,817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9,726</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Fairbanks Morse Defense</w:t>
            </w:r>
          </w:p>
        </w:tc>
        <w:tc>
          <w:tcPr>
            <w:tcW w:w="920" w:type="dxa"/>
            <w:vAlign w:val="bottom"/>
          </w:tcPr>
          <w:p>
            <w:pPr>
              <w:ind w:left="340"/>
              <w:spacing w:after="0"/>
              <w:rPr>
                <w:sz w:val="20"/>
                <w:szCs w:val="20"/>
                <w:color w:val="auto"/>
              </w:rPr>
            </w:pPr>
            <w:r>
              <w:rPr>
                <w:rFonts w:ascii="Arial" w:cs="Arial" w:eastAsia="Arial" w:hAnsi="Arial"/>
                <w:sz w:val="10"/>
                <w:szCs w:val="10"/>
                <w:color w:val="auto"/>
              </w:rPr>
              <w:t>06/17/28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7.63 %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6M L+475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800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754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740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Global Holdings InterCo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03/16/26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Banking, Finance, Insurance &amp; Real Estate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8.74 %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7,343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7,013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Graffiti Buyer, Inc.</w:t>
            </w:r>
          </w:p>
        </w:tc>
        <w:tc>
          <w:tcPr>
            <w:tcW w:w="920" w:type="dxa"/>
            <w:vAlign w:val="bottom"/>
          </w:tcPr>
          <w:p>
            <w:pPr>
              <w:ind w:left="340"/>
              <w:spacing w:after="0"/>
              <w:rPr>
                <w:sz w:val="20"/>
                <w:szCs w:val="20"/>
                <w:color w:val="auto"/>
              </w:rPr>
            </w:pPr>
            <w:r>
              <w:rPr>
                <w:rFonts w:ascii="Arial" w:cs="Arial" w:eastAsia="Arial" w:hAnsi="Arial"/>
                <w:sz w:val="10"/>
                <w:szCs w:val="10"/>
                <w:color w:val="auto"/>
              </w:rPr>
              <w:t>08/10/27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8.00 %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1,974</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1,939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1,895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Hancock Roofing and Construction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12/31/26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6,835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6,835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6,733</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19,91</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Holdco Sands Intermediate, LLC</w:t>
            </w:r>
          </w:p>
        </w:tc>
        <w:tc>
          <w:tcPr>
            <w:tcW w:w="920" w:type="dxa"/>
            <w:vAlign w:val="bottom"/>
          </w:tcPr>
          <w:p>
            <w:pPr>
              <w:ind w:left="340"/>
              <w:spacing w:after="0"/>
              <w:rPr>
                <w:sz w:val="20"/>
                <w:szCs w:val="20"/>
                <w:color w:val="auto"/>
              </w:rPr>
            </w:pPr>
            <w:r>
              <w:rPr>
                <w:rFonts w:ascii="Arial" w:cs="Arial" w:eastAsia="Arial" w:hAnsi="Arial"/>
                <w:sz w:val="10"/>
                <w:szCs w:val="10"/>
                <w:color w:val="auto"/>
              </w:rPr>
              <w:t>11/23/28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L+800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19,535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19,516</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15,25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12/17/26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15,045</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14,721</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14,43</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12/10/24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6.00 %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L+700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14,303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14,257</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Icon Partners III, LP</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05/11/28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Auto Sector</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L+475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2,333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2,001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1,705</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17,40</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IDC Infusion Services, Inc.</w:t>
            </w:r>
          </w:p>
        </w:tc>
        <w:tc>
          <w:tcPr>
            <w:tcW w:w="920" w:type="dxa"/>
            <w:vAlign w:val="bottom"/>
          </w:tcPr>
          <w:p>
            <w:pPr>
              <w:ind w:left="340"/>
              <w:spacing w:after="0"/>
              <w:rPr>
                <w:sz w:val="20"/>
                <w:szCs w:val="20"/>
                <w:color w:val="auto"/>
              </w:rPr>
            </w:pPr>
            <w:r>
              <w:rPr>
                <w:rFonts w:ascii="Arial" w:cs="Arial" w:eastAsia="Arial" w:hAnsi="Arial"/>
                <w:sz w:val="10"/>
                <w:szCs w:val="10"/>
                <w:color w:val="auto"/>
              </w:rPr>
              <w:t>12/30/26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10.20 %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L+750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17,154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16,617</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IG Investments Holdings,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09/22/28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4,473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4,388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4,428</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Imagine Acquisitionco,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11/15/27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6.91 %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L+625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5,636</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5,534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5,495</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Inception Fertility Ventures,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12/07/23</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9.96 %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19,545</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19,800</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Infolinks Media Buyco,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11/01/26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9.42 %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6,428</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6,428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6,428</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19,95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Integrity Marketing Acquisition,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08/27/25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9.21 %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19,866</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19,754</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14,43</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K2 Pure Solutions NoCal, L.P.</w:t>
            </w:r>
          </w:p>
        </w:tc>
        <w:tc>
          <w:tcPr>
            <w:tcW w:w="920" w:type="dxa"/>
            <w:vAlign w:val="bottom"/>
          </w:tcPr>
          <w:p>
            <w:pPr>
              <w:ind w:left="340"/>
              <w:spacing w:after="0"/>
              <w:rPr>
                <w:sz w:val="20"/>
                <w:szCs w:val="20"/>
                <w:color w:val="auto"/>
              </w:rPr>
            </w:pPr>
            <w:r>
              <w:rPr>
                <w:rFonts w:ascii="Arial" w:cs="Arial" w:eastAsia="Arial" w:hAnsi="Arial"/>
                <w:sz w:val="10"/>
                <w:szCs w:val="10"/>
                <w:color w:val="auto"/>
              </w:rPr>
              <w:t>12/20/23</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14,316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14,438</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10/31/24</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Entertainment</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2,137</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2,129</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2,088</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19,92</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Lash OpCo, LLC</w:t>
            </w:r>
          </w:p>
        </w:tc>
        <w:tc>
          <w:tcPr>
            <w:tcW w:w="920" w:type="dxa"/>
            <w:vAlign w:val="bottom"/>
          </w:tcPr>
          <w:p>
            <w:pPr>
              <w:ind w:left="340"/>
              <w:spacing w:after="0"/>
              <w:rPr>
                <w:sz w:val="20"/>
                <w:szCs w:val="20"/>
                <w:color w:val="auto"/>
              </w:rPr>
            </w:pPr>
            <w:r>
              <w:rPr>
                <w:rFonts w:ascii="Arial" w:cs="Arial" w:eastAsia="Arial" w:hAnsi="Arial"/>
                <w:sz w:val="10"/>
                <w:szCs w:val="10"/>
                <w:color w:val="auto"/>
              </w:rPr>
              <w:t>02/18/27</w:t>
            </w:r>
          </w:p>
        </w:tc>
        <w:tc>
          <w:tcPr>
            <w:tcW w:w="2420" w:type="dxa"/>
            <w:vAlign w:val="bottom"/>
          </w:tcPr>
          <w:p>
            <w:pPr>
              <w:jc w:val="center"/>
              <w:spacing w:after="0"/>
              <w:rPr>
                <w:sz w:val="20"/>
                <w:szCs w:val="20"/>
                <w:color w:val="auto"/>
              </w:rPr>
            </w:pPr>
            <w:r>
              <w:rPr>
                <w:rFonts w:ascii="Arial" w:cs="Arial" w:eastAsia="Arial" w:hAnsi="Arial"/>
                <w:sz w:val="10"/>
                <w:szCs w:val="10"/>
                <w:color w:val="auto"/>
                <w:w w:val="97"/>
              </w:rPr>
              <w:t>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L+650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19,708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19,526</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12,34</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Lightspeed Buyer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02/03/26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L+475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12,119</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11,944</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MAG DS Corp.</w:t>
            </w:r>
          </w:p>
        </w:tc>
        <w:tc>
          <w:tcPr>
            <w:tcW w:w="920" w:type="dxa"/>
            <w:vAlign w:val="bottom"/>
          </w:tcPr>
          <w:p>
            <w:pPr>
              <w:ind w:left="340"/>
              <w:spacing w:after="0"/>
              <w:rPr>
                <w:sz w:val="20"/>
                <w:szCs w:val="20"/>
                <w:color w:val="auto"/>
              </w:rPr>
            </w:pPr>
            <w:r>
              <w:rPr>
                <w:rFonts w:ascii="Arial" w:cs="Arial" w:eastAsia="Arial" w:hAnsi="Arial"/>
                <w:sz w:val="10"/>
                <w:szCs w:val="10"/>
                <w:color w:val="auto"/>
              </w:rPr>
              <w:t>04/01/27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5,570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5,128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5,069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Magenta Buyer,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07/31/28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Software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3,140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2,946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2,826</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Mars Acquisition Holdings Corp.</w:t>
            </w:r>
          </w:p>
        </w:tc>
        <w:tc>
          <w:tcPr>
            <w:tcW w:w="920" w:type="dxa"/>
            <w:vAlign w:val="bottom"/>
          </w:tcPr>
          <w:p>
            <w:pPr>
              <w:ind w:left="340"/>
              <w:spacing w:after="0"/>
              <w:rPr>
                <w:sz w:val="20"/>
                <w:szCs w:val="20"/>
                <w:color w:val="auto"/>
              </w:rPr>
            </w:pPr>
            <w:r>
              <w:rPr>
                <w:rFonts w:ascii="Arial" w:cs="Arial" w:eastAsia="Arial" w:hAnsi="Arial"/>
                <w:sz w:val="10"/>
                <w:szCs w:val="10"/>
                <w:color w:val="auto"/>
              </w:rPr>
              <w:t>05/14/26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8.62 %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L+625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7,920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7,861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7,880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MBS Holdings,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04/16/27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8.56 %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7,406</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7,326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7,332</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Meadowlark Acquirer, LLC</w:t>
            </w:r>
          </w:p>
        </w:tc>
        <w:tc>
          <w:tcPr>
            <w:tcW w:w="920" w:type="dxa"/>
            <w:vAlign w:val="bottom"/>
          </w:tcPr>
          <w:p>
            <w:pPr>
              <w:ind w:left="340"/>
              <w:spacing w:after="0"/>
              <w:rPr>
                <w:sz w:val="20"/>
                <w:szCs w:val="20"/>
                <w:color w:val="auto"/>
              </w:rPr>
            </w:pPr>
            <w:r>
              <w:rPr>
                <w:rFonts w:ascii="Arial" w:cs="Arial" w:eastAsia="Arial" w:hAnsi="Arial"/>
                <w:sz w:val="10"/>
                <w:szCs w:val="10"/>
                <w:color w:val="auto"/>
              </w:rPr>
              <w:t>12/10/27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2,983</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2,926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2,953</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09/28/27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7.25 %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4,164</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4,102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3,923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NBH Group LLC</w:t>
            </w:r>
          </w:p>
        </w:tc>
        <w:tc>
          <w:tcPr>
            <w:tcW w:w="920" w:type="dxa"/>
            <w:vAlign w:val="bottom"/>
          </w:tcPr>
          <w:p>
            <w:pPr>
              <w:ind w:left="340"/>
              <w:spacing w:after="0"/>
              <w:rPr>
                <w:sz w:val="20"/>
                <w:szCs w:val="20"/>
                <w:color w:val="auto"/>
              </w:rPr>
            </w:pPr>
            <w:r>
              <w:rPr>
                <w:rFonts w:ascii="Arial" w:cs="Arial" w:eastAsia="Arial" w:hAnsi="Arial"/>
                <w:sz w:val="10"/>
                <w:szCs w:val="10"/>
                <w:color w:val="auto"/>
              </w:rPr>
              <w:t>08/19/26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7.80 %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7,505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7,426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7,505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OIS Management Services,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07/09/26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5,257</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5,210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5,257</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Owl Acquisition, LLC</w:t>
            </w:r>
          </w:p>
        </w:tc>
        <w:tc>
          <w:tcPr>
            <w:tcW w:w="920" w:type="dxa"/>
            <w:vAlign w:val="bottom"/>
          </w:tcPr>
          <w:p>
            <w:pPr>
              <w:ind w:left="340"/>
              <w:spacing w:after="0"/>
              <w:rPr>
                <w:sz w:val="20"/>
                <w:szCs w:val="20"/>
                <w:color w:val="auto"/>
              </w:rPr>
            </w:pPr>
            <w:r>
              <w:rPr>
                <w:rFonts w:ascii="Arial" w:cs="Arial" w:eastAsia="Arial" w:hAnsi="Arial"/>
                <w:sz w:val="10"/>
                <w:szCs w:val="10"/>
                <w:color w:val="auto"/>
              </w:rPr>
              <w:t>02/04/28</w:t>
            </w:r>
          </w:p>
        </w:tc>
        <w:tc>
          <w:tcPr>
            <w:tcW w:w="2420" w:type="dxa"/>
            <w:vAlign w:val="bottom"/>
          </w:tcPr>
          <w:p>
            <w:pPr>
              <w:jc w:val="center"/>
              <w:spacing w:after="0"/>
              <w:rPr>
                <w:sz w:val="20"/>
                <w:szCs w:val="20"/>
                <w:color w:val="auto"/>
              </w:rPr>
            </w:pPr>
            <w:r>
              <w:rPr>
                <w:rFonts w:ascii="Arial" w:cs="Arial" w:eastAsia="Arial" w:hAnsi="Arial"/>
                <w:sz w:val="10"/>
                <w:szCs w:val="10"/>
                <w:color w:val="auto"/>
                <w:w w:val="94"/>
              </w:rPr>
              <w:t>Education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8.41 %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3,990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3,874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3,890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Ox Two, LLC (New Issue)</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05/18/26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8.32 %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L+650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4,962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4,911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4,863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11/09/27</w:t>
            </w:r>
          </w:p>
        </w:tc>
        <w:tc>
          <w:tcPr>
            <w:tcW w:w="242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9.62 %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8,634</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8,489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8,419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PlayPower,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05/08/26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L+525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2,580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2,487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2,309</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920" w:type="dxa"/>
            <w:vAlign w:val="bottom"/>
          </w:tcPr>
          <w:p>
            <w:pPr>
              <w:ind w:left="340"/>
              <w:spacing w:after="0"/>
              <w:rPr>
                <w:sz w:val="20"/>
                <w:szCs w:val="20"/>
                <w:color w:val="auto"/>
              </w:rPr>
            </w:pPr>
            <w:r>
              <w:rPr>
                <w:rFonts w:ascii="Arial" w:cs="Arial" w:eastAsia="Arial" w:hAnsi="Arial"/>
                <w:sz w:val="10"/>
                <w:szCs w:val="10"/>
                <w:color w:val="auto"/>
              </w:rPr>
              <w:t>11/19/26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9.92 %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3,403</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3,342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3,335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 - Unfunded Term Loan</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11/19/26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0.00 %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L+625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12,75</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Radius Aerospace, Inc.</w:t>
            </w:r>
          </w:p>
        </w:tc>
        <w:tc>
          <w:tcPr>
            <w:tcW w:w="920" w:type="dxa"/>
            <w:vAlign w:val="bottom"/>
          </w:tcPr>
          <w:p>
            <w:pPr>
              <w:ind w:left="340"/>
              <w:spacing w:after="0"/>
              <w:rPr>
                <w:sz w:val="20"/>
                <w:szCs w:val="20"/>
                <w:color w:val="auto"/>
              </w:rPr>
            </w:pPr>
            <w:r>
              <w:rPr>
                <w:rFonts w:ascii="Arial" w:cs="Arial" w:eastAsia="Arial" w:hAnsi="Arial"/>
                <w:sz w:val="10"/>
                <w:szCs w:val="10"/>
                <w:color w:val="auto"/>
              </w:rPr>
              <w:t>03/31/25</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9.46 %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12,657</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12,566</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Rancho Health MSO,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12/18/25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7.75 %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L+450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5,180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5,180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5,180</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920" w:type="dxa"/>
            <w:vAlign w:val="bottom"/>
          </w:tcPr>
          <w:p>
            <w:pPr>
              <w:ind w:left="340"/>
              <w:spacing w:after="0"/>
              <w:rPr>
                <w:sz w:val="20"/>
                <w:szCs w:val="20"/>
                <w:color w:val="auto"/>
              </w:rPr>
            </w:pPr>
            <w:r>
              <w:rPr>
                <w:rFonts w:ascii="Arial" w:cs="Arial" w:eastAsia="Arial" w:hAnsi="Arial"/>
                <w:sz w:val="10"/>
                <w:szCs w:val="10"/>
                <w:color w:val="auto"/>
              </w:rPr>
              <w:t>02/28/28</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9.13 %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SOFR+600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4,975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4,904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4,751</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01/29/26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L+700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9,850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9,718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9,505</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vMerge w:val="restart"/>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14,54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20" w:type="dxa"/>
            <w:vAlign w:val="bottom"/>
            <w:vMerge w:val="restart"/>
          </w:tcPr>
          <w:p>
            <w:pPr>
              <w:ind w:left="20"/>
              <w:spacing w:after="0"/>
              <w:rPr>
                <w:sz w:val="20"/>
                <w:szCs w:val="20"/>
                <w:color w:val="auto"/>
              </w:rPr>
            </w:pPr>
            <w:r>
              <w:rPr>
                <w:rFonts w:ascii="Arial" w:cs="Arial" w:eastAsia="Arial" w:hAnsi="Arial"/>
                <w:sz w:val="10"/>
                <w:szCs w:val="10"/>
                <w:color w:val="auto"/>
              </w:rPr>
              <w:t>Research Now Group, LLC and Dynata, LLC</w:t>
            </w:r>
          </w:p>
        </w:tc>
        <w:tc>
          <w:tcPr>
            <w:tcW w:w="920" w:type="dxa"/>
            <w:vAlign w:val="bottom"/>
            <w:vMerge w:val="restart"/>
          </w:tcPr>
          <w:p>
            <w:pPr>
              <w:ind w:left="340"/>
              <w:spacing w:after="0"/>
              <w:rPr>
                <w:sz w:val="20"/>
                <w:szCs w:val="20"/>
                <w:color w:val="auto"/>
              </w:rPr>
            </w:pPr>
            <w:r>
              <w:rPr>
                <w:rFonts w:ascii="Arial" w:cs="Arial" w:eastAsia="Arial" w:hAnsi="Arial"/>
                <w:sz w:val="10"/>
                <w:szCs w:val="10"/>
                <w:color w:val="auto"/>
              </w:rPr>
              <w:t>12/20/24</w:t>
            </w:r>
          </w:p>
        </w:tc>
        <w:tc>
          <w:tcPr>
            <w:tcW w:w="2420" w:type="dxa"/>
            <w:vAlign w:val="bottom"/>
            <w:vMerge w:val="continue"/>
          </w:tcPr>
          <w:p>
            <w:pPr>
              <w:spacing w:after="0"/>
              <w:rPr>
                <w:sz w:val="3"/>
                <w:szCs w:val="3"/>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color w:val="auto"/>
              </w:rPr>
              <w:t>8.84 %</w:t>
            </w: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vMerge w:val="restart"/>
          </w:tcPr>
          <w:p>
            <w:pPr>
              <w:jc w:val="right"/>
              <w:ind w:right="52"/>
              <w:spacing w:after="0"/>
              <w:rPr>
                <w:sz w:val="20"/>
                <w:szCs w:val="20"/>
                <w:color w:val="auto"/>
              </w:rPr>
            </w:pPr>
            <w:r>
              <w:rPr>
                <w:rFonts w:ascii="Arial" w:cs="Arial" w:eastAsia="Arial" w:hAnsi="Arial"/>
                <w:sz w:val="10"/>
                <w:szCs w:val="10"/>
                <w:color w:val="auto"/>
              </w:rPr>
              <w:t>2</w:t>
            </w:r>
          </w:p>
        </w:tc>
        <w:tc>
          <w:tcPr>
            <w:tcW w:w="220" w:type="dxa"/>
            <w:vAlign w:val="bottom"/>
          </w:tcPr>
          <w:p>
            <w:pPr>
              <w:spacing w:after="0"/>
              <w:rPr>
                <w:sz w:val="3"/>
                <w:szCs w:val="3"/>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0"/>
                <w:szCs w:val="10"/>
                <w:color w:val="auto"/>
              </w:rPr>
              <w:t>14,440</w:t>
            </w:r>
          </w:p>
        </w:tc>
        <w:tc>
          <w:tcPr>
            <w:tcW w:w="160" w:type="dxa"/>
            <w:vAlign w:val="bottom"/>
          </w:tcPr>
          <w:p>
            <w:pPr>
              <w:spacing w:after="0"/>
              <w:rPr>
                <w:sz w:val="3"/>
                <w:szCs w:val="3"/>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0"/>
                <w:szCs w:val="10"/>
                <w:color w:val="auto"/>
              </w:rPr>
              <w:t>13,070</w:t>
            </w:r>
          </w:p>
        </w:tc>
        <w:tc>
          <w:tcPr>
            <w:tcW w:w="0" w:type="dxa"/>
            <w:vAlign w:val="bottom"/>
          </w:tcPr>
          <w:p>
            <w:pPr>
              <w:spacing w:after="0" w:line="20" w:lineRule="exact"/>
              <w:rPr>
                <w:sz w:val="1"/>
                <w:szCs w:val="1"/>
                <w:color w:val="auto"/>
              </w:rPr>
            </w:pPr>
          </w:p>
        </w:tc>
      </w:tr>
      <w:tr>
        <w:trPr>
          <w:trHeight w:val="88"/>
        </w:trPr>
        <w:tc>
          <w:tcPr>
            <w:tcW w:w="31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4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Riverpoint Medical,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06/20/25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7.74 %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L+525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3,192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3,172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3,112</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Riverside Assessments, LLC</w:t>
            </w:r>
          </w:p>
        </w:tc>
        <w:tc>
          <w:tcPr>
            <w:tcW w:w="920" w:type="dxa"/>
            <w:vAlign w:val="bottom"/>
          </w:tcPr>
          <w:p>
            <w:pPr>
              <w:ind w:left="340"/>
              <w:spacing w:after="0"/>
              <w:rPr>
                <w:sz w:val="20"/>
                <w:szCs w:val="20"/>
                <w:color w:val="auto"/>
              </w:rPr>
            </w:pPr>
            <w:r>
              <w:rPr>
                <w:rFonts w:ascii="Arial" w:cs="Arial" w:eastAsia="Arial" w:hAnsi="Arial"/>
                <w:sz w:val="10"/>
                <w:szCs w:val="10"/>
                <w:color w:val="auto"/>
              </w:rPr>
              <w:t>03/10/25</w:t>
            </w:r>
          </w:p>
        </w:tc>
        <w:tc>
          <w:tcPr>
            <w:tcW w:w="2420" w:type="dxa"/>
            <w:vAlign w:val="bottom"/>
          </w:tcPr>
          <w:p>
            <w:pPr>
              <w:jc w:val="center"/>
              <w:spacing w:after="0"/>
              <w:rPr>
                <w:sz w:val="20"/>
                <w:szCs w:val="20"/>
                <w:color w:val="auto"/>
              </w:rPr>
            </w:pPr>
            <w:r>
              <w:rPr>
                <w:rFonts w:ascii="Arial" w:cs="Arial" w:eastAsia="Arial" w:hAnsi="Arial"/>
                <w:sz w:val="10"/>
                <w:szCs w:val="10"/>
                <w:color w:val="auto"/>
                <w:w w:val="94"/>
              </w:rPr>
              <w:t>Education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9.95 %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9,949</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9,872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9,750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01/03/25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L+625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6,859</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6,779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6,791</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920" w:type="dxa"/>
            <w:vAlign w:val="bottom"/>
          </w:tcPr>
          <w:p>
            <w:pPr>
              <w:ind w:left="340"/>
              <w:spacing w:after="0"/>
              <w:rPr>
                <w:sz w:val="20"/>
                <w:szCs w:val="20"/>
                <w:color w:val="auto"/>
              </w:rPr>
            </w:pPr>
            <w:r>
              <w:rPr>
                <w:rFonts w:ascii="Arial" w:cs="Arial" w:eastAsia="Arial" w:hAnsi="Arial"/>
                <w:sz w:val="10"/>
                <w:szCs w:val="10"/>
                <w:color w:val="auto"/>
              </w:rPr>
              <w:t>12/20/24</w:t>
            </w:r>
          </w:p>
        </w:tc>
        <w:tc>
          <w:tcPr>
            <w:tcW w:w="2420" w:type="dxa"/>
            <w:vAlign w:val="bottom"/>
          </w:tcPr>
          <w:p>
            <w:pPr>
              <w:jc w:val="center"/>
              <w:spacing w:after="0"/>
              <w:rPr>
                <w:sz w:val="20"/>
                <w:szCs w:val="20"/>
                <w:color w:val="auto"/>
              </w:rPr>
            </w:pPr>
            <w:r>
              <w:rPr>
                <w:rFonts w:ascii="Arial" w:cs="Arial" w:eastAsia="Arial" w:hAnsi="Arial"/>
                <w:sz w:val="10"/>
                <w:szCs w:val="10"/>
                <w:color w:val="auto"/>
                <w:w w:val="93"/>
              </w:rPr>
              <w:t>Electronics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7.15 %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5,082</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5,082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5,031</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Buyer,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06/13/29</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7.90 %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14,794</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14,775</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11,95</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Signature Systems Holding Company</w:t>
            </w:r>
          </w:p>
        </w:tc>
        <w:tc>
          <w:tcPr>
            <w:tcW w:w="920" w:type="dxa"/>
            <w:vAlign w:val="bottom"/>
          </w:tcPr>
          <w:p>
            <w:pPr>
              <w:ind w:left="340"/>
              <w:spacing w:after="0"/>
              <w:rPr>
                <w:sz w:val="20"/>
                <w:szCs w:val="20"/>
                <w:color w:val="auto"/>
              </w:rPr>
            </w:pPr>
            <w:r>
              <w:rPr>
                <w:rFonts w:ascii="Arial" w:cs="Arial" w:eastAsia="Arial" w:hAnsi="Arial"/>
                <w:sz w:val="10"/>
                <w:szCs w:val="10"/>
                <w:color w:val="auto"/>
              </w:rPr>
              <w:t>05/03/24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L+450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11,879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11,861</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11,38</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Solutionreach,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01/17/24</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Communications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6M L+675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11,352</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11,113</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12,09</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20" w:type="dxa"/>
            <w:vAlign w:val="bottom"/>
          </w:tcPr>
          <w:p>
            <w:pPr>
              <w:ind w:left="20"/>
              <w:spacing w:after="0"/>
              <w:rPr>
                <w:sz w:val="20"/>
                <w:szCs w:val="20"/>
                <w:color w:val="auto"/>
              </w:rPr>
            </w:pPr>
            <w:r>
              <w:rPr>
                <w:rFonts w:ascii="Arial" w:cs="Arial" w:eastAsia="Arial" w:hAnsi="Arial"/>
                <w:sz w:val="10"/>
                <w:szCs w:val="10"/>
                <w:color w:val="auto"/>
              </w:rPr>
              <w:t>STV Group Incorporated</w:t>
            </w:r>
          </w:p>
        </w:tc>
        <w:tc>
          <w:tcPr>
            <w:tcW w:w="920" w:type="dxa"/>
            <w:vAlign w:val="bottom"/>
          </w:tcPr>
          <w:p>
            <w:pPr>
              <w:ind w:left="340"/>
              <w:spacing w:after="0"/>
              <w:rPr>
                <w:sz w:val="20"/>
                <w:szCs w:val="20"/>
                <w:color w:val="auto"/>
              </w:rPr>
            </w:pPr>
            <w:r>
              <w:rPr>
                <w:rFonts w:ascii="Arial" w:cs="Arial" w:eastAsia="Arial" w:hAnsi="Arial"/>
                <w:sz w:val="10"/>
                <w:szCs w:val="10"/>
                <w:color w:val="auto"/>
              </w:rPr>
              <w:t>12/11/26</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8.37 %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12,031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11,978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554" w:right="680" w:bottom="188"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88" w:gutter="0" w:footer="0" w:header="0"/>
          <w:type w:val="continuous"/>
        </w:sectPr>
      </w:pPr>
    </w:p>
    <w:bookmarkStart w:id="27" w:name="page28"/>
    <w:bookmarkEnd w:id="27"/>
    <w:p>
      <w:pPr>
        <w:jc w:val="center"/>
        <w:ind w:right="4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Basis Point</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Spread Above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80" w:type="dxa"/>
            <w:vAlign w:val="bottom"/>
          </w:tcPr>
          <w:p>
            <w:pPr>
              <w:ind w:left="280"/>
              <w:spacing w:after="0"/>
              <w:rPr>
                <w:sz w:val="20"/>
                <w:szCs w:val="20"/>
                <w:color w:val="auto"/>
              </w:rPr>
            </w:pPr>
            <w:r>
              <w:rPr>
                <w:rFonts w:ascii="Arial" w:cs="Arial" w:eastAsia="Arial" w:hAnsi="Arial"/>
                <w:sz w:val="10"/>
                <w:szCs w:val="10"/>
                <w:b w:val="1"/>
                <w:bCs w:val="1"/>
                <w:color w:val="auto"/>
              </w:rPr>
              <w:t>Maturity</w:t>
            </w:r>
          </w:p>
        </w:tc>
        <w:tc>
          <w:tcPr>
            <w:tcW w:w="222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7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jc w:val="center"/>
              <w:ind w:right="11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(1)</w:t>
            </w:r>
          </w:p>
        </w:tc>
        <w:tc>
          <w:tcPr>
            <w:tcW w:w="980" w:type="dxa"/>
            <w:vAlign w:val="bottom"/>
            <w:gridSpan w:val="2"/>
          </w:tcPr>
          <w:p>
            <w:pPr>
              <w:jc w:val="right"/>
              <w:ind w:right="592"/>
              <w:spacing w:after="0"/>
              <w:rPr>
                <w:sz w:val="20"/>
                <w:szCs w:val="20"/>
                <w:color w:val="auto"/>
              </w:rPr>
            </w:pPr>
            <w:r>
              <w:rPr>
                <w:rFonts w:ascii="Arial" w:cs="Arial" w:eastAsia="Arial" w:hAnsi="Arial"/>
                <w:sz w:val="10"/>
                <w:szCs w:val="10"/>
                <w:b w:val="1"/>
                <w:bCs w:val="1"/>
                <w:color w:val="auto"/>
              </w:rPr>
              <w:t>Par</w:t>
            </w: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0"/>
                <w:szCs w:val="10"/>
                <w:b w:val="1"/>
                <w:bCs w:val="1"/>
                <w:color w:val="auto"/>
                <w:w w:val="96"/>
              </w:rPr>
              <w:t xml:space="preserve">Fair Value </w:t>
            </w:r>
            <w:r>
              <w:rPr>
                <w:rFonts w:ascii="Arial" w:cs="Arial" w:eastAsia="Arial" w:hAnsi="Arial"/>
                <w:sz w:val="12"/>
                <w:szCs w:val="12"/>
                <w:b w:val="1"/>
                <w:bCs w:val="1"/>
                <w:color w:val="auto"/>
                <w:w w:val="96"/>
                <w:vertAlign w:val="superscript"/>
              </w:rPr>
              <w:t>(2)</w:t>
            </w:r>
          </w:p>
        </w:tc>
      </w:tr>
      <w:tr>
        <w:trPr>
          <w:trHeight w:val="144"/>
        </w:trPr>
        <w:tc>
          <w:tcPr>
            <w:tcW w:w="30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0"/>
                <w:szCs w:val="10"/>
                <w:color w:val="auto"/>
              </w:rPr>
              <w:t>System Planning and Analysis, Inc. (f/k/a Management Consulting</w:t>
            </w:r>
          </w:p>
        </w:tc>
        <w:tc>
          <w:tcPr>
            <w:tcW w:w="8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3040" w:type="dxa"/>
            <w:vAlign w:val="bottom"/>
          </w:tcPr>
          <w:p>
            <w:pPr>
              <w:ind w:left="20"/>
              <w:spacing w:after="0"/>
              <w:rPr>
                <w:sz w:val="20"/>
                <w:szCs w:val="20"/>
                <w:color w:val="auto"/>
              </w:rPr>
            </w:pPr>
            <w:r>
              <w:rPr>
                <w:rFonts w:ascii="Arial" w:cs="Arial" w:eastAsia="Arial" w:hAnsi="Arial"/>
                <w:sz w:val="10"/>
                <w:szCs w:val="10"/>
                <w:color w:val="auto"/>
              </w:rPr>
              <w:t>&amp; Research,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8/16/2027</w:t>
            </w:r>
          </w:p>
        </w:tc>
        <w:tc>
          <w:tcPr>
            <w:tcW w:w="2220" w:type="dxa"/>
            <w:vAlign w:val="bottom"/>
          </w:tcPr>
          <w:p>
            <w:pPr>
              <w:jc w:val="center"/>
              <w:ind w:right="12"/>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8.73 %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SOFR+600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16,128</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15,785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15,870</w:t>
            </w:r>
          </w:p>
        </w:tc>
        <w:tc>
          <w:tcPr>
            <w:tcW w:w="80" w:type="dxa"/>
            <w:vAlign w:val="bottom"/>
          </w:tcPr>
          <w:p>
            <w:pPr>
              <w:spacing w:after="0"/>
              <w:rPr>
                <w:sz w:val="10"/>
                <w:szCs w:val="10"/>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Teneo Holdings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7/18/2025</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Financial Services</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7.73 %</w:t>
            </w:r>
          </w:p>
        </w:tc>
        <w:tc>
          <w:tcPr>
            <w:tcW w:w="10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L+525</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3,474</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3,435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3,271</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The Aegis Technologies Group, LLC</w:t>
            </w:r>
          </w:p>
        </w:tc>
        <w:tc>
          <w:tcPr>
            <w:tcW w:w="880" w:type="dxa"/>
            <w:vAlign w:val="bottom"/>
          </w:tcPr>
          <w:p>
            <w:pPr>
              <w:jc w:val="center"/>
              <w:spacing w:after="0"/>
              <w:rPr>
                <w:sz w:val="20"/>
                <w:szCs w:val="20"/>
                <w:color w:val="auto"/>
              </w:rPr>
            </w:pPr>
            <w:r>
              <w:rPr>
                <w:rFonts w:ascii="Arial" w:cs="Arial" w:eastAsia="Arial" w:hAnsi="Arial"/>
                <w:sz w:val="10"/>
                <w:szCs w:val="10"/>
                <w:color w:val="auto"/>
                <w:w w:val="95"/>
              </w:rPr>
              <w:t>10/31/2025</w:t>
            </w:r>
          </w:p>
        </w:tc>
        <w:tc>
          <w:tcPr>
            <w:tcW w:w="2220" w:type="dxa"/>
            <w:vAlign w:val="bottom"/>
          </w:tcPr>
          <w:p>
            <w:pPr>
              <w:jc w:val="center"/>
              <w:ind w:right="12"/>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9.67 %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11,208</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11,102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11,096</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Bluebird Group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7/27/2026</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10.67 %</w:t>
            </w:r>
          </w:p>
        </w:tc>
        <w:tc>
          <w:tcPr>
            <w:tcW w:w="10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L+650</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5,502</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5,549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5,557</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The Vertex Companies,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8/30/2027</w:t>
            </w:r>
          </w:p>
        </w:tc>
        <w:tc>
          <w:tcPr>
            <w:tcW w:w="22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8.62 %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840" w:type="dxa"/>
            <w:vAlign w:val="bottom"/>
          </w:tcPr>
          <w:p>
            <w:pPr>
              <w:jc w:val="right"/>
              <w:ind w:right="192"/>
              <w:spacing w:after="0"/>
              <w:rPr>
                <w:sz w:val="20"/>
                <w:szCs w:val="20"/>
                <w:color w:val="auto"/>
              </w:rPr>
            </w:pPr>
            <w:r>
              <w:rPr>
                <w:rFonts w:ascii="Arial" w:cs="Arial" w:eastAsia="Arial" w:hAnsi="Arial"/>
                <w:sz w:val="10"/>
                <w:szCs w:val="10"/>
                <w:color w:val="auto"/>
              </w:rPr>
              <w:t>4,531</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4,485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4,509</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11/24/2025</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Food</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7.78 %</w:t>
            </w:r>
          </w:p>
        </w:tc>
        <w:tc>
          <w:tcPr>
            <w:tcW w:w="10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L+525</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5,536</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5,392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5,370</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TVC Enterprises,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3/26/2026</w:t>
            </w:r>
          </w:p>
        </w:tc>
        <w:tc>
          <w:tcPr>
            <w:tcW w:w="222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17,381</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17,244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16,946</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TWS Acquisition Corporation</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6/16/2025</w:t>
            </w:r>
          </w:p>
        </w:tc>
        <w:tc>
          <w:tcPr>
            <w:tcW w:w="222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8"/>
              </w:rPr>
              <w:t>Education</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8.76 %</w:t>
            </w:r>
          </w:p>
        </w:tc>
        <w:tc>
          <w:tcPr>
            <w:tcW w:w="10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L+625</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7,949</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7,917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7,910</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Tyto Athene, LLC</w:t>
            </w:r>
          </w:p>
        </w:tc>
        <w:tc>
          <w:tcPr>
            <w:tcW w:w="880" w:type="dxa"/>
            <w:vAlign w:val="bottom"/>
          </w:tcPr>
          <w:p>
            <w:pPr>
              <w:jc w:val="center"/>
              <w:spacing w:after="0"/>
              <w:rPr>
                <w:sz w:val="20"/>
                <w:szCs w:val="20"/>
                <w:color w:val="auto"/>
              </w:rPr>
            </w:pPr>
            <w:r>
              <w:rPr>
                <w:rFonts w:ascii="Arial" w:cs="Arial" w:eastAsia="Arial" w:hAnsi="Arial"/>
                <w:sz w:val="10"/>
                <w:szCs w:val="10"/>
                <w:color w:val="auto"/>
                <w:w w:val="92"/>
              </w:rPr>
              <w:t>4/3/2028</w:t>
            </w:r>
          </w:p>
        </w:tc>
        <w:tc>
          <w:tcPr>
            <w:tcW w:w="2220" w:type="dxa"/>
            <w:vAlign w:val="bottom"/>
          </w:tcPr>
          <w:p>
            <w:pPr>
              <w:jc w:val="center"/>
              <w:ind w:right="12"/>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7.76 %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12,064</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11,938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11,208</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UBEO,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4/3/2024</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Printing and Publishing</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8.17 %</w:t>
            </w:r>
          </w:p>
        </w:tc>
        <w:tc>
          <w:tcPr>
            <w:tcW w:w="10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L+450</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4,674</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4,657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4,604</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Unique Indoor Comfort,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5/24/2027</w:t>
            </w:r>
          </w:p>
        </w:tc>
        <w:tc>
          <w:tcPr>
            <w:tcW w:w="2220" w:type="dxa"/>
            <w:vAlign w:val="bottom"/>
          </w:tcPr>
          <w:p>
            <w:pPr>
              <w:jc w:val="center"/>
              <w:spacing w:after="0"/>
              <w:rPr>
                <w:sz w:val="20"/>
                <w:szCs w:val="20"/>
                <w:color w:val="auto"/>
              </w:rPr>
            </w:pPr>
            <w:r>
              <w:rPr>
                <w:rFonts w:ascii="Arial" w:cs="Arial" w:eastAsia="Arial" w:hAnsi="Arial"/>
                <w:sz w:val="10"/>
                <w:szCs w:val="10"/>
                <w:color w:val="auto"/>
                <w:w w:val="95"/>
              </w:rPr>
              <w:t>Home and Office Furnishings, Housewares</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8.95 %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3M L+525</w:t>
            </w:r>
          </w:p>
        </w:tc>
        <w:tc>
          <w:tcPr>
            <w:tcW w:w="840" w:type="dxa"/>
            <w:vAlign w:val="bottom"/>
          </w:tcPr>
          <w:p>
            <w:pPr>
              <w:jc w:val="right"/>
              <w:ind w:right="192"/>
              <w:spacing w:after="0"/>
              <w:rPr>
                <w:sz w:val="20"/>
                <w:szCs w:val="20"/>
                <w:color w:val="auto"/>
              </w:rPr>
            </w:pPr>
            <w:r>
              <w:rPr>
                <w:rFonts w:ascii="Arial" w:cs="Arial" w:eastAsia="Arial" w:hAnsi="Arial"/>
                <w:sz w:val="10"/>
                <w:szCs w:val="10"/>
                <w:color w:val="auto"/>
              </w:rPr>
              <w:t>9,975</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9,840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9,755</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Wildcat Buyerco, Inc.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2/27/2026</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Electronics</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9.45 %</w:t>
            </w:r>
          </w:p>
        </w:tc>
        <w:tc>
          <w:tcPr>
            <w:tcW w:w="10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SOFR+575</w:t>
            </w:r>
          </w:p>
        </w:tc>
        <w:tc>
          <w:tcPr>
            <w:tcW w:w="8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11,506</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11,420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11,110</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Zips Car Wash, LLC</w:t>
            </w:r>
          </w:p>
        </w:tc>
        <w:tc>
          <w:tcPr>
            <w:tcW w:w="880" w:type="dxa"/>
            <w:vAlign w:val="bottom"/>
          </w:tcPr>
          <w:p>
            <w:pPr>
              <w:jc w:val="center"/>
              <w:spacing w:after="0"/>
              <w:rPr>
                <w:sz w:val="20"/>
                <w:szCs w:val="20"/>
                <w:color w:val="auto"/>
              </w:rPr>
            </w:pPr>
            <w:r>
              <w:rPr>
                <w:rFonts w:ascii="Arial" w:cs="Arial" w:eastAsia="Arial" w:hAnsi="Arial"/>
                <w:sz w:val="10"/>
                <w:szCs w:val="10"/>
                <w:color w:val="auto"/>
                <w:w w:val="92"/>
              </w:rPr>
              <w:t>3/1/2024</w:t>
            </w:r>
          </w:p>
        </w:tc>
        <w:tc>
          <w:tcPr>
            <w:tcW w:w="22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10.24 %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3M L+725</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19,998</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19,673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19,498</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738,219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730,108</w:t>
            </w:r>
          </w:p>
        </w:tc>
        <w:tc>
          <w:tcPr>
            <w:tcW w:w="80" w:type="dxa"/>
            <w:vAlign w:val="bottom"/>
          </w:tcPr>
          <w:p>
            <w:pPr>
              <w:spacing w:after="0"/>
              <w:rPr>
                <w:sz w:val="12"/>
                <w:szCs w:val="12"/>
                <w:color w:val="auto"/>
              </w:rPr>
            </w:pPr>
          </w:p>
        </w:tc>
      </w:tr>
      <w:tr>
        <w:trPr>
          <w:trHeight w:val="144"/>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- 864.4%</w:t>
            </w: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 - 50.9%</w:t>
            </w: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BlackRock Federal FD Institutional 30</w:t>
            </w: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42,966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42,966</w:t>
            </w:r>
          </w:p>
        </w:tc>
        <w:tc>
          <w:tcPr>
            <w:tcW w:w="80" w:type="dxa"/>
            <w:vAlign w:val="bottom"/>
            <w:shd w:val="clear" w:color="auto" w:fill="CCECFF"/>
          </w:tcPr>
          <w:p>
            <w:pPr>
              <w:spacing w:after="0"/>
              <w:rPr>
                <w:sz w:val="12"/>
                <w:szCs w:val="12"/>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42,966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42,966</w:t>
            </w:r>
          </w:p>
        </w:tc>
        <w:tc>
          <w:tcPr>
            <w:tcW w:w="80" w:type="dxa"/>
            <w:vAlign w:val="bottom"/>
          </w:tcPr>
          <w:p>
            <w:pPr>
              <w:spacing w:after="0"/>
              <w:rPr>
                <w:sz w:val="18"/>
                <w:szCs w:val="18"/>
                <w:color w:val="auto"/>
              </w:rPr>
            </w:pPr>
          </w:p>
        </w:tc>
      </w:tr>
      <w:tr>
        <w:trPr>
          <w:trHeight w:val="184"/>
        </w:trPr>
        <w:tc>
          <w:tcPr>
            <w:tcW w:w="3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and Cash Equivalents - 915.3%</w:t>
            </w:r>
          </w:p>
        </w:tc>
        <w:tc>
          <w:tcPr>
            <w:tcW w:w="880" w:type="dxa"/>
            <w:vAlign w:val="bottom"/>
            <w:tcBorders>
              <w:bottom w:val="single" w:sz="8" w:color="CCECFF"/>
            </w:tcBorders>
            <w:shd w:val="clear" w:color="auto" w:fill="CCECFF"/>
          </w:tcPr>
          <w:p>
            <w:pPr>
              <w:spacing w:after="0"/>
              <w:rPr>
                <w:sz w:val="16"/>
                <w:szCs w:val="16"/>
                <w:color w:val="auto"/>
              </w:rPr>
            </w:pPr>
          </w:p>
        </w:tc>
        <w:tc>
          <w:tcPr>
            <w:tcW w:w="222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781,185</w:t>
            </w: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773,074</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20"/>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Liabilities in Excess of Other Assets — (815.3)%</w:t>
            </w:r>
          </w:p>
        </w:tc>
        <w:tc>
          <w:tcPr>
            <w:tcW w:w="8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(688,612 )</w:t>
            </w:r>
          </w:p>
        </w:tc>
      </w:tr>
      <w:tr>
        <w:trPr>
          <w:trHeight w:val="184"/>
        </w:trPr>
        <w:tc>
          <w:tcPr>
            <w:tcW w:w="3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Members' Equity—100.0%</w:t>
            </w:r>
          </w:p>
        </w:tc>
        <w:tc>
          <w:tcPr>
            <w:tcW w:w="880" w:type="dxa"/>
            <w:vAlign w:val="bottom"/>
            <w:tcBorders>
              <w:bottom w:val="single" w:sz="8" w:color="CCECFF"/>
            </w:tcBorders>
            <w:shd w:val="clear" w:color="auto" w:fill="CCECFF"/>
          </w:tcPr>
          <w:p>
            <w:pPr>
              <w:spacing w:after="0"/>
              <w:rPr>
                <w:sz w:val="16"/>
                <w:szCs w:val="16"/>
                <w:color w:val="auto"/>
              </w:rPr>
            </w:pPr>
          </w:p>
        </w:tc>
        <w:tc>
          <w:tcPr>
            <w:tcW w:w="222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48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84,462</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line="219" w:lineRule="exact"/>
        <w:rPr>
          <w:sz w:val="20"/>
          <w:szCs w:val="20"/>
          <w:color w:val="auto"/>
        </w:rPr>
      </w:pPr>
    </w:p>
    <w:p>
      <w:pPr>
        <w:ind w:right="120"/>
        <w:spacing w:after="0" w:line="225"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PSLF’s accounting policy.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Pr>
          <w:p>
            <w:pPr>
              <w:ind w:left="420"/>
              <w:spacing w:after="0"/>
              <w:rPr>
                <w:sz w:val="20"/>
                <w:szCs w:val="20"/>
                <w:color w:val="auto"/>
              </w:rPr>
            </w:pPr>
            <w:r>
              <w:rPr>
                <w:rFonts w:ascii="Arial" w:cs="Arial" w:eastAsia="Arial" w:hAnsi="Arial"/>
                <w:sz w:val="13"/>
                <w:szCs w:val="13"/>
                <w:color w:val="auto"/>
              </w:rPr>
              <w:t>Below are the consolidated statements of assets and liabilities for PSLF ($ in thousands):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8"/>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March 31, 2023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(Unaudited)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2022</w:t>
            </w:r>
          </w:p>
        </w:tc>
      </w:tr>
      <w:tr>
        <w:trPr>
          <w:trHeight w:val="180"/>
        </w:trPr>
        <w:tc>
          <w:tcPr>
            <w:tcW w:w="606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5"/>
        </w:trPr>
        <w:tc>
          <w:tcPr>
            <w:tcW w:w="6060" w:type="dxa"/>
            <w:vAlign w:val="bottom"/>
          </w:tcPr>
          <w:p>
            <w:pPr>
              <w:ind w:left="20"/>
              <w:spacing w:after="0"/>
              <w:rPr>
                <w:sz w:val="20"/>
                <w:szCs w:val="20"/>
                <w:color w:val="auto"/>
              </w:rPr>
            </w:pPr>
            <w:r>
              <w:rPr>
                <w:rFonts w:ascii="Arial" w:cs="Arial" w:eastAsia="Arial" w:hAnsi="Arial"/>
                <w:sz w:val="13"/>
                <w:szCs w:val="13"/>
                <w:color w:val="auto"/>
              </w:rPr>
              <w:t>Investments at fair value (cost—$761,289 and $738,219, respectively)</w:t>
            </w: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747,561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730,108</w:t>
            </w:r>
          </w:p>
        </w:tc>
        <w:tc>
          <w:tcPr>
            <w:tcW w:w="80" w:type="dxa"/>
            <w:vAlign w:val="bottom"/>
          </w:tcPr>
          <w:p>
            <w:pPr>
              <w:spacing w:after="0"/>
              <w:rPr>
                <w:sz w:val="15"/>
                <w:szCs w:val="15"/>
                <w:color w:val="auto"/>
              </w:rPr>
            </w:pPr>
          </w:p>
        </w:tc>
      </w:tr>
      <w:tr>
        <w:trPr>
          <w:trHeight w:val="185"/>
        </w:trPr>
        <w:tc>
          <w:tcPr>
            <w:tcW w:w="606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 (cost—$41,361 and $42,966, respectively)</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41,361</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42,966</w:t>
            </w:r>
          </w:p>
        </w:tc>
        <w:tc>
          <w:tcPr>
            <w:tcW w:w="80" w:type="dxa"/>
            <w:vAlign w:val="bottom"/>
            <w:shd w:val="clear" w:color="auto" w:fill="CCECFF"/>
          </w:tcPr>
          <w:p>
            <w:pPr>
              <w:spacing w:after="0"/>
              <w:rPr>
                <w:sz w:val="16"/>
                <w:szCs w:val="16"/>
                <w:color w:val="auto"/>
              </w:rPr>
            </w:pPr>
          </w:p>
        </w:tc>
      </w:tr>
      <w:tr>
        <w:trPr>
          <w:trHeight w:val="175"/>
        </w:trPr>
        <w:tc>
          <w:tcPr>
            <w:tcW w:w="6060" w:type="dxa"/>
            <w:vAlign w:val="bottom"/>
          </w:tcPr>
          <w:p>
            <w:pPr>
              <w:ind w:left="20"/>
              <w:spacing w:after="0"/>
              <w:rPr>
                <w:sz w:val="20"/>
                <w:szCs w:val="20"/>
                <w:color w:val="auto"/>
              </w:rPr>
            </w:pPr>
            <w:r>
              <w:rPr>
                <w:rFonts w:ascii="Arial" w:cs="Arial" w:eastAsia="Arial" w:hAnsi="Arial"/>
                <w:sz w:val="13"/>
                <w:szCs w:val="13"/>
                <w:color w:val="auto"/>
              </w:rPr>
              <w:t>Receivable for investments sold</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3,870</w:t>
            </w:r>
          </w:p>
        </w:tc>
        <w:tc>
          <w:tcPr>
            <w:tcW w:w="80" w:type="dxa"/>
            <w:vAlign w:val="bottom"/>
          </w:tcPr>
          <w:p>
            <w:pPr>
              <w:spacing w:after="0"/>
              <w:rPr>
                <w:sz w:val="15"/>
                <w:szCs w:val="15"/>
                <w:color w:val="auto"/>
              </w:rPr>
            </w:pPr>
          </w:p>
        </w:tc>
      </w:tr>
      <w:tr>
        <w:trPr>
          <w:trHeight w:val="185"/>
        </w:trPr>
        <w:tc>
          <w:tcPr>
            <w:tcW w:w="606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receivable</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2,997</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2,970</w:t>
            </w:r>
          </w:p>
        </w:tc>
        <w:tc>
          <w:tcPr>
            <w:tcW w:w="80" w:type="dxa"/>
            <w:vAlign w:val="bottom"/>
            <w:shd w:val="clear" w:color="auto" w:fill="CCECFF"/>
          </w:tcPr>
          <w:p>
            <w:pPr>
              <w:spacing w:after="0"/>
              <w:rPr>
                <w:sz w:val="16"/>
                <w:szCs w:val="16"/>
                <w:color w:val="auto"/>
              </w:rPr>
            </w:pPr>
          </w:p>
        </w:tc>
      </w:tr>
      <w:tr>
        <w:trPr>
          <w:trHeight w:val="175"/>
        </w:trPr>
        <w:tc>
          <w:tcPr>
            <w:tcW w:w="606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1,373</w:t>
            </w:r>
          </w:p>
        </w:tc>
        <w:tc>
          <w:tcPr>
            <w:tcW w:w="80" w:type="dxa"/>
            <w:vAlign w:val="bottom"/>
          </w:tcPr>
          <w:p>
            <w:pPr>
              <w:spacing w:after="0"/>
              <w:rPr>
                <w:sz w:val="15"/>
                <w:szCs w:val="15"/>
                <w:color w:val="auto"/>
              </w:rPr>
            </w:pPr>
          </w:p>
        </w:tc>
      </w:tr>
      <w:tr>
        <w:trPr>
          <w:trHeight w:val="185"/>
        </w:trPr>
        <w:tc>
          <w:tcPr>
            <w:tcW w:w="606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793,008</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781,287</w:t>
            </w:r>
          </w:p>
        </w:tc>
        <w:tc>
          <w:tcPr>
            <w:tcW w:w="80" w:type="dxa"/>
            <w:vAlign w:val="bottom"/>
            <w:shd w:val="clear" w:color="auto" w:fill="CCECFF"/>
          </w:tcPr>
          <w:p>
            <w:pPr>
              <w:spacing w:after="0"/>
              <w:rPr>
                <w:sz w:val="16"/>
                <w:szCs w:val="16"/>
                <w:color w:val="auto"/>
              </w:rPr>
            </w:pPr>
          </w:p>
        </w:tc>
      </w:tr>
      <w:tr>
        <w:trPr>
          <w:trHeight w:val="180"/>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060" w:type="dxa"/>
            <w:vAlign w:val="bottom"/>
            <w:shd w:val="clear" w:color="auto" w:fill="CCECFF"/>
          </w:tcPr>
          <w:p>
            <w:pPr>
              <w:ind w:left="20"/>
              <w:spacing w:after="0"/>
              <w:rPr>
                <w:sz w:val="20"/>
                <w:szCs w:val="20"/>
                <w:color w:val="auto"/>
              </w:rPr>
            </w:pPr>
            <w:r>
              <w:rPr>
                <w:rFonts w:ascii="Arial" w:cs="Arial" w:eastAsia="Arial" w:hAnsi="Arial"/>
                <w:sz w:val="13"/>
                <w:szCs w:val="13"/>
                <w:color w:val="auto"/>
              </w:rPr>
              <w:t>Credit facility payable</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284,600</w:t>
            </w:r>
          </w:p>
        </w:tc>
        <w:tc>
          <w:tcPr>
            <w:tcW w:w="100" w:type="dxa"/>
            <w:vAlign w:val="bottom"/>
            <w:shd w:val="clear" w:color="auto" w:fill="CCECFF"/>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257,600</w:t>
            </w:r>
          </w:p>
        </w:tc>
        <w:tc>
          <w:tcPr>
            <w:tcW w:w="80" w:type="dxa"/>
            <w:vAlign w:val="bottom"/>
            <w:shd w:val="clear" w:color="auto" w:fill="CCECFF"/>
          </w:tcPr>
          <w:p>
            <w:pPr>
              <w:spacing w:after="0"/>
              <w:rPr>
                <w:sz w:val="15"/>
                <w:szCs w:val="15"/>
                <w:color w:val="auto"/>
              </w:rPr>
            </w:pPr>
          </w:p>
        </w:tc>
      </w:tr>
      <w:tr>
        <w:trPr>
          <w:trHeight w:val="175"/>
        </w:trPr>
        <w:tc>
          <w:tcPr>
            <w:tcW w:w="6060" w:type="dxa"/>
            <w:vAlign w:val="bottom"/>
          </w:tcPr>
          <w:p>
            <w:pPr>
              <w:ind w:left="20"/>
              <w:spacing w:after="0"/>
              <w:rPr>
                <w:sz w:val="20"/>
                <w:szCs w:val="20"/>
                <w:color w:val="auto"/>
              </w:rPr>
            </w:pPr>
            <w:r>
              <w:rPr>
                <w:rFonts w:ascii="Arial" w:cs="Arial" w:eastAsia="Arial" w:hAnsi="Arial"/>
                <w:sz w:val="13"/>
                <w:szCs w:val="13"/>
                <w:color w:val="auto"/>
              </w:rPr>
              <w:t>2034 Asset-backed debt, net (par—$246,000)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244,089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243,896</w:t>
            </w:r>
          </w:p>
        </w:tc>
        <w:tc>
          <w:tcPr>
            <w:tcW w:w="80" w:type="dxa"/>
            <w:vAlign w:val="bottom"/>
          </w:tcPr>
          <w:p>
            <w:pPr>
              <w:spacing w:after="0"/>
              <w:rPr>
                <w:sz w:val="15"/>
                <w:szCs w:val="15"/>
                <w:color w:val="auto"/>
              </w:rPr>
            </w:pPr>
          </w:p>
        </w:tc>
      </w:tr>
      <w:tr>
        <w:trPr>
          <w:trHeight w:val="185"/>
        </w:trPr>
        <w:tc>
          <w:tcPr>
            <w:tcW w:w="6060" w:type="dxa"/>
            <w:vAlign w:val="bottom"/>
            <w:shd w:val="clear" w:color="auto" w:fill="CCECFF"/>
          </w:tcPr>
          <w:p>
            <w:pPr>
              <w:ind w:left="20"/>
              <w:spacing w:after="0"/>
              <w:rPr>
                <w:sz w:val="20"/>
                <w:szCs w:val="20"/>
                <w:color w:val="auto"/>
              </w:rPr>
            </w:pPr>
            <w:r>
              <w:rPr>
                <w:rFonts w:ascii="Arial" w:cs="Arial" w:eastAsia="Arial" w:hAnsi="Arial"/>
                <w:sz w:val="13"/>
                <w:szCs w:val="13"/>
                <w:color w:val="auto"/>
              </w:rPr>
              <w:t>Notes payable to members</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157,605</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145,472</w:t>
            </w:r>
          </w:p>
        </w:tc>
        <w:tc>
          <w:tcPr>
            <w:tcW w:w="80" w:type="dxa"/>
            <w:vAlign w:val="bottom"/>
            <w:shd w:val="clear" w:color="auto" w:fill="CCECFF"/>
          </w:tcPr>
          <w:p>
            <w:pPr>
              <w:spacing w:after="0"/>
              <w:rPr>
                <w:sz w:val="16"/>
                <w:szCs w:val="16"/>
                <w:color w:val="auto"/>
              </w:rPr>
            </w:pPr>
          </w:p>
        </w:tc>
      </w:tr>
      <w:tr>
        <w:trPr>
          <w:trHeight w:val="175"/>
        </w:trPr>
        <w:tc>
          <w:tcPr>
            <w:tcW w:w="6060" w:type="dxa"/>
            <w:vAlign w:val="bottom"/>
          </w:tcPr>
          <w:p>
            <w:pPr>
              <w:ind w:left="20"/>
              <w:spacing w:after="0"/>
              <w:rPr>
                <w:sz w:val="20"/>
                <w:szCs w:val="20"/>
                <w:color w:val="auto"/>
              </w:rPr>
            </w:pPr>
            <w:r>
              <w:rPr>
                <w:rFonts w:ascii="Arial" w:cs="Arial" w:eastAsia="Arial" w:hAnsi="Arial"/>
                <w:sz w:val="13"/>
                <w:szCs w:val="13"/>
                <w:color w:val="auto"/>
              </w:rPr>
              <w:t>Payable for investments purchased</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37,658</w:t>
            </w:r>
          </w:p>
        </w:tc>
        <w:tc>
          <w:tcPr>
            <w:tcW w:w="80" w:type="dxa"/>
            <w:vAlign w:val="bottom"/>
          </w:tcPr>
          <w:p>
            <w:pPr>
              <w:spacing w:after="0"/>
              <w:rPr>
                <w:sz w:val="15"/>
                <w:szCs w:val="15"/>
                <w:color w:val="auto"/>
              </w:rPr>
            </w:pPr>
          </w:p>
        </w:tc>
      </w:tr>
      <w:tr>
        <w:trPr>
          <w:trHeight w:val="185"/>
        </w:trPr>
        <w:tc>
          <w:tcPr>
            <w:tcW w:w="606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payable on credit facility and asset backed debt</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8,019</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4,676</w:t>
            </w:r>
          </w:p>
        </w:tc>
        <w:tc>
          <w:tcPr>
            <w:tcW w:w="80" w:type="dxa"/>
            <w:vAlign w:val="bottom"/>
            <w:shd w:val="clear" w:color="auto" w:fill="CCECFF"/>
          </w:tcPr>
          <w:p>
            <w:pPr>
              <w:spacing w:after="0"/>
              <w:rPr>
                <w:sz w:val="16"/>
                <w:szCs w:val="16"/>
                <w:color w:val="auto"/>
              </w:rPr>
            </w:pPr>
          </w:p>
        </w:tc>
      </w:tr>
      <w:tr>
        <w:trPr>
          <w:trHeight w:val="175"/>
        </w:trPr>
        <w:tc>
          <w:tcPr>
            <w:tcW w:w="6060" w:type="dxa"/>
            <w:vAlign w:val="bottom"/>
          </w:tcPr>
          <w:p>
            <w:pPr>
              <w:ind w:left="20"/>
              <w:spacing w:after="0"/>
              <w:rPr>
                <w:sz w:val="20"/>
                <w:szCs w:val="20"/>
                <w:color w:val="auto"/>
              </w:rPr>
            </w:pPr>
            <w:r>
              <w:rPr>
                <w:rFonts w:ascii="Arial" w:cs="Arial" w:eastAsia="Arial" w:hAnsi="Arial"/>
                <w:sz w:val="13"/>
                <w:szCs w:val="13"/>
                <w:color w:val="auto"/>
              </w:rPr>
              <w:t>Distribution payable to Members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4,000</w:t>
            </w:r>
          </w:p>
        </w:tc>
        <w:tc>
          <w:tcPr>
            <w:tcW w:w="80" w:type="dxa"/>
            <w:vAlign w:val="bottom"/>
          </w:tcPr>
          <w:p>
            <w:pPr>
              <w:spacing w:after="0"/>
              <w:rPr>
                <w:sz w:val="15"/>
                <w:szCs w:val="15"/>
                <w:color w:val="auto"/>
              </w:rPr>
            </w:pPr>
          </w:p>
        </w:tc>
      </w:tr>
      <w:tr>
        <w:trPr>
          <w:trHeight w:val="185"/>
        </w:trPr>
        <w:tc>
          <w:tcPr>
            <w:tcW w:w="606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payable on notes to members</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3,369</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2,703</w:t>
            </w:r>
          </w:p>
        </w:tc>
        <w:tc>
          <w:tcPr>
            <w:tcW w:w="80" w:type="dxa"/>
            <w:vAlign w:val="bottom"/>
            <w:shd w:val="clear" w:color="auto" w:fill="CCECFF"/>
          </w:tcPr>
          <w:p>
            <w:pPr>
              <w:spacing w:after="0"/>
              <w:rPr>
                <w:sz w:val="16"/>
                <w:szCs w:val="16"/>
                <w:color w:val="auto"/>
              </w:rPr>
            </w:pPr>
          </w:p>
        </w:tc>
      </w:tr>
      <w:tr>
        <w:trPr>
          <w:trHeight w:val="175"/>
        </w:trPr>
        <w:tc>
          <w:tcPr>
            <w:tcW w:w="6060" w:type="dxa"/>
            <w:vAlign w:val="bottom"/>
          </w:tcPr>
          <w:p>
            <w:pPr>
              <w:ind w:left="20"/>
              <w:spacing w:after="0"/>
              <w:rPr>
                <w:sz w:val="20"/>
                <w:szCs w:val="20"/>
                <w:color w:val="auto"/>
              </w:rPr>
            </w:pPr>
            <w:r>
              <w:rPr>
                <w:rFonts w:ascii="Arial" w:cs="Arial" w:eastAsia="Arial" w:hAnsi="Arial"/>
                <w:sz w:val="13"/>
                <w:szCs w:val="13"/>
                <w:color w:val="auto"/>
              </w:rPr>
              <w:t>Accrued expenses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820</w:t>
            </w:r>
          </w:p>
        </w:tc>
        <w:tc>
          <w:tcPr>
            <w:tcW w:w="80" w:type="dxa"/>
            <w:vAlign w:val="bottom"/>
          </w:tcPr>
          <w:p>
            <w:pPr>
              <w:spacing w:after="0"/>
              <w:rPr>
                <w:sz w:val="15"/>
                <w:szCs w:val="15"/>
                <w:color w:val="auto"/>
              </w:rPr>
            </w:pPr>
          </w:p>
        </w:tc>
      </w:tr>
      <w:tr>
        <w:trPr>
          <w:trHeight w:val="185"/>
        </w:trPr>
        <w:tc>
          <w:tcPr>
            <w:tcW w:w="606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Total liabilities</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704,786</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696,825</w:t>
            </w:r>
          </w:p>
        </w:tc>
        <w:tc>
          <w:tcPr>
            <w:tcW w:w="80" w:type="dxa"/>
            <w:vAlign w:val="bottom"/>
            <w:shd w:val="clear" w:color="auto" w:fill="CCECFF"/>
          </w:tcPr>
          <w:p>
            <w:pPr>
              <w:spacing w:after="0"/>
              <w:rPr>
                <w:sz w:val="16"/>
                <w:szCs w:val="16"/>
                <w:color w:val="auto"/>
              </w:rPr>
            </w:pPr>
          </w:p>
        </w:tc>
      </w:tr>
      <w:tr>
        <w:trPr>
          <w:trHeight w:val="180"/>
        </w:trPr>
        <w:tc>
          <w:tcPr>
            <w:tcW w:w="606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Commitments and contingencies </w:t>
            </w:r>
            <w:r>
              <w:rPr>
                <w:rFonts w:ascii="Arial" w:cs="Arial" w:eastAsia="Arial" w:hAnsi="Arial"/>
                <w:sz w:val="16"/>
                <w:szCs w:val="16"/>
                <w:color w:val="auto"/>
                <w:vertAlign w:val="superscript"/>
              </w:rPr>
              <w:t>(1)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06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Members' equity</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88,222</w:t>
            </w:r>
          </w:p>
        </w:tc>
        <w:tc>
          <w:tcPr>
            <w:tcW w:w="100" w:type="dxa"/>
            <w:vAlign w:val="bottom"/>
            <w:shd w:val="clear" w:color="auto" w:fill="CCECFF"/>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84,462</w:t>
            </w:r>
          </w:p>
        </w:tc>
        <w:tc>
          <w:tcPr>
            <w:tcW w:w="80" w:type="dxa"/>
            <w:vAlign w:val="bottom"/>
            <w:shd w:val="clear" w:color="auto" w:fill="CCECFF"/>
          </w:tcPr>
          <w:p>
            <w:pPr>
              <w:spacing w:after="0"/>
              <w:rPr>
                <w:sz w:val="15"/>
                <w:szCs w:val="15"/>
                <w:color w:val="auto"/>
              </w:rPr>
            </w:pPr>
          </w:p>
        </w:tc>
      </w:tr>
      <w:tr>
        <w:trPr>
          <w:trHeight w:val="180"/>
        </w:trPr>
        <w:tc>
          <w:tcPr>
            <w:tcW w:w="6060" w:type="dxa"/>
            <w:vAlign w:val="bottom"/>
          </w:tcPr>
          <w:p>
            <w:pPr>
              <w:ind w:left="500"/>
              <w:spacing w:after="0"/>
              <w:rPr>
                <w:sz w:val="20"/>
                <w:szCs w:val="20"/>
                <w:color w:val="auto"/>
              </w:rPr>
            </w:pPr>
            <w:r>
              <w:rPr>
                <w:rFonts w:ascii="Arial" w:cs="Arial" w:eastAsia="Arial" w:hAnsi="Arial"/>
                <w:sz w:val="13"/>
                <w:szCs w:val="13"/>
                <w:b w:val="1"/>
                <w:bCs w:val="1"/>
                <w:color w:val="auto"/>
              </w:rPr>
              <w:t>Total liabilities and members' equity</w:t>
            </w: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793,008</w:t>
            </w:r>
          </w:p>
        </w:tc>
        <w:tc>
          <w:tcPr>
            <w:tcW w:w="100" w:type="dxa"/>
            <w:vAlign w:val="bottom"/>
          </w:tcPr>
          <w:p>
            <w:pPr>
              <w:spacing w:after="0"/>
              <w:rPr>
                <w:sz w:val="15"/>
                <w:szCs w:val="15"/>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781,287</w:t>
            </w:r>
          </w:p>
        </w:tc>
        <w:tc>
          <w:tcPr>
            <w:tcW w:w="80" w:type="dxa"/>
            <w:vAlign w:val="bottom"/>
          </w:tcPr>
          <w:p>
            <w:pPr>
              <w:spacing w:after="0"/>
              <w:rPr>
                <w:sz w:val="15"/>
                <w:szCs w:val="15"/>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As of March 31, 2023 and September 30, 2022, PSLF had unfunded commitments to fund investments of $0.1 million and $0.1 million, respectively</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40" w:orient="portrait"/>
          <w:cols w:equalWidth="0" w:num="1">
            <w:col w:w="10560"/>
          </w:cols>
          <w:pgMar w:left="660" w:top="554" w:right="680" w:bottom="1440" w:gutter="0" w:footer="0" w:header="0"/>
        </w:sectPr>
      </w:pPr>
    </w:p>
    <w:bookmarkStart w:id="28" w:name="page29"/>
    <w:bookmarkEnd w:id="28"/>
    <w:p>
      <w:pPr>
        <w:jc w:val="center"/>
        <w:ind w:right="6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0" w:type="dxa"/>
            <w:vAlign w:val="bottom"/>
          </w:tcPr>
          <w:p>
            <w:pPr>
              <w:ind w:left="4820"/>
              <w:spacing w:after="0"/>
              <w:rPr>
                <w:sz w:val="20"/>
                <w:szCs w:val="20"/>
                <w:color w:val="auto"/>
              </w:rPr>
            </w:pPr>
            <w:r>
              <w:rPr>
                <w:rFonts w:ascii="Arial" w:cs="Arial" w:eastAsia="Arial" w:hAnsi="Arial"/>
                <w:sz w:val="13"/>
                <w:szCs w:val="13"/>
                <w:b w:val="1"/>
                <w:bCs w:val="1"/>
                <w:color w:val="auto"/>
              </w:rPr>
              <w:t>March 31, 2023</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6"/>
        </w:trPr>
        <w:tc>
          <w:tcPr>
            <w:tcW w:w="5800" w:type="dxa"/>
            <w:vAlign w:val="bottom"/>
          </w:tcPr>
          <w:p>
            <w:pPr>
              <w:ind w:left="420"/>
              <w:spacing w:after="0"/>
              <w:rPr>
                <w:sz w:val="20"/>
                <w:szCs w:val="20"/>
                <w:color w:val="auto"/>
              </w:rPr>
            </w:pPr>
            <w:r>
              <w:rPr>
                <w:rFonts w:ascii="Arial" w:cs="Arial" w:eastAsia="Arial" w:hAnsi="Arial"/>
                <w:sz w:val="13"/>
                <w:szCs w:val="13"/>
                <w:color w:val="auto"/>
              </w:rPr>
              <w:t>Below are the consolidated statements of operations for PSLF ($ in thousands):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Three Months Ended March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Six Months Ended March 31,</w:t>
            </w:r>
          </w:p>
        </w:tc>
      </w:tr>
      <w:tr>
        <w:trPr>
          <w:trHeight w:val="183"/>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0"/>
        </w:trPr>
        <w:tc>
          <w:tcPr>
            <w:tcW w:w="580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Investment income:</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5"/>
        </w:trPr>
        <w:tc>
          <w:tcPr>
            <w:tcW w:w="580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21,223</w:t>
            </w:r>
          </w:p>
        </w:tc>
        <w:tc>
          <w:tcPr>
            <w:tcW w:w="1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7,698</w:t>
            </w:r>
          </w:p>
        </w:tc>
        <w:tc>
          <w:tcPr>
            <w:tcW w:w="10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40,068</w:t>
            </w:r>
          </w:p>
        </w:tc>
        <w:tc>
          <w:tcPr>
            <w:tcW w:w="1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15,268</w:t>
            </w:r>
          </w:p>
        </w:tc>
        <w:tc>
          <w:tcPr>
            <w:tcW w:w="80" w:type="dxa"/>
            <w:vAlign w:val="bottom"/>
          </w:tcPr>
          <w:p>
            <w:pPr>
              <w:spacing w:after="0"/>
              <w:rPr>
                <w:sz w:val="15"/>
                <w:szCs w:val="15"/>
                <w:color w:val="auto"/>
              </w:rPr>
            </w:pPr>
          </w:p>
        </w:tc>
      </w:tr>
      <w:tr>
        <w:trPr>
          <w:trHeight w:val="185"/>
        </w:trPr>
        <w:tc>
          <w:tcPr>
            <w:tcW w:w="5800" w:type="dxa"/>
            <w:vAlign w:val="bottom"/>
            <w:shd w:val="clear" w:color="auto" w:fill="CCECFF"/>
          </w:tcPr>
          <w:p>
            <w:pPr>
              <w:ind w:left="180"/>
              <w:spacing w:after="0"/>
              <w:rPr>
                <w:sz w:val="20"/>
                <w:szCs w:val="20"/>
                <w:color w:val="auto"/>
              </w:rPr>
            </w:pPr>
            <w:r>
              <w:rPr>
                <w:rFonts w:ascii="Arial" w:cs="Arial" w:eastAsia="Arial" w:hAnsi="Arial"/>
                <w:sz w:val="13"/>
                <w:szCs w:val="13"/>
                <w:color w:val="auto"/>
              </w:rPr>
              <w:t>Other income</w:t>
            </w:r>
          </w:p>
        </w:tc>
        <w:tc>
          <w:tcPr>
            <w:tcW w:w="1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751</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848</w:t>
            </w:r>
          </w:p>
        </w:tc>
        <w:tc>
          <w:tcPr>
            <w:tcW w:w="100" w:type="dxa"/>
            <w:vAlign w:val="bottom"/>
            <w:shd w:val="clear" w:color="auto" w:fill="CCECFF"/>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CFF"/>
          </w:tcPr>
          <w:p>
            <w:pPr>
              <w:spacing w:after="0"/>
              <w:rPr>
                <w:sz w:val="16"/>
                <w:szCs w:val="16"/>
                <w:color w:val="auto"/>
              </w:rPr>
            </w:pPr>
          </w:p>
        </w:tc>
      </w:tr>
      <w:tr>
        <w:trPr>
          <w:trHeight w:val="180"/>
        </w:trPr>
        <w:tc>
          <w:tcPr>
            <w:tcW w:w="5800" w:type="dxa"/>
            <w:vAlign w:val="bottom"/>
          </w:tcPr>
          <w:p>
            <w:pPr>
              <w:ind w:left="180"/>
              <w:spacing w:after="0"/>
              <w:rPr>
                <w:sz w:val="20"/>
                <w:szCs w:val="20"/>
                <w:color w:val="auto"/>
              </w:rPr>
            </w:pPr>
            <w:r>
              <w:rPr>
                <w:rFonts w:ascii="Arial" w:cs="Arial" w:eastAsia="Arial" w:hAnsi="Arial"/>
                <w:sz w:val="13"/>
                <w:szCs w:val="13"/>
                <w:b w:val="1"/>
                <w:bCs w:val="1"/>
                <w:color w:val="auto"/>
              </w:rPr>
              <w:t>Total investment income</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21,974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40,916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15,410</w:t>
            </w:r>
          </w:p>
        </w:tc>
        <w:tc>
          <w:tcPr>
            <w:tcW w:w="80" w:type="dxa"/>
            <w:vAlign w:val="bottom"/>
          </w:tcPr>
          <w:p>
            <w:pPr>
              <w:spacing w:after="0"/>
              <w:rPr>
                <w:sz w:val="15"/>
                <w:szCs w:val="15"/>
                <w:color w:val="auto"/>
              </w:rPr>
            </w:pPr>
          </w:p>
        </w:tc>
      </w:tr>
      <w:tr>
        <w:trPr>
          <w:trHeight w:val="183"/>
        </w:trPr>
        <w:tc>
          <w:tcPr>
            <w:tcW w:w="580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Expenses: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69"/>
        </w:trPr>
        <w:tc>
          <w:tcPr>
            <w:tcW w:w="580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94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200" w:type="dxa"/>
            <w:vAlign w:val="bottom"/>
            <w:shd w:val="clear" w:color="auto" w:fill="CCECFF"/>
          </w:tcPr>
          <w:p>
            <w:pPr>
              <w:spacing w:after="0"/>
              <w:rPr>
                <w:sz w:val="5"/>
                <w:szCs w:val="5"/>
                <w:color w:val="auto"/>
              </w:rPr>
            </w:pPr>
          </w:p>
        </w:tc>
        <w:tc>
          <w:tcPr>
            <w:tcW w:w="70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40" w:type="dxa"/>
            <w:vAlign w:val="bottom"/>
            <w:shd w:val="clear" w:color="auto" w:fill="CCECFF"/>
          </w:tcPr>
          <w:p>
            <w:pPr>
              <w:spacing w:after="0"/>
              <w:rPr>
                <w:sz w:val="5"/>
                <w:szCs w:val="5"/>
                <w:color w:val="auto"/>
              </w:rPr>
            </w:pPr>
          </w:p>
        </w:tc>
        <w:tc>
          <w:tcPr>
            <w:tcW w:w="76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82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r>
      <w:tr>
        <w:trPr>
          <w:trHeight w:val="175"/>
        </w:trPr>
        <w:tc>
          <w:tcPr>
            <w:tcW w:w="5800" w:type="dxa"/>
            <w:vAlign w:val="bottom"/>
          </w:tcPr>
          <w:p>
            <w:pPr>
              <w:ind w:left="180"/>
              <w:spacing w:after="0"/>
              <w:rPr>
                <w:sz w:val="20"/>
                <w:szCs w:val="20"/>
                <w:color w:val="auto"/>
              </w:rPr>
            </w:pPr>
            <w:r>
              <w:rPr>
                <w:rFonts w:ascii="Arial" w:cs="Arial" w:eastAsia="Arial" w:hAnsi="Arial"/>
                <w:sz w:val="13"/>
                <w:szCs w:val="13"/>
                <w:color w:val="auto"/>
              </w:rPr>
              <w:t>Interest expense on credit facility and asset-backed debt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8,874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16,689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3,654</w:t>
            </w:r>
          </w:p>
        </w:tc>
        <w:tc>
          <w:tcPr>
            <w:tcW w:w="80" w:type="dxa"/>
            <w:vAlign w:val="bottom"/>
          </w:tcPr>
          <w:p>
            <w:pPr>
              <w:spacing w:after="0"/>
              <w:rPr>
                <w:sz w:val="15"/>
                <w:szCs w:val="15"/>
                <w:color w:val="auto"/>
              </w:rPr>
            </w:pPr>
          </w:p>
        </w:tc>
      </w:tr>
      <w:tr>
        <w:trPr>
          <w:trHeight w:val="185"/>
        </w:trPr>
        <w:tc>
          <w:tcPr>
            <w:tcW w:w="580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Interest expense on notes to members</w:t>
            </w:r>
          </w:p>
        </w:tc>
        <w:tc>
          <w:tcPr>
            <w:tcW w:w="1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5,003</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2,430</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9,726</w:t>
            </w:r>
          </w:p>
        </w:tc>
        <w:tc>
          <w:tcPr>
            <w:tcW w:w="100" w:type="dxa"/>
            <w:vAlign w:val="bottom"/>
            <w:shd w:val="clear" w:color="auto" w:fill="CCECFF"/>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4,869</w:t>
            </w:r>
          </w:p>
        </w:tc>
        <w:tc>
          <w:tcPr>
            <w:tcW w:w="80" w:type="dxa"/>
            <w:vAlign w:val="bottom"/>
            <w:shd w:val="clear" w:color="auto" w:fill="CCECFF"/>
          </w:tcPr>
          <w:p>
            <w:pPr>
              <w:spacing w:after="0"/>
              <w:rPr>
                <w:sz w:val="16"/>
                <w:szCs w:val="16"/>
                <w:color w:val="auto"/>
              </w:rPr>
            </w:pPr>
          </w:p>
        </w:tc>
      </w:tr>
      <w:tr>
        <w:trPr>
          <w:trHeight w:val="175"/>
        </w:trPr>
        <w:tc>
          <w:tcPr>
            <w:tcW w:w="5800" w:type="dxa"/>
            <w:vAlign w:val="bottom"/>
          </w:tcPr>
          <w:p>
            <w:pPr>
              <w:ind w:left="180"/>
              <w:spacing w:after="0"/>
              <w:rPr>
                <w:sz w:val="20"/>
                <w:szCs w:val="20"/>
                <w:color w:val="auto"/>
              </w:rPr>
            </w:pPr>
            <w:r>
              <w:rPr>
                <w:rFonts w:ascii="Arial" w:cs="Arial" w:eastAsia="Arial" w:hAnsi="Arial"/>
                <w:sz w:val="13"/>
                <w:szCs w:val="13"/>
                <w:color w:val="auto"/>
              </w:rPr>
              <w:t>Administrative services expenses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586</w:t>
            </w:r>
          </w:p>
        </w:tc>
        <w:tc>
          <w:tcPr>
            <w:tcW w:w="80" w:type="dxa"/>
            <w:vAlign w:val="bottom"/>
          </w:tcPr>
          <w:p>
            <w:pPr>
              <w:spacing w:after="0"/>
              <w:rPr>
                <w:sz w:val="15"/>
                <w:szCs w:val="15"/>
                <w:color w:val="auto"/>
              </w:rPr>
            </w:pPr>
          </w:p>
        </w:tc>
      </w:tr>
      <w:tr>
        <w:trPr>
          <w:trHeight w:val="185"/>
        </w:trPr>
        <w:tc>
          <w:tcPr>
            <w:tcW w:w="5800" w:type="dxa"/>
            <w:vAlign w:val="bottom"/>
            <w:shd w:val="clear" w:color="auto" w:fill="CCECFF"/>
          </w:tcPr>
          <w:p>
            <w:pPr>
              <w:ind w:left="180"/>
              <w:spacing w:after="0"/>
              <w:rPr>
                <w:sz w:val="20"/>
                <w:szCs w:val="20"/>
                <w:color w:val="auto"/>
              </w:rPr>
            </w:pPr>
            <w:r>
              <w:rPr>
                <w:rFonts w:ascii="Arial" w:cs="Arial" w:eastAsia="Arial" w:hAnsi="Arial"/>
                <w:sz w:val="13"/>
                <w:szCs w:val="13"/>
                <w:color w:val="auto"/>
              </w:rPr>
              <w:t>General and administrative expenses</w:t>
            </w:r>
          </w:p>
        </w:tc>
        <w:tc>
          <w:tcPr>
            <w:tcW w:w="1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CFF"/>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224</w:t>
            </w:r>
          </w:p>
        </w:tc>
        <w:tc>
          <w:tcPr>
            <w:tcW w:w="80" w:type="dxa"/>
            <w:vAlign w:val="bottom"/>
            <w:shd w:val="clear" w:color="auto" w:fill="CCECFF"/>
          </w:tcPr>
          <w:p>
            <w:pPr>
              <w:spacing w:after="0"/>
              <w:rPr>
                <w:sz w:val="16"/>
                <w:szCs w:val="16"/>
                <w:color w:val="auto"/>
              </w:rPr>
            </w:pPr>
          </w:p>
        </w:tc>
      </w:tr>
      <w:tr>
        <w:trPr>
          <w:trHeight w:val="180"/>
        </w:trPr>
        <w:tc>
          <w:tcPr>
            <w:tcW w:w="580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14,547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27,926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9,333</w:t>
            </w:r>
          </w:p>
        </w:tc>
        <w:tc>
          <w:tcPr>
            <w:tcW w:w="80" w:type="dxa"/>
            <w:vAlign w:val="bottom"/>
          </w:tcPr>
          <w:p>
            <w:pPr>
              <w:spacing w:after="0"/>
              <w:rPr>
                <w:sz w:val="15"/>
                <w:szCs w:val="15"/>
                <w:color w:val="auto"/>
              </w:rPr>
            </w:pPr>
          </w:p>
        </w:tc>
      </w:tr>
      <w:tr>
        <w:trPr>
          <w:trHeight w:val="180"/>
        </w:trPr>
        <w:tc>
          <w:tcPr>
            <w:tcW w:w="580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investment income</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7,427</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2,856</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12,990</w:t>
            </w: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6,077</w:t>
            </w:r>
          </w:p>
        </w:tc>
        <w:tc>
          <w:tcPr>
            <w:tcW w:w="80" w:type="dxa"/>
            <w:vAlign w:val="bottom"/>
            <w:shd w:val="clear" w:color="auto" w:fill="CCECFF"/>
          </w:tcPr>
          <w:p>
            <w:pPr>
              <w:spacing w:after="0"/>
              <w:rPr>
                <w:sz w:val="15"/>
                <w:szCs w:val="15"/>
                <w:color w:val="auto"/>
              </w:rPr>
            </w:pPr>
          </w:p>
        </w:tc>
      </w:tr>
      <w:tr>
        <w:trPr>
          <w:trHeight w:val="180"/>
        </w:trPr>
        <w:tc>
          <w:tcPr>
            <w:tcW w:w="5800" w:type="dxa"/>
            <w:vAlign w:val="bottom"/>
          </w:tcPr>
          <w:p>
            <w:pPr>
              <w:ind w:left="20"/>
              <w:spacing w:after="0"/>
              <w:rPr>
                <w:sz w:val="20"/>
                <w:szCs w:val="20"/>
                <w:color w:val="auto"/>
              </w:rPr>
            </w:pPr>
            <w:r>
              <w:rPr>
                <w:rFonts w:ascii="Arial" w:cs="Arial" w:eastAsia="Arial" w:hAnsi="Arial"/>
                <w:sz w:val="13"/>
                <w:szCs w:val="13"/>
                <w:b w:val="1"/>
                <w:bCs w:val="1"/>
                <w:color w:val="auto"/>
              </w:rPr>
              <w:t>Realized and unrealized gain (loss) on investments: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80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realized gain (loss) on investments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CFF"/>
          </w:tcPr>
          <w:p>
            <w:pPr>
              <w:spacing w:after="0"/>
              <w:rPr>
                <w:sz w:val="15"/>
                <w:szCs w:val="15"/>
                <w:color w:val="auto"/>
              </w:rPr>
            </w:pPr>
          </w:p>
        </w:tc>
      </w:tr>
      <w:tr>
        <w:trPr>
          <w:trHeight w:val="175"/>
        </w:trPr>
        <w:tc>
          <w:tcPr>
            <w:tcW w:w="5800" w:type="dxa"/>
            <w:vAlign w:val="bottom"/>
          </w:tcPr>
          <w:p>
            <w:pPr>
              <w:ind w:left="2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(1,695 )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(1,233 )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(5,617 )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(727 )</w:t>
            </w:r>
          </w:p>
        </w:tc>
      </w:tr>
      <w:tr>
        <w:trPr>
          <w:trHeight w:val="185"/>
        </w:trPr>
        <w:tc>
          <w:tcPr>
            <w:tcW w:w="580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realized and unrealized gain (loss) from investments</w:t>
            </w:r>
          </w:p>
        </w:tc>
        <w:tc>
          <w:tcPr>
            <w:tcW w:w="12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(1,641 )</w:t>
            </w: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0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(846 )</w:t>
            </w: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(5,596 )</w:t>
            </w: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(341 )</w:t>
            </w:r>
          </w:p>
        </w:tc>
      </w:tr>
      <w:tr>
        <w:trPr>
          <w:trHeight w:val="180"/>
        </w:trPr>
        <w:tc>
          <w:tcPr>
            <w:tcW w:w="580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members' equity resulting from operations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5,786</w:t>
            </w:r>
          </w:p>
        </w:tc>
        <w:tc>
          <w:tcPr>
            <w:tcW w:w="1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7,394</w:t>
            </w:r>
          </w:p>
        </w:tc>
        <w:tc>
          <w:tcPr>
            <w:tcW w:w="1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5,736</w:t>
            </w:r>
          </w:p>
        </w:tc>
        <w:tc>
          <w:tcPr>
            <w:tcW w:w="80" w:type="dxa"/>
            <w:vAlign w:val="bottom"/>
          </w:tcPr>
          <w:p>
            <w:pPr>
              <w:spacing w:after="0"/>
              <w:rPr>
                <w:sz w:val="15"/>
                <w:szCs w:val="15"/>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2" w:lineRule="exact"/>
        <w:rPr>
          <w:sz w:val="20"/>
          <w:szCs w:val="20"/>
          <w:color w:val="auto"/>
        </w:rPr>
      </w:pPr>
    </w:p>
    <w:p>
      <w:pPr>
        <w:ind w:left="100" w:hanging="94"/>
        <w:spacing w:after="0"/>
        <w:tabs>
          <w:tab w:leader="none" w:pos="100" w:val="left"/>
        </w:tabs>
        <w:numPr>
          <w:ilvl w:val="0"/>
          <w:numId w:val="7"/>
        </w:numPr>
        <w:rPr>
          <w:rFonts w:ascii="Arial" w:cs="Arial" w:eastAsia="Arial" w:hAnsi="Arial"/>
          <w:sz w:val="12"/>
          <w:szCs w:val="12"/>
          <w:color w:val="auto"/>
          <w:vertAlign w:val="superscript"/>
        </w:rPr>
      </w:pPr>
      <w:r>
        <w:rPr>
          <w:rFonts w:ascii="Arial" w:cs="Arial" w:eastAsia="Arial" w:hAnsi="Arial"/>
          <w:sz w:val="10"/>
          <w:szCs w:val="10"/>
          <w:color w:val="auto"/>
        </w:rPr>
        <w:t>No management or incentive fees are payable by PSLF.</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171"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jc w:val="both"/>
        <w:ind w:left="1600" w:right="680" w:hanging="1055"/>
        <w:spacing w:after="0" w:line="263" w:lineRule="auto"/>
        <w:tabs>
          <w:tab w:leader="none" w:pos="15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5" w:lineRule="exact"/>
        <w:rPr>
          <w:sz w:val="20"/>
          <w:szCs w:val="20"/>
          <w:color w:val="auto"/>
        </w:rPr>
      </w:pPr>
    </w:p>
    <w:p>
      <w:pPr>
        <w:ind w:left="1600" w:right="900" w:hanging="1055"/>
        <w:spacing w:after="0" w:line="276" w:lineRule="auto"/>
        <w:tabs>
          <w:tab w:leader="none" w:pos="15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3"/>
          <w:szCs w:val="13"/>
          <w:color w:val="auto"/>
        </w:rPr>
        <w:t>Inputs that are unobservable for an asset or liability because they are based on our own assumptions about how market participants would price the asset or liability.</w:t>
      </w:r>
    </w:p>
    <w:p>
      <w:pPr>
        <w:spacing w:after="0" w:line="256"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Credit Facility and our SBA debentures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5" w:lineRule="exact"/>
        <w:rPr>
          <w:sz w:val="20"/>
          <w:szCs w:val="20"/>
          <w:color w:val="auto"/>
        </w:rPr>
      </w:pPr>
    </w:p>
    <w:p>
      <w:pPr>
        <w:ind w:right="80" w:firstLine="420"/>
        <w:spacing w:after="0" w:line="256"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 based transactions for the same or similar assets or other relevant observable market-based inputs that may be used in pricing an asset.</w:t>
      </w:r>
    </w:p>
    <w:p>
      <w:pPr>
        <w:spacing w:after="0" w:line="139" w:lineRule="exact"/>
        <w:rPr>
          <w:sz w:val="20"/>
          <w:szCs w:val="20"/>
          <w:color w:val="auto"/>
        </w:rPr>
      </w:pPr>
    </w:p>
    <w:p>
      <w:pPr>
        <w:ind w:right="60" w:firstLine="420"/>
        <w:spacing w:after="0" w:line="256" w:lineRule="auto"/>
        <w:rPr>
          <w:sz w:val="20"/>
          <w:szCs w:val="20"/>
          <w:color w:val="auto"/>
        </w:rPr>
      </w:pPr>
      <w:r>
        <w:rPr>
          <w:rFonts w:ascii="Arial" w:cs="Arial" w:eastAsia="Arial" w:hAnsi="Arial"/>
          <w:sz w:val="13"/>
          <w:szCs w:val="13"/>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39" w:lineRule="exact"/>
        <w:rPr>
          <w:sz w:val="20"/>
          <w:szCs w:val="20"/>
          <w:color w:val="auto"/>
        </w:rPr>
      </w:pPr>
    </w:p>
    <w:p>
      <w:pPr>
        <w:ind w:right="180" w:firstLine="420"/>
        <w:spacing w:after="0" w:line="276"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88" w:lineRule="exact"/>
        <w:rPr>
          <w:sz w:val="20"/>
          <w:szCs w:val="20"/>
          <w:color w:val="auto"/>
        </w:rPr>
      </w:pPr>
    </w:p>
    <w:p>
      <w:pPr>
        <w:ind w:firstLine="420"/>
        <w:spacing w:after="0" w:line="263" w:lineRule="auto"/>
        <w:rPr>
          <w:sz w:val="20"/>
          <w:szCs w:val="20"/>
          <w:color w:val="auto"/>
        </w:rPr>
      </w:pPr>
      <w:r>
        <w:rPr>
          <w:rFonts w:ascii="Arial" w:cs="Arial" w:eastAsia="Arial" w:hAnsi="Arial"/>
          <w:sz w:val="13"/>
          <w:szCs w:val="13"/>
          <w:color w:val="auto"/>
        </w:rPr>
        <w:t>In addition to using the above inputs to value cash equivalents, investments, our SBA debentures, our 2026 Notes, our 2026 Notes -2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33" w:lineRule="exact"/>
        <w:rPr>
          <w:sz w:val="20"/>
          <w:szCs w:val="20"/>
          <w:color w:val="auto"/>
        </w:rPr>
      </w:pPr>
    </w:p>
    <w:p>
      <w:pPr>
        <w:ind w:right="500" w:firstLine="420"/>
        <w:spacing w:after="0" w:line="263"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40" w:orient="portrait"/>
          <w:cols w:equalWidth="0" w:num="1">
            <w:col w:w="10580"/>
          </w:cols>
          <w:pgMar w:left="660" w:top="554" w:right="660" w:bottom="1440" w:gutter="0" w:footer="0" w:header="0"/>
        </w:sectPr>
      </w:pPr>
    </w:p>
    <w:bookmarkStart w:id="29" w:name="page30"/>
    <w:bookmarkEnd w:id="29"/>
    <w:p>
      <w:pPr>
        <w:jc w:val="center"/>
        <w:ind w:right="6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31, 2023</w:t>
      </w:r>
    </w:p>
    <w:p>
      <w:pPr>
        <w:spacing w:after="0" w:line="155" w:lineRule="exact"/>
        <w:rPr>
          <w:sz w:val="20"/>
          <w:szCs w:val="20"/>
          <w:color w:val="auto"/>
        </w:rPr>
      </w:pPr>
    </w:p>
    <w:p>
      <w:pPr>
        <w:ind w:right="180"/>
        <w:spacing w:after="0" w:line="263" w:lineRule="auto"/>
        <w:rPr>
          <w:sz w:val="20"/>
          <w:szCs w:val="20"/>
          <w:color w:val="auto"/>
        </w:rPr>
      </w:pPr>
      <w:r>
        <w:rPr>
          <w:rFonts w:ascii="Arial" w:cs="Arial" w:eastAsia="Arial" w:hAnsi="Arial"/>
          <w:sz w:val="13"/>
          <w:szCs w:val="13"/>
          <w:color w:val="auto"/>
        </w:rPr>
        <w:t>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33" w:lineRule="exact"/>
        <w:rPr>
          <w:sz w:val="20"/>
          <w:szCs w:val="20"/>
          <w:color w:val="auto"/>
        </w:rPr>
      </w:pPr>
    </w:p>
    <w:p>
      <w:pPr>
        <w:ind w:firstLine="420"/>
        <w:spacing w:after="0" w:line="252" w:lineRule="auto"/>
        <w:rPr>
          <w:sz w:val="20"/>
          <w:szCs w:val="20"/>
          <w:color w:val="auto"/>
        </w:rPr>
      </w:pPr>
      <w:r>
        <w:rPr>
          <w:rFonts w:ascii="Arial" w:cs="Arial" w:eastAsia="Arial" w:hAnsi="Arial"/>
          <w:sz w:val="13"/>
          <w:szCs w:val="13"/>
          <w:color w:val="auto"/>
        </w:rPr>
        <w:t>The remainder of our investment portfolio and our long-term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30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Level 3 valuation techniques, unobservable inputs and ranges were categorized as follows for ASC 820 purposes: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334"/>
              <w:spacing w:after="0"/>
              <w:rPr>
                <w:sz w:val="20"/>
                <w:szCs w:val="20"/>
                <w:color w:val="auto"/>
              </w:rPr>
            </w:pPr>
            <w:r>
              <w:rPr>
                <w:rFonts w:ascii="Arial" w:cs="Arial" w:eastAsia="Arial" w:hAnsi="Arial"/>
                <w:sz w:val="13"/>
                <w:szCs w:val="13"/>
                <w:b w:val="1"/>
                <w:bCs w:val="1"/>
                <w:color w:val="auto"/>
              </w:rPr>
              <w:t>Fair value at</w:t>
            </w: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rPr>
              <w:t>Range of Input</w:t>
            </w:r>
          </w:p>
        </w:tc>
      </w:tr>
      <w:tr>
        <w:trPr>
          <w:trHeight w:val="199"/>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Asset Category ($ in thousands)</w:t>
            </w:r>
          </w:p>
        </w:tc>
        <w:tc>
          <w:tcPr>
            <w:tcW w:w="20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Arial" w:cs="Arial" w:eastAsia="Arial" w:hAnsi="Arial"/>
                <w:sz w:val="13"/>
                <w:szCs w:val="13"/>
                <w:b w:val="1"/>
                <w:bCs w:val="1"/>
                <w:color w:val="auto"/>
              </w:rPr>
              <w:t>March 31, 2023</w:t>
            </w:r>
          </w:p>
        </w:tc>
        <w:tc>
          <w:tcPr>
            <w:tcW w:w="120" w:type="dxa"/>
            <w:vAlign w:val="bottom"/>
          </w:tcPr>
          <w:p>
            <w:pPr>
              <w:spacing w:after="0"/>
              <w:rPr>
                <w:sz w:val="17"/>
                <w:szCs w:val="17"/>
                <w:color w:val="auto"/>
              </w:rPr>
            </w:pPr>
          </w:p>
        </w:tc>
        <w:tc>
          <w:tcPr>
            <w:tcW w:w="2060" w:type="dxa"/>
            <w:vAlign w:val="bottom"/>
          </w:tcPr>
          <w:p>
            <w:pPr>
              <w:jc w:val="center"/>
              <w:ind w:left="74"/>
              <w:spacing w:after="0"/>
              <w:rPr>
                <w:sz w:val="20"/>
                <w:szCs w:val="20"/>
                <w:color w:val="auto"/>
              </w:rPr>
            </w:pPr>
            <w:r>
              <w:rPr>
                <w:rFonts w:ascii="Arial" w:cs="Arial" w:eastAsia="Arial" w:hAnsi="Arial"/>
                <w:sz w:val="13"/>
                <w:szCs w:val="13"/>
                <w:b w:val="1"/>
                <w:bCs w:val="1"/>
                <w:color w:val="auto"/>
              </w:rPr>
              <w:t>Valuation Technique</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rPr>
              <w:t>Unobservable Input</w:t>
            </w: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8"/>
              </w:rPr>
              <w:t xml:space="preserve">(Weighted Average) </w:t>
            </w:r>
            <w:r>
              <w:rPr>
                <w:rFonts w:ascii="Arial" w:cs="Arial" w:eastAsia="Arial" w:hAnsi="Arial"/>
                <w:sz w:val="16"/>
                <w:szCs w:val="16"/>
                <w:b w:val="1"/>
                <w:bCs w:val="1"/>
                <w:color w:val="auto"/>
                <w:w w:val="98"/>
                <w:vertAlign w:val="superscript"/>
              </w:rPr>
              <w:t>(1)</w:t>
            </w: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40,797</w:t>
            </w:r>
          </w:p>
        </w:tc>
        <w:tc>
          <w:tcPr>
            <w:tcW w:w="120" w:type="dxa"/>
            <w:vAlign w:val="bottom"/>
          </w:tcPr>
          <w:p>
            <w:pPr>
              <w:spacing w:after="0"/>
              <w:rPr>
                <w:sz w:val="14"/>
                <w:szCs w:val="14"/>
                <w:color w:val="auto"/>
              </w:rPr>
            </w:pPr>
          </w:p>
        </w:tc>
        <w:tc>
          <w:tcPr>
            <w:tcW w:w="2060" w:type="dxa"/>
            <w:vAlign w:val="bottom"/>
          </w:tcPr>
          <w:p>
            <w:pPr>
              <w:jc w:val="center"/>
              <w:ind w:left="74"/>
              <w:spacing w:after="0"/>
              <w:rPr>
                <w:sz w:val="20"/>
                <w:szCs w:val="20"/>
                <w:color w:val="auto"/>
              </w:rPr>
            </w:pPr>
            <w:r>
              <w:rPr>
                <w:rFonts w:ascii="Arial" w:cs="Arial" w:eastAsia="Arial" w:hAnsi="Arial"/>
                <w:sz w:val="13"/>
                <w:szCs w:val="13"/>
                <w:color w:val="auto"/>
              </w:rPr>
              <w:t>Market Comparable</w:t>
            </w:r>
          </w:p>
        </w:tc>
        <w:tc>
          <w:tcPr>
            <w:tcW w:w="2260" w:type="dxa"/>
            <w:vAlign w:val="bottom"/>
          </w:tcPr>
          <w:p>
            <w:pPr>
              <w:jc w:val="center"/>
              <w:spacing w:after="0"/>
              <w:rPr>
                <w:sz w:val="20"/>
                <w:szCs w:val="20"/>
                <w:color w:val="auto"/>
              </w:rPr>
            </w:pPr>
            <w:r>
              <w:rPr>
                <w:rFonts w:ascii="Arial" w:cs="Arial" w:eastAsia="Arial" w:hAnsi="Arial"/>
                <w:sz w:val="13"/>
                <w:szCs w:val="13"/>
                <w:color w:val="auto"/>
              </w:rPr>
              <w:t>Broker/Dealer bids or quotes</w:t>
            </w:r>
          </w:p>
        </w:tc>
        <w:tc>
          <w:tcPr>
            <w:tcW w:w="200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85"/>
        </w:trPr>
        <w:tc>
          <w:tcPr>
            <w:tcW w:w="258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First lien</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604,393</w:t>
            </w:r>
          </w:p>
        </w:tc>
        <w:tc>
          <w:tcPr>
            <w:tcW w:w="120" w:type="dxa"/>
            <w:vAlign w:val="bottom"/>
            <w:shd w:val="clear" w:color="auto" w:fill="CCECFF"/>
          </w:tcPr>
          <w:p>
            <w:pPr>
              <w:spacing w:after="0"/>
              <w:rPr>
                <w:sz w:val="16"/>
                <w:szCs w:val="16"/>
                <w:color w:val="auto"/>
              </w:rPr>
            </w:pPr>
          </w:p>
        </w:tc>
        <w:tc>
          <w:tcPr>
            <w:tcW w:w="206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Market Comparable</w:t>
            </w:r>
          </w:p>
        </w:tc>
        <w:tc>
          <w:tcPr>
            <w:tcW w:w="226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Market yield</w:t>
            </w:r>
          </w:p>
        </w:tc>
        <w:tc>
          <w:tcPr>
            <w:tcW w:w="200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7% - 18.4% (10.6%)</w:t>
            </w: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3,169</w:t>
            </w:r>
          </w:p>
        </w:tc>
        <w:tc>
          <w:tcPr>
            <w:tcW w:w="120" w:type="dxa"/>
            <w:vAlign w:val="bottom"/>
          </w:tcPr>
          <w:p>
            <w:pPr>
              <w:spacing w:after="0"/>
              <w:rPr>
                <w:sz w:val="15"/>
                <w:szCs w:val="15"/>
                <w:color w:val="auto"/>
              </w:rPr>
            </w:pPr>
          </w:p>
        </w:tc>
        <w:tc>
          <w:tcPr>
            <w:tcW w:w="2060" w:type="dxa"/>
            <w:vAlign w:val="bottom"/>
          </w:tcPr>
          <w:p>
            <w:pPr>
              <w:jc w:val="center"/>
              <w:ind w:left="74"/>
              <w:spacing w:after="0"/>
              <w:rPr>
                <w:sz w:val="20"/>
                <w:szCs w:val="20"/>
                <w:color w:val="auto"/>
              </w:rPr>
            </w:pPr>
            <w:r>
              <w:rPr>
                <w:rFonts w:ascii="Arial" w:cs="Arial" w:eastAsia="Arial" w:hAnsi="Arial"/>
                <w:sz w:val="13"/>
                <w:szCs w:val="13"/>
                <w:color w:val="auto"/>
              </w:rPr>
              <w:t>Enterprise Market Value</w:t>
            </w:r>
          </w:p>
        </w:tc>
        <w:tc>
          <w:tcPr>
            <w:tcW w:w="2260" w:type="dxa"/>
            <w:vAlign w:val="bottom"/>
          </w:tcPr>
          <w:p>
            <w:pPr>
              <w:jc w:val="center"/>
              <w:spacing w:after="0"/>
              <w:rPr>
                <w:sz w:val="20"/>
                <w:szCs w:val="20"/>
                <w:color w:val="auto"/>
              </w:rPr>
            </w:pPr>
            <w:r>
              <w:rPr>
                <w:rFonts w:ascii="Arial" w:cs="Arial" w:eastAsia="Arial" w:hAnsi="Arial"/>
                <w:sz w:val="13"/>
                <w:szCs w:val="13"/>
                <w:color w:val="auto"/>
              </w:rPr>
              <w:t>EBITDA multiple</w:t>
            </w:r>
          </w:p>
        </w:tc>
        <w:tc>
          <w:tcPr>
            <w:tcW w:w="2000" w:type="dxa"/>
            <w:vAlign w:val="bottom"/>
          </w:tcPr>
          <w:p>
            <w:pPr>
              <w:jc w:val="center"/>
              <w:spacing w:after="0"/>
              <w:rPr>
                <w:sz w:val="20"/>
                <w:szCs w:val="20"/>
                <w:color w:val="auto"/>
              </w:rPr>
            </w:pPr>
            <w:r>
              <w:rPr>
                <w:rFonts w:ascii="Arial" w:cs="Arial" w:eastAsia="Arial" w:hAnsi="Arial"/>
                <w:sz w:val="13"/>
                <w:szCs w:val="13"/>
                <w:color w:val="auto"/>
                <w:w w:val="97"/>
              </w:rPr>
              <w:t>3.5x</w:t>
            </w:r>
          </w:p>
        </w:tc>
      </w:tr>
      <w:tr>
        <w:trPr>
          <w:trHeight w:val="185"/>
        </w:trPr>
        <w:tc>
          <w:tcPr>
            <w:tcW w:w="2580" w:type="dxa"/>
            <w:vAlign w:val="bottom"/>
            <w:shd w:val="clear" w:color="auto" w:fill="CCECFF"/>
          </w:tcPr>
          <w:p>
            <w:pPr>
              <w:ind w:left="20"/>
              <w:spacing w:after="0"/>
              <w:rPr>
                <w:sz w:val="20"/>
                <w:szCs w:val="20"/>
                <w:color w:val="auto"/>
              </w:rPr>
            </w:pPr>
            <w:r>
              <w:rPr>
                <w:rFonts w:ascii="Arial" w:cs="Arial" w:eastAsia="Arial" w:hAnsi="Arial"/>
                <w:sz w:val="13"/>
                <w:szCs w:val="13"/>
                <w:color w:val="auto"/>
              </w:rPr>
              <w:t>Second lien</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9,655</w:t>
            </w:r>
          </w:p>
        </w:tc>
        <w:tc>
          <w:tcPr>
            <w:tcW w:w="120" w:type="dxa"/>
            <w:vAlign w:val="bottom"/>
            <w:shd w:val="clear" w:color="auto" w:fill="CCECFF"/>
          </w:tcPr>
          <w:p>
            <w:pPr>
              <w:spacing w:after="0"/>
              <w:rPr>
                <w:sz w:val="16"/>
                <w:szCs w:val="16"/>
                <w:color w:val="auto"/>
              </w:rPr>
            </w:pPr>
          </w:p>
        </w:tc>
        <w:tc>
          <w:tcPr>
            <w:tcW w:w="206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Market Comparable</w:t>
            </w:r>
          </w:p>
        </w:tc>
        <w:tc>
          <w:tcPr>
            <w:tcW w:w="226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Broker/Dealer bids or quotes</w:t>
            </w:r>
          </w:p>
        </w:tc>
        <w:tc>
          <w:tcPr>
            <w:tcW w:w="200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N/A</w:t>
            </w: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Second lien</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101,627</w:t>
            </w:r>
          </w:p>
        </w:tc>
        <w:tc>
          <w:tcPr>
            <w:tcW w:w="120" w:type="dxa"/>
            <w:vAlign w:val="bottom"/>
          </w:tcPr>
          <w:p>
            <w:pPr>
              <w:spacing w:after="0"/>
              <w:rPr>
                <w:sz w:val="15"/>
                <w:szCs w:val="15"/>
                <w:color w:val="auto"/>
              </w:rPr>
            </w:pPr>
          </w:p>
        </w:tc>
        <w:tc>
          <w:tcPr>
            <w:tcW w:w="2060" w:type="dxa"/>
            <w:vAlign w:val="bottom"/>
          </w:tcPr>
          <w:p>
            <w:pPr>
              <w:jc w:val="center"/>
              <w:ind w:left="74"/>
              <w:spacing w:after="0"/>
              <w:rPr>
                <w:sz w:val="20"/>
                <w:szCs w:val="20"/>
                <w:color w:val="auto"/>
              </w:rPr>
            </w:pPr>
            <w:r>
              <w:rPr>
                <w:rFonts w:ascii="Arial" w:cs="Arial" w:eastAsia="Arial" w:hAnsi="Arial"/>
                <w:sz w:val="13"/>
                <w:szCs w:val="13"/>
                <w:color w:val="auto"/>
              </w:rPr>
              <w:t>Market Comparable</w:t>
            </w:r>
          </w:p>
        </w:tc>
        <w:tc>
          <w:tcPr>
            <w:tcW w:w="2260" w:type="dxa"/>
            <w:vAlign w:val="bottom"/>
          </w:tcPr>
          <w:p>
            <w:pPr>
              <w:jc w:val="center"/>
              <w:spacing w:after="0"/>
              <w:rPr>
                <w:sz w:val="20"/>
                <w:szCs w:val="20"/>
                <w:color w:val="auto"/>
              </w:rPr>
            </w:pPr>
            <w:r>
              <w:rPr>
                <w:rFonts w:ascii="Arial" w:cs="Arial" w:eastAsia="Arial" w:hAnsi="Arial"/>
                <w:sz w:val="13"/>
                <w:szCs w:val="13"/>
                <w:color w:val="auto"/>
                <w:w w:val="99"/>
              </w:rPr>
              <w:t>Market yield</w:t>
            </w:r>
          </w:p>
        </w:tc>
        <w:tc>
          <w:tcPr>
            <w:tcW w:w="2000" w:type="dxa"/>
            <w:vAlign w:val="bottom"/>
          </w:tcPr>
          <w:p>
            <w:pPr>
              <w:jc w:val="center"/>
              <w:spacing w:after="0"/>
              <w:rPr>
                <w:sz w:val="20"/>
                <w:szCs w:val="20"/>
                <w:color w:val="auto"/>
              </w:rPr>
            </w:pPr>
            <w:r>
              <w:rPr>
                <w:rFonts w:ascii="Arial" w:cs="Arial" w:eastAsia="Arial" w:hAnsi="Arial"/>
                <w:sz w:val="13"/>
                <w:szCs w:val="13"/>
                <w:color w:val="auto"/>
                <w:w w:val="99"/>
              </w:rPr>
              <w:t>12.4% - 19.9% (14.5%)</w:t>
            </w:r>
          </w:p>
        </w:tc>
      </w:tr>
      <w:tr>
        <w:trPr>
          <w:trHeight w:val="185"/>
        </w:trPr>
        <w:tc>
          <w:tcPr>
            <w:tcW w:w="2580" w:type="dxa"/>
            <w:vAlign w:val="bottom"/>
            <w:shd w:val="clear" w:color="auto" w:fill="CCECFF"/>
          </w:tcPr>
          <w:p>
            <w:pPr>
              <w:ind w:left="20"/>
              <w:spacing w:after="0"/>
              <w:rPr>
                <w:sz w:val="20"/>
                <w:szCs w:val="20"/>
                <w:color w:val="auto"/>
              </w:rPr>
            </w:pPr>
            <w:r>
              <w:rPr>
                <w:rFonts w:ascii="Arial" w:cs="Arial" w:eastAsia="Arial" w:hAnsi="Arial"/>
                <w:sz w:val="13"/>
                <w:szCs w:val="13"/>
                <w:color w:val="auto"/>
              </w:rPr>
              <w:t>Subordinated debt / corporate notes</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147,903</w:t>
            </w:r>
          </w:p>
        </w:tc>
        <w:tc>
          <w:tcPr>
            <w:tcW w:w="120" w:type="dxa"/>
            <w:vAlign w:val="bottom"/>
            <w:shd w:val="clear" w:color="auto" w:fill="CCECFF"/>
          </w:tcPr>
          <w:p>
            <w:pPr>
              <w:spacing w:after="0"/>
              <w:rPr>
                <w:sz w:val="16"/>
                <w:szCs w:val="16"/>
                <w:color w:val="auto"/>
              </w:rPr>
            </w:pPr>
          </w:p>
        </w:tc>
        <w:tc>
          <w:tcPr>
            <w:tcW w:w="206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Market Comparable</w:t>
            </w:r>
          </w:p>
        </w:tc>
        <w:tc>
          <w:tcPr>
            <w:tcW w:w="226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Market yield</w:t>
            </w:r>
          </w:p>
        </w:tc>
        <w:tc>
          <w:tcPr>
            <w:tcW w:w="200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12.8% - 18.4% (13.7%)</w:t>
            </w: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Equity</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155,387</w:t>
            </w:r>
          </w:p>
        </w:tc>
        <w:tc>
          <w:tcPr>
            <w:tcW w:w="120" w:type="dxa"/>
            <w:vAlign w:val="bottom"/>
          </w:tcPr>
          <w:p>
            <w:pPr>
              <w:spacing w:after="0"/>
              <w:rPr>
                <w:sz w:val="15"/>
                <w:szCs w:val="15"/>
                <w:color w:val="auto"/>
              </w:rPr>
            </w:pPr>
          </w:p>
        </w:tc>
        <w:tc>
          <w:tcPr>
            <w:tcW w:w="2060" w:type="dxa"/>
            <w:vAlign w:val="bottom"/>
          </w:tcPr>
          <w:p>
            <w:pPr>
              <w:jc w:val="center"/>
              <w:ind w:left="74"/>
              <w:spacing w:after="0"/>
              <w:rPr>
                <w:sz w:val="20"/>
                <w:szCs w:val="20"/>
                <w:color w:val="auto"/>
              </w:rPr>
            </w:pPr>
            <w:r>
              <w:rPr>
                <w:rFonts w:ascii="Arial" w:cs="Arial" w:eastAsia="Arial" w:hAnsi="Arial"/>
                <w:sz w:val="13"/>
                <w:szCs w:val="13"/>
                <w:color w:val="auto"/>
              </w:rPr>
              <w:t>Enterprise Market Value</w:t>
            </w:r>
          </w:p>
        </w:tc>
        <w:tc>
          <w:tcPr>
            <w:tcW w:w="2260" w:type="dxa"/>
            <w:vAlign w:val="bottom"/>
          </w:tcPr>
          <w:p>
            <w:pPr>
              <w:jc w:val="center"/>
              <w:spacing w:after="0"/>
              <w:rPr>
                <w:sz w:val="20"/>
                <w:szCs w:val="20"/>
                <w:color w:val="auto"/>
              </w:rPr>
            </w:pPr>
            <w:r>
              <w:rPr>
                <w:rFonts w:ascii="Arial" w:cs="Arial" w:eastAsia="Arial" w:hAnsi="Arial"/>
                <w:sz w:val="13"/>
                <w:szCs w:val="13"/>
                <w:color w:val="auto"/>
              </w:rPr>
              <w:t>EBITDA multiple</w:t>
            </w:r>
          </w:p>
        </w:tc>
        <w:tc>
          <w:tcPr>
            <w:tcW w:w="2000" w:type="dxa"/>
            <w:vAlign w:val="bottom"/>
          </w:tcPr>
          <w:p>
            <w:pPr>
              <w:jc w:val="center"/>
              <w:spacing w:after="0"/>
              <w:rPr>
                <w:sz w:val="20"/>
                <w:szCs w:val="20"/>
                <w:color w:val="auto"/>
              </w:rPr>
            </w:pPr>
            <w:r>
              <w:rPr>
                <w:rFonts w:ascii="Arial" w:cs="Arial" w:eastAsia="Arial" w:hAnsi="Arial"/>
                <w:sz w:val="13"/>
                <w:szCs w:val="13"/>
                <w:color w:val="auto"/>
                <w:w w:val="99"/>
              </w:rPr>
              <w:t>0.3x - 19.8x (10.7x)</w:t>
            </w:r>
          </w:p>
        </w:tc>
      </w:tr>
      <w:tr>
        <w:trPr>
          <w:trHeight w:val="185"/>
        </w:trPr>
        <w:tc>
          <w:tcPr>
            <w:tcW w:w="258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4,216</w:t>
            </w:r>
          </w:p>
        </w:tc>
        <w:tc>
          <w:tcPr>
            <w:tcW w:w="120" w:type="dxa"/>
            <w:vAlign w:val="bottom"/>
            <w:shd w:val="clear" w:color="auto" w:fill="CCECFF"/>
          </w:tcPr>
          <w:p>
            <w:pPr>
              <w:spacing w:after="0"/>
              <w:rPr>
                <w:sz w:val="16"/>
                <w:szCs w:val="16"/>
                <w:color w:val="auto"/>
              </w:rPr>
            </w:pPr>
          </w:p>
        </w:tc>
        <w:tc>
          <w:tcPr>
            <w:tcW w:w="206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Enterprise Market Value</w:t>
            </w:r>
          </w:p>
        </w:tc>
        <w:tc>
          <w:tcPr>
            <w:tcW w:w="226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4"/>
              </w:rPr>
              <w:t>DLOM</w:t>
            </w:r>
            <w:r>
              <w:rPr>
                <w:rFonts w:ascii="Arial" w:cs="Arial" w:eastAsia="Arial" w:hAnsi="Arial"/>
                <w:sz w:val="16"/>
                <w:szCs w:val="16"/>
                <w:color w:val="auto"/>
                <w:w w:val="94"/>
                <w:vertAlign w:val="superscript"/>
              </w:rPr>
              <w:t>(2)</w:t>
            </w:r>
          </w:p>
        </w:tc>
        <w:tc>
          <w:tcPr>
            <w:tcW w:w="200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7"/>
              </w:rPr>
              <w:t>25.3%</w:t>
            </w:r>
          </w:p>
        </w:tc>
      </w:tr>
      <w:tr>
        <w:trPr>
          <w:trHeight w:val="175"/>
        </w:trPr>
        <w:tc>
          <w:tcPr>
            <w:tcW w:w="2580" w:type="dxa"/>
            <w:vAlign w:val="bottom"/>
          </w:tcPr>
          <w:p>
            <w:pPr>
              <w:ind w:left="340"/>
              <w:spacing w:after="0"/>
              <w:rPr>
                <w:sz w:val="20"/>
                <w:szCs w:val="20"/>
                <w:color w:val="auto"/>
              </w:rPr>
            </w:pPr>
            <w:r>
              <w:rPr>
                <w:rFonts w:ascii="Arial" w:cs="Arial" w:eastAsia="Arial" w:hAnsi="Arial"/>
                <w:sz w:val="13"/>
                <w:szCs w:val="13"/>
                <w:color w:val="auto"/>
              </w:rPr>
              <w:t>Total Level 3 investments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1,067,147</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5"/>
        </w:trPr>
        <w:tc>
          <w:tcPr>
            <w:tcW w:w="25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 xml:space="preserve">Debt Category </w:t>
            </w:r>
            <w:r>
              <w:rPr>
                <w:rFonts w:ascii="Arial" w:cs="Arial" w:eastAsia="Arial" w:hAnsi="Arial"/>
                <w:sz w:val="13"/>
                <w:szCs w:val="13"/>
                <w:color w:val="auto"/>
              </w:rPr>
              <w:t>($ in thousands)</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060" w:type="dxa"/>
            <w:vAlign w:val="bottom"/>
            <w:shd w:val="clear" w:color="auto" w:fill="CCECFF"/>
          </w:tcPr>
          <w:p>
            <w:pPr>
              <w:spacing w:after="0"/>
              <w:rPr>
                <w:sz w:val="16"/>
                <w:szCs w:val="16"/>
                <w:color w:val="auto"/>
              </w:rPr>
            </w:pPr>
          </w:p>
        </w:tc>
        <w:tc>
          <w:tcPr>
            <w:tcW w:w="2260" w:type="dxa"/>
            <w:vAlign w:val="bottom"/>
            <w:shd w:val="clear" w:color="auto" w:fill="CCECFF"/>
          </w:tcPr>
          <w:p>
            <w:pPr>
              <w:spacing w:after="0"/>
              <w:rPr>
                <w:sz w:val="16"/>
                <w:szCs w:val="16"/>
                <w:color w:val="auto"/>
              </w:rPr>
            </w:pPr>
          </w:p>
        </w:tc>
        <w:tc>
          <w:tcPr>
            <w:tcW w:w="2000" w:type="dxa"/>
            <w:vAlign w:val="bottom"/>
            <w:shd w:val="clear" w:color="auto" w:fill="CCECFF"/>
          </w:tcPr>
          <w:p>
            <w:pPr>
              <w:spacing w:after="0"/>
              <w:rPr>
                <w:sz w:val="16"/>
                <w:szCs w:val="16"/>
                <w:color w:val="auto"/>
              </w:rPr>
            </w:pPr>
          </w:p>
        </w:tc>
      </w:tr>
      <w:tr>
        <w:trPr>
          <w:trHeight w:val="180"/>
        </w:trPr>
        <w:tc>
          <w:tcPr>
            <w:tcW w:w="2580" w:type="dxa"/>
            <w:vAlign w:val="bottom"/>
          </w:tcPr>
          <w:p>
            <w:pPr>
              <w:ind w:left="20"/>
              <w:spacing w:after="0"/>
              <w:rPr>
                <w:sz w:val="20"/>
                <w:szCs w:val="20"/>
                <w:color w:val="auto"/>
              </w:rPr>
            </w:pPr>
            <w:r>
              <w:rPr>
                <w:rFonts w:ascii="Arial" w:cs="Arial" w:eastAsia="Arial" w:hAnsi="Arial"/>
                <w:sz w:val="13"/>
                <w:szCs w:val="13"/>
                <w:color w:val="auto"/>
              </w:rPr>
              <w:t>Truist Credit Facility</w:t>
            </w: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362,268</w:t>
            </w:r>
          </w:p>
        </w:tc>
        <w:tc>
          <w:tcPr>
            <w:tcW w:w="120" w:type="dxa"/>
            <w:vAlign w:val="bottom"/>
          </w:tcPr>
          <w:p>
            <w:pPr>
              <w:spacing w:after="0"/>
              <w:rPr>
                <w:sz w:val="15"/>
                <w:szCs w:val="15"/>
                <w:color w:val="auto"/>
              </w:rPr>
            </w:pPr>
          </w:p>
        </w:tc>
        <w:tc>
          <w:tcPr>
            <w:tcW w:w="2060" w:type="dxa"/>
            <w:vAlign w:val="bottom"/>
          </w:tcPr>
          <w:p>
            <w:pPr>
              <w:jc w:val="center"/>
              <w:ind w:left="74"/>
              <w:spacing w:after="0"/>
              <w:rPr>
                <w:sz w:val="20"/>
                <w:szCs w:val="20"/>
                <w:color w:val="auto"/>
              </w:rPr>
            </w:pPr>
            <w:r>
              <w:rPr>
                <w:rFonts w:ascii="Arial" w:cs="Arial" w:eastAsia="Arial" w:hAnsi="Arial"/>
                <w:sz w:val="13"/>
                <w:szCs w:val="13"/>
                <w:color w:val="auto"/>
              </w:rPr>
              <w:t>Market Comparable</w:t>
            </w:r>
          </w:p>
        </w:tc>
        <w:tc>
          <w:tcPr>
            <w:tcW w:w="2260" w:type="dxa"/>
            <w:vAlign w:val="bottom"/>
          </w:tcPr>
          <w:p>
            <w:pPr>
              <w:jc w:val="center"/>
              <w:spacing w:after="0"/>
              <w:rPr>
                <w:sz w:val="20"/>
                <w:szCs w:val="20"/>
                <w:color w:val="auto"/>
              </w:rPr>
            </w:pPr>
            <w:r>
              <w:rPr>
                <w:rFonts w:ascii="Arial" w:cs="Arial" w:eastAsia="Arial" w:hAnsi="Arial"/>
                <w:sz w:val="13"/>
                <w:szCs w:val="13"/>
                <w:color w:val="auto"/>
                <w:w w:val="99"/>
              </w:rPr>
              <w:t>Market yield</w:t>
            </w:r>
          </w:p>
        </w:tc>
        <w:tc>
          <w:tcPr>
            <w:tcW w:w="2000" w:type="dxa"/>
            <w:vAlign w:val="bottom"/>
          </w:tcPr>
          <w:p>
            <w:pPr>
              <w:jc w:val="center"/>
              <w:spacing w:after="0"/>
              <w:rPr>
                <w:sz w:val="20"/>
                <w:szCs w:val="20"/>
                <w:color w:val="auto"/>
              </w:rPr>
            </w:pPr>
            <w:r>
              <w:rPr>
                <w:rFonts w:ascii="Arial" w:cs="Arial" w:eastAsia="Arial" w:hAnsi="Arial"/>
                <w:sz w:val="13"/>
                <w:szCs w:val="13"/>
                <w:color w:val="auto"/>
                <w:w w:val="94"/>
              </w:rPr>
              <w:t>3.1%</w:t>
            </w: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59" w:lineRule="exact"/>
        <w:rPr>
          <w:sz w:val="20"/>
          <w:szCs w:val="20"/>
          <w:color w:val="auto"/>
        </w:rPr>
      </w:pPr>
    </w:p>
    <w:p>
      <w:pPr>
        <w:ind w:left="360"/>
        <w:spacing w:after="0"/>
        <w:rPr>
          <w:sz w:val="20"/>
          <w:szCs w:val="20"/>
          <w:color w:val="auto"/>
        </w:rPr>
      </w:pPr>
      <w:r>
        <w:rPr>
          <w:rFonts w:ascii="Arial" w:cs="Arial" w:eastAsia="Arial" w:hAnsi="Arial"/>
          <w:sz w:val="10"/>
          <w:szCs w:val="10"/>
          <w:color w:val="auto"/>
        </w:rPr>
        <w:t>(1)The weighted averages disclosed in the table above were weighted by their relative fair value.</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0"/>
          <w:szCs w:val="10"/>
          <w:color w:val="auto"/>
        </w:rPr>
        <w:t>(2)DLOM is defined as discount for lack of marketability.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Fair value at</w:t>
            </w:r>
          </w:p>
        </w:tc>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rPr>
              <w:t>Range of Input</w:t>
            </w:r>
          </w:p>
        </w:tc>
      </w:tr>
      <w:tr>
        <w:trPr>
          <w:trHeight w:val="194"/>
        </w:trPr>
        <w:tc>
          <w:tcPr>
            <w:tcW w:w="2440" w:type="dxa"/>
            <w:vAlign w:val="bottom"/>
          </w:tcPr>
          <w:p>
            <w:pPr>
              <w:ind w:left="20"/>
              <w:spacing w:after="0"/>
              <w:rPr>
                <w:sz w:val="20"/>
                <w:szCs w:val="20"/>
                <w:color w:val="auto"/>
              </w:rPr>
            </w:pPr>
            <w:r>
              <w:rPr>
                <w:rFonts w:ascii="Arial" w:cs="Arial" w:eastAsia="Arial" w:hAnsi="Arial"/>
                <w:sz w:val="13"/>
                <w:szCs w:val="13"/>
                <w:b w:val="1"/>
                <w:bCs w:val="1"/>
                <w:color w:val="auto"/>
              </w:rPr>
              <w:t xml:space="preserve">Asset Category </w:t>
            </w:r>
            <w:r>
              <w:rPr>
                <w:rFonts w:ascii="Arial" w:cs="Arial" w:eastAsia="Arial" w:hAnsi="Arial"/>
                <w:sz w:val="13"/>
                <w:szCs w:val="13"/>
                <w:color w:val="auto"/>
              </w:rPr>
              <w:t>($ in thousands)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September 30, 2022</w:t>
            </w:r>
          </w:p>
        </w:tc>
        <w:tc>
          <w:tcPr>
            <w:tcW w:w="2120" w:type="dxa"/>
            <w:vAlign w:val="bottom"/>
          </w:tcPr>
          <w:p>
            <w:pPr>
              <w:jc w:val="center"/>
              <w:ind w:left="94"/>
              <w:spacing w:after="0"/>
              <w:rPr>
                <w:sz w:val="20"/>
                <w:szCs w:val="20"/>
                <w:color w:val="auto"/>
              </w:rPr>
            </w:pPr>
            <w:r>
              <w:rPr>
                <w:rFonts w:ascii="Arial" w:cs="Arial" w:eastAsia="Arial" w:hAnsi="Arial"/>
                <w:sz w:val="13"/>
                <w:szCs w:val="13"/>
                <w:b w:val="1"/>
                <w:bCs w:val="1"/>
                <w:color w:val="auto"/>
              </w:rPr>
              <w:t>Valuation Technique</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rPr>
              <w:t>Unobservable Input</w:t>
            </w: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9"/>
              </w:rPr>
              <w:t xml:space="preserve">(Weighted Average) </w:t>
            </w:r>
            <w:r>
              <w:rPr>
                <w:rFonts w:ascii="Arial" w:cs="Arial" w:eastAsia="Arial" w:hAnsi="Arial"/>
                <w:sz w:val="16"/>
                <w:szCs w:val="16"/>
                <w:b w:val="1"/>
                <w:bCs w:val="1"/>
                <w:color w:val="auto"/>
                <w:w w:val="99"/>
                <w:vertAlign w:val="superscript"/>
              </w:rPr>
              <w:t>(1)</w:t>
            </w:r>
          </w:p>
        </w:tc>
      </w:tr>
      <w:tr>
        <w:trPr>
          <w:trHeight w:val="175"/>
        </w:trPr>
        <w:tc>
          <w:tcPr>
            <w:tcW w:w="244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44,530</w:t>
            </w:r>
          </w:p>
        </w:tc>
        <w:tc>
          <w:tcPr>
            <w:tcW w:w="80" w:type="dxa"/>
            <w:vAlign w:val="bottom"/>
          </w:tcPr>
          <w:p>
            <w:pPr>
              <w:spacing w:after="0"/>
              <w:rPr>
                <w:sz w:val="15"/>
                <w:szCs w:val="15"/>
                <w:color w:val="auto"/>
              </w:rPr>
            </w:pPr>
          </w:p>
        </w:tc>
        <w:tc>
          <w:tcPr>
            <w:tcW w:w="2120" w:type="dxa"/>
            <w:vAlign w:val="bottom"/>
          </w:tcPr>
          <w:p>
            <w:pPr>
              <w:jc w:val="center"/>
              <w:ind w:left="94"/>
              <w:spacing w:after="0"/>
              <w:rPr>
                <w:sz w:val="20"/>
                <w:szCs w:val="20"/>
                <w:color w:val="auto"/>
              </w:rPr>
            </w:pPr>
            <w:r>
              <w:rPr>
                <w:rFonts w:ascii="Arial" w:cs="Arial" w:eastAsia="Arial" w:hAnsi="Arial"/>
                <w:sz w:val="13"/>
                <w:szCs w:val="13"/>
                <w:color w:val="auto"/>
              </w:rPr>
              <w:t>Market Comparable</w:t>
            </w:r>
          </w:p>
        </w:tc>
        <w:tc>
          <w:tcPr>
            <w:tcW w:w="2240" w:type="dxa"/>
            <w:vAlign w:val="bottom"/>
          </w:tcPr>
          <w:p>
            <w:pPr>
              <w:jc w:val="center"/>
              <w:spacing w:after="0"/>
              <w:rPr>
                <w:sz w:val="20"/>
                <w:szCs w:val="20"/>
                <w:color w:val="auto"/>
              </w:rPr>
            </w:pPr>
            <w:r>
              <w:rPr>
                <w:rFonts w:ascii="Arial" w:cs="Arial" w:eastAsia="Arial" w:hAnsi="Arial"/>
                <w:sz w:val="13"/>
                <w:szCs w:val="13"/>
                <w:color w:val="auto"/>
              </w:rPr>
              <w:t>Broker/Dealer bids or quotes</w:t>
            </w:r>
          </w:p>
        </w:tc>
        <w:tc>
          <w:tcPr>
            <w:tcW w:w="194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85"/>
        </w:trPr>
        <w:tc>
          <w:tcPr>
            <w:tcW w:w="2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First lien</w:t>
            </w:r>
          </w:p>
        </w:tc>
        <w:tc>
          <w:tcPr>
            <w:tcW w:w="1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569,488</w:t>
            </w:r>
          </w:p>
        </w:tc>
        <w:tc>
          <w:tcPr>
            <w:tcW w:w="80" w:type="dxa"/>
            <w:vAlign w:val="bottom"/>
            <w:shd w:val="clear" w:color="auto" w:fill="CCECFF"/>
          </w:tcPr>
          <w:p>
            <w:pPr>
              <w:spacing w:after="0"/>
              <w:rPr>
                <w:sz w:val="16"/>
                <w:szCs w:val="16"/>
                <w:color w:val="auto"/>
              </w:rPr>
            </w:pPr>
          </w:p>
        </w:tc>
        <w:tc>
          <w:tcPr>
            <w:tcW w:w="2120" w:type="dxa"/>
            <w:vAlign w:val="bottom"/>
            <w:shd w:val="clear" w:color="auto" w:fill="CCECFF"/>
          </w:tcPr>
          <w:p>
            <w:pPr>
              <w:jc w:val="center"/>
              <w:ind w:left="94"/>
              <w:spacing w:after="0"/>
              <w:rPr>
                <w:sz w:val="20"/>
                <w:szCs w:val="20"/>
                <w:color w:val="auto"/>
              </w:rPr>
            </w:pPr>
            <w:r>
              <w:rPr>
                <w:rFonts w:ascii="Arial" w:cs="Arial" w:eastAsia="Arial" w:hAnsi="Arial"/>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7.0% – 20.2% (10.8%)</w:t>
            </w:r>
          </w:p>
        </w:tc>
      </w:tr>
      <w:tr>
        <w:trPr>
          <w:trHeight w:val="175"/>
        </w:trPr>
        <w:tc>
          <w:tcPr>
            <w:tcW w:w="244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16,946</w:t>
            </w:r>
          </w:p>
        </w:tc>
        <w:tc>
          <w:tcPr>
            <w:tcW w:w="80" w:type="dxa"/>
            <w:vAlign w:val="bottom"/>
          </w:tcPr>
          <w:p>
            <w:pPr>
              <w:spacing w:after="0"/>
              <w:rPr>
                <w:sz w:val="15"/>
                <w:szCs w:val="15"/>
                <w:color w:val="auto"/>
              </w:rPr>
            </w:pPr>
          </w:p>
        </w:tc>
        <w:tc>
          <w:tcPr>
            <w:tcW w:w="2120" w:type="dxa"/>
            <w:vAlign w:val="bottom"/>
          </w:tcPr>
          <w:p>
            <w:pPr>
              <w:jc w:val="center"/>
              <w:ind w:left="94"/>
              <w:spacing w:after="0"/>
              <w:rPr>
                <w:sz w:val="20"/>
                <w:szCs w:val="20"/>
                <w:color w:val="auto"/>
              </w:rPr>
            </w:pPr>
            <w:r>
              <w:rPr>
                <w:rFonts w:ascii="Arial" w:cs="Arial" w:eastAsia="Arial" w:hAnsi="Arial"/>
                <w:sz w:val="13"/>
                <w:szCs w:val="13"/>
                <w:color w:val="auto"/>
              </w:rPr>
              <w:t>Market Comparable</w:t>
            </w:r>
          </w:p>
        </w:tc>
        <w:tc>
          <w:tcPr>
            <w:tcW w:w="2240" w:type="dxa"/>
            <w:vAlign w:val="bottom"/>
          </w:tcPr>
          <w:p>
            <w:pPr>
              <w:jc w:val="center"/>
              <w:spacing w:after="0"/>
              <w:rPr>
                <w:sz w:val="20"/>
                <w:szCs w:val="20"/>
                <w:color w:val="auto"/>
              </w:rPr>
            </w:pPr>
            <w:r>
              <w:rPr>
                <w:rFonts w:ascii="Arial" w:cs="Arial" w:eastAsia="Arial" w:hAnsi="Arial"/>
                <w:sz w:val="13"/>
                <w:szCs w:val="13"/>
                <w:color w:val="auto"/>
              </w:rPr>
              <w:t>EBITDA multiple</w:t>
            </w:r>
          </w:p>
        </w:tc>
        <w:tc>
          <w:tcPr>
            <w:tcW w:w="1940" w:type="dxa"/>
            <w:vAlign w:val="bottom"/>
          </w:tcPr>
          <w:p>
            <w:pPr>
              <w:jc w:val="center"/>
              <w:spacing w:after="0"/>
              <w:rPr>
                <w:sz w:val="20"/>
                <w:szCs w:val="20"/>
                <w:color w:val="auto"/>
              </w:rPr>
            </w:pPr>
            <w:r>
              <w:rPr>
                <w:rFonts w:ascii="Arial" w:cs="Arial" w:eastAsia="Arial" w:hAnsi="Arial"/>
                <w:sz w:val="13"/>
                <w:szCs w:val="13"/>
                <w:color w:val="auto"/>
              </w:rPr>
              <w:t>14.0x</w:t>
            </w:r>
          </w:p>
        </w:tc>
      </w:tr>
      <w:tr>
        <w:trPr>
          <w:trHeight w:val="185"/>
        </w:trPr>
        <w:tc>
          <w:tcPr>
            <w:tcW w:w="2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Second lien</w:t>
            </w:r>
          </w:p>
        </w:tc>
        <w:tc>
          <w:tcPr>
            <w:tcW w:w="1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21,600</w:t>
            </w:r>
          </w:p>
        </w:tc>
        <w:tc>
          <w:tcPr>
            <w:tcW w:w="80" w:type="dxa"/>
            <w:vAlign w:val="bottom"/>
            <w:shd w:val="clear" w:color="auto" w:fill="CCECFF"/>
          </w:tcPr>
          <w:p>
            <w:pPr>
              <w:spacing w:after="0"/>
              <w:rPr>
                <w:sz w:val="16"/>
                <w:szCs w:val="16"/>
                <w:color w:val="auto"/>
              </w:rPr>
            </w:pPr>
          </w:p>
        </w:tc>
        <w:tc>
          <w:tcPr>
            <w:tcW w:w="2120" w:type="dxa"/>
            <w:vAlign w:val="bottom"/>
            <w:shd w:val="clear" w:color="auto" w:fill="CCECFF"/>
          </w:tcPr>
          <w:p>
            <w:pPr>
              <w:jc w:val="center"/>
              <w:ind w:left="94"/>
              <w:spacing w:after="0"/>
              <w:rPr>
                <w:sz w:val="20"/>
                <w:szCs w:val="20"/>
                <w:color w:val="auto"/>
              </w:rPr>
            </w:pPr>
            <w:r>
              <w:rPr>
                <w:rFonts w:ascii="Arial" w:cs="Arial" w:eastAsia="Arial" w:hAnsi="Arial"/>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N/A</w:t>
            </w:r>
          </w:p>
        </w:tc>
      </w:tr>
      <w:tr>
        <w:trPr>
          <w:trHeight w:val="175"/>
        </w:trPr>
        <w:tc>
          <w:tcPr>
            <w:tcW w:w="2440" w:type="dxa"/>
            <w:vAlign w:val="bottom"/>
          </w:tcPr>
          <w:p>
            <w:pPr>
              <w:ind w:left="20"/>
              <w:spacing w:after="0"/>
              <w:rPr>
                <w:sz w:val="20"/>
                <w:szCs w:val="20"/>
                <w:color w:val="auto"/>
              </w:rPr>
            </w:pPr>
            <w:r>
              <w:rPr>
                <w:rFonts w:ascii="Arial" w:cs="Arial" w:eastAsia="Arial" w:hAnsi="Arial"/>
                <w:sz w:val="13"/>
                <w:szCs w:val="13"/>
                <w:color w:val="auto"/>
              </w:rPr>
              <w:t>Second lien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108,336</w:t>
            </w:r>
          </w:p>
        </w:tc>
        <w:tc>
          <w:tcPr>
            <w:tcW w:w="80" w:type="dxa"/>
            <w:vAlign w:val="bottom"/>
          </w:tcPr>
          <w:p>
            <w:pPr>
              <w:spacing w:after="0"/>
              <w:rPr>
                <w:sz w:val="15"/>
                <w:szCs w:val="15"/>
                <w:color w:val="auto"/>
              </w:rPr>
            </w:pPr>
          </w:p>
        </w:tc>
        <w:tc>
          <w:tcPr>
            <w:tcW w:w="2120" w:type="dxa"/>
            <w:vAlign w:val="bottom"/>
          </w:tcPr>
          <w:p>
            <w:pPr>
              <w:jc w:val="center"/>
              <w:ind w:left="94"/>
              <w:spacing w:after="0"/>
              <w:rPr>
                <w:sz w:val="20"/>
                <w:szCs w:val="20"/>
                <w:color w:val="auto"/>
              </w:rPr>
            </w:pPr>
            <w:r>
              <w:rPr>
                <w:rFonts w:ascii="Arial" w:cs="Arial" w:eastAsia="Arial" w:hAnsi="Arial"/>
                <w:sz w:val="13"/>
                <w:szCs w:val="13"/>
                <w:color w:val="auto"/>
              </w:rPr>
              <w:t>Market Comparable</w:t>
            </w:r>
          </w:p>
        </w:tc>
        <w:tc>
          <w:tcPr>
            <w:tcW w:w="2240" w:type="dxa"/>
            <w:vAlign w:val="bottom"/>
          </w:tcPr>
          <w:p>
            <w:pPr>
              <w:jc w:val="center"/>
              <w:spacing w:after="0"/>
              <w:rPr>
                <w:sz w:val="20"/>
                <w:szCs w:val="20"/>
                <w:color w:val="auto"/>
              </w:rPr>
            </w:pPr>
            <w:r>
              <w:rPr>
                <w:rFonts w:ascii="Arial" w:cs="Arial" w:eastAsia="Arial" w:hAnsi="Arial"/>
                <w:sz w:val="13"/>
                <w:szCs w:val="13"/>
                <w:color w:val="auto"/>
              </w:rPr>
              <w:t>Market yield</w:t>
            </w:r>
          </w:p>
        </w:tc>
        <w:tc>
          <w:tcPr>
            <w:tcW w:w="1940" w:type="dxa"/>
            <w:vAlign w:val="bottom"/>
          </w:tcPr>
          <w:p>
            <w:pPr>
              <w:jc w:val="center"/>
              <w:spacing w:after="0"/>
              <w:rPr>
                <w:sz w:val="20"/>
                <w:szCs w:val="20"/>
                <w:color w:val="auto"/>
              </w:rPr>
            </w:pPr>
            <w:r>
              <w:rPr>
                <w:rFonts w:ascii="Arial" w:cs="Arial" w:eastAsia="Arial" w:hAnsi="Arial"/>
                <w:sz w:val="13"/>
                <w:szCs w:val="13"/>
                <w:color w:val="auto"/>
                <w:w w:val="99"/>
              </w:rPr>
              <w:t>13.3% – 17.0% (14.4%)</w:t>
            </w:r>
          </w:p>
        </w:tc>
      </w:tr>
      <w:tr>
        <w:trPr>
          <w:trHeight w:val="185"/>
        </w:trPr>
        <w:tc>
          <w:tcPr>
            <w:tcW w:w="2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Second lien</w:t>
            </w:r>
          </w:p>
        </w:tc>
        <w:tc>
          <w:tcPr>
            <w:tcW w:w="1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5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212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7"/>
              </w:rPr>
              <w:t>6.0x</w:t>
            </w:r>
          </w:p>
        </w:tc>
      </w:tr>
      <w:tr>
        <w:trPr>
          <w:trHeight w:val="175"/>
        </w:trPr>
        <w:tc>
          <w:tcPr>
            <w:tcW w:w="2440" w:type="dxa"/>
            <w:vAlign w:val="bottom"/>
          </w:tcPr>
          <w:p>
            <w:pPr>
              <w:ind w:left="20"/>
              <w:spacing w:after="0"/>
              <w:rPr>
                <w:sz w:val="20"/>
                <w:szCs w:val="20"/>
                <w:color w:val="auto"/>
              </w:rPr>
            </w:pPr>
            <w:r>
              <w:rPr>
                <w:rFonts w:ascii="Arial" w:cs="Arial" w:eastAsia="Arial" w:hAnsi="Arial"/>
                <w:sz w:val="13"/>
                <w:szCs w:val="13"/>
                <w:color w:val="auto"/>
              </w:rPr>
              <w:t>Subordinated debt / corporate notes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141,265</w:t>
            </w:r>
          </w:p>
        </w:tc>
        <w:tc>
          <w:tcPr>
            <w:tcW w:w="80" w:type="dxa"/>
            <w:vAlign w:val="bottom"/>
          </w:tcPr>
          <w:p>
            <w:pPr>
              <w:spacing w:after="0"/>
              <w:rPr>
                <w:sz w:val="15"/>
                <w:szCs w:val="15"/>
                <w:color w:val="auto"/>
              </w:rPr>
            </w:pPr>
          </w:p>
        </w:tc>
        <w:tc>
          <w:tcPr>
            <w:tcW w:w="2120" w:type="dxa"/>
            <w:vAlign w:val="bottom"/>
          </w:tcPr>
          <w:p>
            <w:pPr>
              <w:jc w:val="center"/>
              <w:ind w:left="94"/>
              <w:spacing w:after="0"/>
              <w:rPr>
                <w:sz w:val="20"/>
                <w:szCs w:val="20"/>
                <w:color w:val="auto"/>
              </w:rPr>
            </w:pPr>
            <w:r>
              <w:rPr>
                <w:rFonts w:ascii="Arial" w:cs="Arial" w:eastAsia="Arial" w:hAnsi="Arial"/>
                <w:sz w:val="13"/>
                <w:szCs w:val="13"/>
                <w:color w:val="auto"/>
              </w:rPr>
              <w:t>Market Comparable</w:t>
            </w:r>
          </w:p>
        </w:tc>
        <w:tc>
          <w:tcPr>
            <w:tcW w:w="2240" w:type="dxa"/>
            <w:vAlign w:val="bottom"/>
          </w:tcPr>
          <w:p>
            <w:pPr>
              <w:jc w:val="center"/>
              <w:spacing w:after="0"/>
              <w:rPr>
                <w:sz w:val="20"/>
                <w:szCs w:val="20"/>
                <w:color w:val="auto"/>
              </w:rPr>
            </w:pPr>
            <w:r>
              <w:rPr>
                <w:rFonts w:ascii="Arial" w:cs="Arial" w:eastAsia="Arial" w:hAnsi="Arial"/>
                <w:sz w:val="13"/>
                <w:szCs w:val="13"/>
                <w:color w:val="auto"/>
              </w:rPr>
              <w:t>Market yield</w:t>
            </w:r>
          </w:p>
        </w:tc>
        <w:tc>
          <w:tcPr>
            <w:tcW w:w="1940" w:type="dxa"/>
            <w:vAlign w:val="bottom"/>
          </w:tcPr>
          <w:p>
            <w:pPr>
              <w:jc w:val="center"/>
              <w:spacing w:after="0"/>
              <w:rPr>
                <w:sz w:val="20"/>
                <w:szCs w:val="20"/>
                <w:color w:val="auto"/>
              </w:rPr>
            </w:pPr>
            <w:r>
              <w:rPr>
                <w:rFonts w:ascii="Arial" w:cs="Arial" w:eastAsia="Arial" w:hAnsi="Arial"/>
                <w:sz w:val="13"/>
                <w:szCs w:val="13"/>
                <w:color w:val="auto"/>
              </w:rPr>
              <w:t>10.8x – 17.2x (12.3x)</w:t>
            </w:r>
          </w:p>
        </w:tc>
      </w:tr>
      <w:tr>
        <w:trPr>
          <w:trHeight w:val="185"/>
        </w:trPr>
        <w:tc>
          <w:tcPr>
            <w:tcW w:w="2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w:t>
            </w:r>
          </w:p>
        </w:tc>
        <w:tc>
          <w:tcPr>
            <w:tcW w:w="1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215,131</w:t>
            </w:r>
          </w:p>
        </w:tc>
        <w:tc>
          <w:tcPr>
            <w:tcW w:w="80" w:type="dxa"/>
            <w:vAlign w:val="bottom"/>
            <w:shd w:val="clear" w:color="auto" w:fill="CCECFF"/>
          </w:tcPr>
          <w:p>
            <w:pPr>
              <w:spacing w:after="0"/>
              <w:rPr>
                <w:sz w:val="16"/>
                <w:szCs w:val="16"/>
                <w:color w:val="auto"/>
              </w:rPr>
            </w:pPr>
          </w:p>
        </w:tc>
        <w:tc>
          <w:tcPr>
            <w:tcW w:w="212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3.3x – 21.4x (9.1x)</w:t>
            </w:r>
          </w:p>
        </w:tc>
      </w:tr>
      <w:tr>
        <w:trPr>
          <w:trHeight w:val="180"/>
        </w:trPr>
        <w:tc>
          <w:tcPr>
            <w:tcW w:w="2440" w:type="dxa"/>
            <w:vAlign w:val="bottom"/>
          </w:tcPr>
          <w:p>
            <w:pPr>
              <w:ind w:left="20"/>
              <w:spacing w:after="0"/>
              <w:rPr>
                <w:sz w:val="20"/>
                <w:szCs w:val="20"/>
                <w:color w:val="auto"/>
              </w:rPr>
            </w:pPr>
            <w:r>
              <w:rPr>
                <w:rFonts w:ascii="Arial" w:cs="Arial" w:eastAsia="Arial" w:hAnsi="Arial"/>
                <w:sz w:val="13"/>
                <w:szCs w:val="13"/>
                <w:color w:val="auto"/>
              </w:rPr>
              <w:t>Equity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42,031</w:t>
            </w:r>
          </w:p>
        </w:tc>
        <w:tc>
          <w:tcPr>
            <w:tcW w:w="80" w:type="dxa"/>
            <w:vAlign w:val="bottom"/>
          </w:tcPr>
          <w:p>
            <w:pPr>
              <w:spacing w:after="0"/>
              <w:rPr>
                <w:sz w:val="15"/>
                <w:szCs w:val="15"/>
                <w:color w:val="auto"/>
              </w:rPr>
            </w:pPr>
          </w:p>
        </w:tc>
        <w:tc>
          <w:tcPr>
            <w:tcW w:w="2120" w:type="dxa"/>
            <w:vAlign w:val="bottom"/>
          </w:tcPr>
          <w:p>
            <w:pPr>
              <w:jc w:val="center"/>
              <w:ind w:left="74"/>
              <w:spacing w:after="0"/>
              <w:rPr>
                <w:sz w:val="20"/>
                <w:szCs w:val="20"/>
                <w:color w:val="auto"/>
              </w:rPr>
            </w:pPr>
            <w:r>
              <w:rPr>
                <w:rFonts w:ascii="Arial" w:cs="Arial" w:eastAsia="Arial" w:hAnsi="Arial"/>
                <w:sz w:val="13"/>
                <w:szCs w:val="13"/>
                <w:color w:val="auto"/>
              </w:rPr>
              <w:t>Enterprise Market Value</w:t>
            </w:r>
          </w:p>
        </w:tc>
        <w:tc>
          <w:tcPr>
            <w:tcW w:w="2240" w:type="dxa"/>
            <w:vAlign w:val="bottom"/>
          </w:tcPr>
          <w:p>
            <w:pPr>
              <w:jc w:val="center"/>
              <w:spacing w:after="0" w:line="180" w:lineRule="exact"/>
              <w:rPr>
                <w:sz w:val="20"/>
                <w:szCs w:val="20"/>
                <w:color w:val="auto"/>
              </w:rPr>
            </w:pPr>
            <w:r>
              <w:rPr>
                <w:rFonts w:ascii="Arial" w:cs="Arial" w:eastAsia="Arial" w:hAnsi="Arial"/>
                <w:sz w:val="13"/>
                <w:szCs w:val="13"/>
                <w:color w:val="auto"/>
                <w:w w:val="94"/>
              </w:rPr>
              <w:t>DLOM</w:t>
            </w:r>
            <w:r>
              <w:rPr>
                <w:rFonts w:ascii="Arial" w:cs="Arial" w:eastAsia="Arial" w:hAnsi="Arial"/>
                <w:sz w:val="16"/>
                <w:szCs w:val="16"/>
                <w:color w:val="auto"/>
                <w:w w:val="94"/>
                <w:vertAlign w:val="superscript"/>
              </w:rPr>
              <w:t>(2)</w:t>
            </w:r>
          </w:p>
        </w:tc>
        <w:tc>
          <w:tcPr>
            <w:tcW w:w="1940" w:type="dxa"/>
            <w:vAlign w:val="bottom"/>
          </w:tcPr>
          <w:p>
            <w:pPr>
              <w:jc w:val="center"/>
              <w:spacing w:after="0"/>
              <w:rPr>
                <w:sz w:val="20"/>
                <w:szCs w:val="20"/>
                <w:color w:val="auto"/>
              </w:rPr>
            </w:pPr>
            <w:r>
              <w:rPr>
                <w:rFonts w:ascii="Arial" w:cs="Arial" w:eastAsia="Arial" w:hAnsi="Arial"/>
                <w:sz w:val="13"/>
                <w:szCs w:val="13"/>
                <w:color w:val="auto"/>
                <w:w w:val="94"/>
              </w:rPr>
              <w:t>11.8</w:t>
            </w:r>
          </w:p>
        </w:tc>
      </w:tr>
      <w:tr>
        <w:trPr>
          <w:trHeight w:val="220"/>
        </w:trPr>
        <w:tc>
          <w:tcPr>
            <w:tcW w:w="24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Total Level 3 investments</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1,159,327</w:t>
            </w:r>
          </w:p>
        </w:tc>
        <w:tc>
          <w:tcPr>
            <w:tcW w:w="80" w:type="dxa"/>
            <w:vAlign w:val="bottom"/>
            <w:shd w:val="clear" w:color="auto" w:fill="CCECFF"/>
          </w:tcPr>
          <w:p>
            <w:pPr>
              <w:spacing w:after="0"/>
              <w:rPr>
                <w:sz w:val="19"/>
                <w:szCs w:val="19"/>
                <w:color w:val="auto"/>
              </w:rPr>
            </w:pPr>
          </w:p>
        </w:tc>
        <w:tc>
          <w:tcPr>
            <w:tcW w:w="2120" w:type="dxa"/>
            <w:vAlign w:val="bottom"/>
            <w:shd w:val="clear" w:color="auto" w:fill="CCECFF"/>
          </w:tcPr>
          <w:p>
            <w:pPr>
              <w:spacing w:after="0"/>
              <w:rPr>
                <w:sz w:val="19"/>
                <w:szCs w:val="19"/>
                <w:color w:val="auto"/>
              </w:rPr>
            </w:pPr>
          </w:p>
        </w:tc>
        <w:tc>
          <w:tcPr>
            <w:tcW w:w="2240" w:type="dxa"/>
            <w:vAlign w:val="bottom"/>
            <w:shd w:val="clear" w:color="auto" w:fill="CCECFF"/>
          </w:tcPr>
          <w:p>
            <w:pPr>
              <w:spacing w:after="0"/>
              <w:rPr>
                <w:sz w:val="19"/>
                <w:szCs w:val="19"/>
                <w:color w:val="auto"/>
              </w:rPr>
            </w:pPr>
          </w:p>
        </w:tc>
        <w:tc>
          <w:tcPr>
            <w:tcW w:w="1940" w:type="dxa"/>
            <w:vAlign w:val="bottom"/>
            <w:shd w:val="clear" w:color="auto" w:fill="CCECFF"/>
          </w:tcPr>
          <w:p>
            <w:pPr>
              <w:spacing w:after="0"/>
              <w:rPr>
                <w:sz w:val="19"/>
                <w:szCs w:val="19"/>
                <w:color w:val="auto"/>
              </w:rPr>
            </w:pPr>
          </w:p>
        </w:tc>
      </w:tr>
      <w:tr>
        <w:trPr>
          <w:trHeight w:val="156"/>
        </w:trPr>
        <w:tc>
          <w:tcPr>
            <w:tcW w:w="2440" w:type="dxa"/>
            <w:vAlign w:val="bottom"/>
            <w:tcBorders>
              <w:top w:val="single" w:sz="8" w:color="CCECFF"/>
            </w:tcBorders>
          </w:tcPr>
          <w:p>
            <w:pPr>
              <w:ind w:left="20"/>
              <w:spacing w:after="0"/>
              <w:rPr>
                <w:sz w:val="20"/>
                <w:szCs w:val="20"/>
                <w:color w:val="auto"/>
              </w:rPr>
            </w:pPr>
            <w:r>
              <w:rPr>
                <w:rFonts w:ascii="Arial" w:cs="Arial" w:eastAsia="Arial" w:hAnsi="Arial"/>
                <w:sz w:val="13"/>
                <w:szCs w:val="13"/>
                <w:b w:val="1"/>
                <w:bCs w:val="1"/>
                <w:color w:val="auto"/>
              </w:rPr>
              <w:t xml:space="preserve">Debt Category </w:t>
            </w:r>
            <w:r>
              <w:rPr>
                <w:rFonts w:ascii="Arial" w:cs="Arial" w:eastAsia="Arial" w:hAnsi="Arial"/>
                <w:sz w:val="13"/>
                <w:szCs w:val="13"/>
                <w:color w:val="auto"/>
              </w:rPr>
              <w:t>($ in thousands)</w:t>
            </w:r>
          </w:p>
        </w:tc>
        <w:tc>
          <w:tcPr>
            <w:tcW w:w="14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2120" w:type="dxa"/>
            <w:vAlign w:val="bottom"/>
            <w:tcBorders>
              <w:top w:val="single" w:sz="8" w:color="CCECFF"/>
            </w:tcBorders>
          </w:tcPr>
          <w:p>
            <w:pPr>
              <w:spacing w:after="0"/>
              <w:rPr>
                <w:sz w:val="13"/>
                <w:szCs w:val="13"/>
                <w:color w:val="auto"/>
              </w:rPr>
            </w:pPr>
          </w:p>
        </w:tc>
        <w:tc>
          <w:tcPr>
            <w:tcW w:w="2240" w:type="dxa"/>
            <w:vAlign w:val="bottom"/>
            <w:tcBorders>
              <w:top w:val="single" w:sz="8" w:color="CCECFF"/>
            </w:tcBorders>
          </w:tcPr>
          <w:p>
            <w:pPr>
              <w:spacing w:after="0"/>
              <w:rPr>
                <w:sz w:val="13"/>
                <w:szCs w:val="13"/>
                <w:color w:val="auto"/>
              </w:rPr>
            </w:pPr>
          </w:p>
        </w:tc>
        <w:tc>
          <w:tcPr>
            <w:tcW w:w="1940" w:type="dxa"/>
            <w:vAlign w:val="bottom"/>
            <w:tcBorders>
              <w:top w:val="single" w:sz="8" w:color="CCECFF"/>
            </w:tcBorders>
          </w:tcPr>
          <w:p>
            <w:pPr>
              <w:spacing w:after="0"/>
              <w:rPr>
                <w:sz w:val="13"/>
                <w:szCs w:val="13"/>
                <w:color w:val="auto"/>
              </w:rPr>
            </w:pPr>
          </w:p>
        </w:tc>
      </w:tr>
      <w:tr>
        <w:trPr>
          <w:trHeight w:val="220"/>
        </w:trPr>
        <w:tc>
          <w:tcPr>
            <w:tcW w:w="24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Truist Credit Facility</w:t>
            </w:r>
          </w:p>
        </w:tc>
        <w:tc>
          <w:tcPr>
            <w:tcW w:w="14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376,687</w:t>
            </w:r>
          </w:p>
        </w:tc>
        <w:tc>
          <w:tcPr>
            <w:tcW w:w="80" w:type="dxa"/>
            <w:vAlign w:val="bottom"/>
            <w:tcBorders>
              <w:bottom w:val="single" w:sz="8" w:color="CCECFF"/>
            </w:tcBorders>
            <w:shd w:val="clear" w:color="auto" w:fill="CCECFF"/>
          </w:tcPr>
          <w:p>
            <w:pPr>
              <w:spacing w:after="0"/>
              <w:rPr>
                <w:sz w:val="19"/>
                <w:szCs w:val="19"/>
                <w:color w:val="auto"/>
              </w:rPr>
            </w:pPr>
          </w:p>
        </w:tc>
        <w:tc>
          <w:tcPr>
            <w:tcW w:w="2120" w:type="dxa"/>
            <w:vAlign w:val="bottom"/>
            <w:tcBorders>
              <w:bottom w:val="single" w:sz="8" w:color="CCECFF"/>
            </w:tcBorders>
            <w:shd w:val="clear" w:color="auto" w:fill="CCECFF"/>
          </w:tcPr>
          <w:p>
            <w:pPr>
              <w:jc w:val="center"/>
              <w:ind w:left="94"/>
              <w:spacing w:after="0"/>
              <w:rPr>
                <w:sz w:val="20"/>
                <w:szCs w:val="20"/>
                <w:color w:val="auto"/>
              </w:rPr>
            </w:pPr>
            <w:r>
              <w:rPr>
                <w:rFonts w:ascii="Arial" w:cs="Arial" w:eastAsia="Arial" w:hAnsi="Arial"/>
                <w:sz w:val="13"/>
                <w:szCs w:val="13"/>
                <w:color w:val="auto"/>
              </w:rPr>
              <w:t>Market Comparable</w:t>
            </w:r>
          </w:p>
        </w:tc>
        <w:tc>
          <w:tcPr>
            <w:tcW w:w="22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3"/>
                <w:szCs w:val="13"/>
                <w:color w:val="auto"/>
              </w:rPr>
              <w:t>Market yield</w:t>
            </w:r>
          </w:p>
        </w:tc>
        <w:tc>
          <w:tcPr>
            <w:tcW w:w="19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3"/>
                <w:szCs w:val="13"/>
                <w:color w:val="auto"/>
              </w:rPr>
              <w:t>2.4%</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1.The weighted averages disclosed in the table above were weighted by their relative fair value.</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2.DLOM is defined as discount for lack of marketability.</w:t>
      </w:r>
    </w:p>
    <w:p>
      <w:pPr>
        <w:spacing w:after="0" w:line="114" w:lineRule="exact"/>
        <w:rPr>
          <w:sz w:val="20"/>
          <w:szCs w:val="20"/>
          <w:color w:val="auto"/>
        </w:rPr>
      </w:pPr>
    </w:p>
    <w:p>
      <w:pPr>
        <w:ind w:right="120" w:firstLine="420"/>
        <w:spacing w:after="0" w:line="276" w:lineRule="auto"/>
        <w:rPr>
          <w:sz w:val="20"/>
          <w:szCs w:val="20"/>
          <w:color w:val="auto"/>
        </w:rPr>
      </w:pPr>
      <w:r>
        <w:rPr>
          <w:rFonts w:ascii="Arial" w:cs="Arial" w:eastAsia="Arial" w:hAnsi="Arial"/>
          <w:sz w:val="13"/>
          <w:szCs w:val="13"/>
          <w:color w:val="auto"/>
        </w:rPr>
        <w:t>Our investments, cash and cash equivalents, Truist Credit Facility, SBA debentures, 2024 Notes, 2026 Notes and 2026 Notes-2 were categorized as follows in the fair value hierarchy: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7"/>
          </w:tcPr>
          <w:p>
            <w:pPr>
              <w:ind w:left="900"/>
              <w:spacing w:after="0"/>
              <w:rPr>
                <w:sz w:val="20"/>
                <w:szCs w:val="20"/>
                <w:color w:val="auto"/>
              </w:rPr>
            </w:pPr>
            <w:r>
              <w:rPr>
                <w:rFonts w:ascii="Arial" w:cs="Arial" w:eastAsia="Arial" w:hAnsi="Arial"/>
                <w:sz w:val="13"/>
                <w:szCs w:val="13"/>
                <w:b w:val="1"/>
                <w:bCs w:val="1"/>
                <w:color w:val="auto"/>
              </w:rPr>
              <w:t>Fair Value at March 31, 2023</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Measured at Net</w:t>
            </w:r>
          </w:p>
        </w:tc>
        <w:tc>
          <w:tcPr>
            <w:tcW w:w="0" w:type="dxa"/>
            <w:vAlign w:val="bottom"/>
          </w:tcPr>
          <w:p>
            <w:pPr>
              <w:spacing w:after="0"/>
              <w:rPr>
                <w:sz w:val="1"/>
                <w:szCs w:val="1"/>
                <w:color w:val="auto"/>
              </w:rPr>
            </w:pPr>
          </w:p>
        </w:tc>
      </w:tr>
      <w:tr>
        <w:trPr>
          <w:trHeight w:val="142"/>
        </w:trPr>
        <w:tc>
          <w:tcPr>
            <w:tcW w:w="3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Description </w:t>
            </w:r>
            <w:r>
              <w:rPr>
                <w:rFonts w:ascii="Arial" w:cs="Arial" w:eastAsia="Arial" w:hAnsi="Arial"/>
                <w:sz w:val="13"/>
                <w:szCs w:val="13"/>
                <w:color w:val="auto"/>
              </w:rPr>
              <w:t>($ in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Level 2</w:t>
            </w:r>
          </w:p>
        </w:tc>
        <w:tc>
          <w:tcPr>
            <w:tcW w:w="20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 xml:space="preserve">Asset Value </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Arial" w:cs="Arial" w:eastAsia="Arial" w:hAnsi="Arial"/>
                <w:sz w:val="13"/>
                <w:szCs w:val="13"/>
                <w:color w:val="auto"/>
              </w:rPr>
              <w:t>Debt investments</w:t>
            </w:r>
          </w:p>
        </w:tc>
        <w:tc>
          <w:tcPr>
            <w:tcW w:w="14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907,544</w:t>
            </w:r>
          </w:p>
        </w:tc>
        <w:tc>
          <w:tcPr>
            <w:tcW w:w="1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907,544</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 investments</w:t>
            </w:r>
          </w:p>
        </w:tc>
        <w:tc>
          <w:tcPr>
            <w:tcW w:w="1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224,967</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220" w:type="dxa"/>
            <w:vAlign w:val="bottom"/>
            <w:gridSpan w:val="3"/>
            <w:shd w:val="clear" w:color="auto" w:fill="CCEC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159,603</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65,364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340"/>
              <w:spacing w:after="0"/>
              <w:rPr>
                <w:sz w:val="20"/>
                <w:szCs w:val="20"/>
                <w:color w:val="auto"/>
              </w:rPr>
            </w:pPr>
            <w:r>
              <w:rPr>
                <w:rFonts w:ascii="Arial" w:cs="Arial" w:eastAsia="Arial" w:hAnsi="Arial"/>
                <w:sz w:val="13"/>
                <w:szCs w:val="13"/>
                <w:color w:val="auto"/>
              </w:rPr>
              <w:t>Total investments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1,132,511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1,067,147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65,364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63,135</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63,135</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220" w:type="dxa"/>
            <w:vAlign w:val="bottom"/>
            <w:gridSpan w:val="3"/>
            <w:shd w:val="clear" w:color="auto" w:fill="CCEC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460" w:type="dxa"/>
            <w:vAlign w:val="bottom"/>
          </w:tcPr>
          <w:p>
            <w:pPr>
              <w:ind w:left="340"/>
              <w:spacing w:after="0"/>
              <w:rPr>
                <w:sz w:val="20"/>
                <w:szCs w:val="20"/>
                <w:color w:val="auto"/>
              </w:rPr>
            </w:pPr>
            <w:r>
              <w:rPr>
                <w:rFonts w:ascii="Arial" w:cs="Arial" w:eastAsia="Arial" w:hAnsi="Arial"/>
                <w:sz w:val="13"/>
                <w:szCs w:val="13"/>
                <w:color w:val="auto"/>
              </w:rPr>
              <w:t>Total investments and cash and cash equivalents</w:t>
            </w:r>
          </w:p>
        </w:tc>
        <w:tc>
          <w:tcPr>
            <w:tcW w:w="32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1,195,646</w:t>
            </w:r>
          </w:p>
        </w:tc>
        <w:tc>
          <w:tcPr>
            <w:tcW w:w="1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63,135</w:t>
            </w:r>
          </w:p>
        </w:tc>
        <w:tc>
          <w:tcPr>
            <w:tcW w:w="1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1,067,147</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65,364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Truist Credit Facility</w:t>
            </w:r>
          </w:p>
        </w:tc>
        <w:tc>
          <w:tcPr>
            <w:tcW w:w="320" w:type="dxa"/>
            <w:vAlign w:val="bottom"/>
            <w:gridSpan w:val="2"/>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362,268</w:t>
            </w:r>
          </w:p>
        </w:tc>
        <w:tc>
          <w:tcPr>
            <w:tcW w:w="100" w:type="dxa"/>
            <w:vAlign w:val="bottom"/>
            <w:shd w:val="clear" w:color="auto" w:fill="CCECFF"/>
          </w:tcPr>
          <w:p>
            <w:pPr>
              <w:spacing w:after="0"/>
              <w:rPr>
                <w:sz w:val="13"/>
                <w:szCs w:val="13"/>
                <w:color w:val="auto"/>
              </w:rPr>
            </w:pPr>
          </w:p>
        </w:tc>
        <w:tc>
          <w:tcPr>
            <w:tcW w:w="36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C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362,268</w:t>
            </w:r>
          </w:p>
        </w:tc>
        <w:tc>
          <w:tcPr>
            <w:tcW w:w="100" w:type="dxa"/>
            <w:vAlign w:val="bottom"/>
            <w:shd w:val="clear" w:color="auto" w:fill="CCECFF"/>
          </w:tcPr>
          <w:p>
            <w:pPr>
              <w:spacing w:after="0"/>
              <w:rPr>
                <w:sz w:val="13"/>
                <w:szCs w:val="13"/>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460" w:type="dxa"/>
            <w:vAlign w:val="bottom"/>
          </w:tcPr>
          <w:p>
            <w:pPr>
              <w:ind w:left="20"/>
              <w:spacing w:after="0" w:line="180" w:lineRule="exact"/>
              <w:rPr>
                <w:sz w:val="20"/>
                <w:szCs w:val="20"/>
                <w:color w:val="auto"/>
              </w:rPr>
            </w:pPr>
            <w:r>
              <w:rPr>
                <w:rFonts w:ascii="Arial" w:cs="Arial" w:eastAsia="Arial" w:hAnsi="Arial"/>
                <w:sz w:val="13"/>
                <w:szCs w:val="13"/>
                <w:color w:val="auto"/>
              </w:rPr>
              <w:t>2026 Notes</w:t>
            </w:r>
            <w:r>
              <w:rPr>
                <w:rFonts w:ascii="Arial" w:cs="Arial" w:eastAsia="Arial" w:hAnsi="Arial"/>
                <w:sz w:val="16"/>
                <w:szCs w:val="16"/>
                <w:color w:val="auto"/>
                <w:vertAlign w:val="superscript"/>
              </w:rPr>
              <w:t>(2)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147,218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147,218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46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2026 Notes-2</w:t>
            </w:r>
            <w:r>
              <w:rPr>
                <w:rFonts w:ascii="Arial" w:cs="Arial" w:eastAsia="Arial" w:hAnsi="Arial"/>
                <w:sz w:val="16"/>
                <w:szCs w:val="16"/>
                <w:color w:val="auto"/>
                <w:vertAlign w:val="superscript"/>
              </w:rPr>
              <w:t>(2)</w:t>
            </w:r>
          </w:p>
        </w:tc>
        <w:tc>
          <w:tcPr>
            <w:tcW w:w="1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161,800</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161,800</w:t>
            </w:r>
          </w:p>
        </w:tc>
        <w:tc>
          <w:tcPr>
            <w:tcW w:w="22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460" w:type="dxa"/>
            <w:vAlign w:val="bottom"/>
          </w:tcPr>
          <w:p>
            <w:pPr>
              <w:ind w:left="340"/>
              <w:spacing w:after="0"/>
              <w:rPr>
                <w:sz w:val="20"/>
                <w:szCs w:val="20"/>
                <w:color w:val="auto"/>
              </w:rPr>
            </w:pPr>
            <w:r>
              <w:rPr>
                <w:rFonts w:ascii="Arial" w:cs="Arial" w:eastAsia="Arial" w:hAnsi="Arial"/>
                <w:sz w:val="13"/>
                <w:szCs w:val="13"/>
                <w:color w:val="auto"/>
              </w:rPr>
              <w:t>Total debt</w:t>
            </w:r>
          </w:p>
        </w:tc>
        <w:tc>
          <w:tcPr>
            <w:tcW w:w="32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671,286</w:t>
            </w:r>
          </w:p>
        </w:tc>
        <w:tc>
          <w:tcPr>
            <w:tcW w:w="1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309,018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362,268</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80"/>
          </w:cols>
          <w:pgMar w:left="660" w:top="554" w:right="66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40" w:orient="portrait"/>
          <w:cols w:equalWidth="0" w:num="1">
            <w:col w:w="10580"/>
          </w:cols>
          <w:pgMar w:left="660" w:top="554" w:right="660" w:bottom="1440" w:gutter="0" w:footer="0" w:header="0"/>
          <w:type w:val="continuous"/>
        </w:sectPr>
      </w:pPr>
    </w:p>
    <w:bookmarkStart w:id="30" w:name="page31"/>
    <w:bookmarkEnd w:id="30"/>
    <w:p>
      <w:pPr>
        <w:jc w:val="center"/>
        <w:ind w:right="4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188" w:lineRule="exact"/>
        <w:rPr>
          <w:sz w:val="20"/>
          <w:szCs w:val="20"/>
          <w:color w:val="auto"/>
        </w:rPr>
      </w:pPr>
    </w:p>
    <w:p>
      <w:pPr>
        <w:ind w:left="460" w:right="460" w:hanging="442"/>
        <w:spacing w:after="0" w:line="261"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 accordance with ASC Subtopic 820-10, Fair Value Measurements and Disclosures, or ASC 820-10, our equity investment in PSLF and PTSF II are measured using the net asset value per share (or its equivalent) as a practical expedient for fair value, and thus has not been classified in the fair value hierarchy.</w:t>
      </w:r>
    </w:p>
    <w:p>
      <w:pPr>
        <w:ind w:left="460" w:right="120" w:hanging="442"/>
        <w:spacing w:after="0" w:line="271"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elected not to apply ASC 825-10 to the SBA debentures, the 2026 Notes and the 2026 Notes-2, and thus the balance reported in the Consolidated Statement of Assets and Liabilities represents the carrying value.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8"/>
          </w:tcPr>
          <w:p>
            <w:pPr>
              <w:jc w:val="right"/>
              <w:ind w:right="54"/>
              <w:spacing w:after="0"/>
              <w:rPr>
                <w:sz w:val="20"/>
                <w:szCs w:val="20"/>
                <w:color w:val="auto"/>
              </w:rPr>
            </w:pPr>
            <w:r>
              <w:rPr>
                <w:rFonts w:ascii="Arial" w:cs="Arial" w:eastAsia="Arial" w:hAnsi="Arial"/>
                <w:sz w:val="13"/>
                <w:szCs w:val="13"/>
                <w:b w:val="1"/>
                <w:bCs w:val="1"/>
                <w:color w:val="auto"/>
              </w:rPr>
              <w:t>Fair Value at September 30, 2022</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Measured at Net</w:t>
            </w:r>
          </w:p>
        </w:tc>
        <w:tc>
          <w:tcPr>
            <w:tcW w:w="0" w:type="dxa"/>
            <w:vAlign w:val="bottom"/>
          </w:tcPr>
          <w:p>
            <w:pPr>
              <w:spacing w:after="0"/>
              <w:rPr>
                <w:sz w:val="1"/>
                <w:szCs w:val="1"/>
                <w:color w:val="auto"/>
              </w:rPr>
            </w:pPr>
          </w:p>
        </w:tc>
      </w:tr>
      <w:tr>
        <w:trPr>
          <w:trHeight w:val="142"/>
        </w:trPr>
        <w:tc>
          <w:tcPr>
            <w:tcW w:w="3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Description </w:t>
            </w:r>
            <w:r>
              <w:rPr>
                <w:rFonts w:ascii="Arial" w:cs="Arial" w:eastAsia="Arial" w:hAnsi="Arial"/>
                <w:sz w:val="13"/>
                <w:szCs w:val="13"/>
                <w:color w:val="auto"/>
              </w:rPr>
              <w:t>($ in thousands)</w:t>
            </w:r>
          </w:p>
        </w:tc>
        <w:tc>
          <w:tcPr>
            <w:tcW w:w="180" w:type="dxa"/>
            <w:vAlign w:val="bottom"/>
          </w:tcPr>
          <w:p>
            <w:pPr>
              <w:spacing w:after="0"/>
              <w:rPr>
                <w:sz w:val="12"/>
                <w:szCs w:val="12"/>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 xml:space="preserve">Asset Value </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171"/>
        </w:trPr>
        <w:tc>
          <w:tcPr>
            <w:tcW w:w="3600" w:type="dxa"/>
            <w:vAlign w:val="bottom"/>
          </w:tcPr>
          <w:p>
            <w:pPr>
              <w:ind w:left="20"/>
              <w:spacing w:after="0"/>
              <w:rPr>
                <w:sz w:val="20"/>
                <w:szCs w:val="20"/>
                <w:color w:val="auto"/>
              </w:rPr>
            </w:pPr>
            <w:r>
              <w:rPr>
                <w:rFonts w:ascii="Arial" w:cs="Arial" w:eastAsia="Arial" w:hAnsi="Arial"/>
                <w:sz w:val="13"/>
                <w:szCs w:val="13"/>
                <w:color w:val="auto"/>
              </w:rPr>
              <w:t>Debt investments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902,165</w:t>
            </w:r>
          </w:p>
        </w:tc>
        <w:tc>
          <w:tcPr>
            <w:tcW w:w="460" w:type="dxa"/>
            <w:vAlign w:val="bottom"/>
            <w:gridSpan w:val="3"/>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902,165</w:t>
            </w:r>
          </w:p>
        </w:tc>
        <w:tc>
          <w:tcPr>
            <w:tcW w:w="8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60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 investments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324,136</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257,162</w:t>
            </w:r>
          </w:p>
        </w:tc>
        <w:tc>
          <w:tcPr>
            <w:tcW w:w="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66,670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340"/>
              <w:spacing w:after="0"/>
              <w:rPr>
                <w:sz w:val="20"/>
                <w:szCs w:val="20"/>
                <w:color w:val="auto"/>
              </w:rPr>
            </w:pPr>
            <w:r>
              <w:rPr>
                <w:rFonts w:ascii="Arial" w:cs="Arial" w:eastAsia="Arial" w:hAnsi="Arial"/>
                <w:sz w:val="13"/>
                <w:szCs w:val="13"/>
                <w:color w:val="auto"/>
              </w:rPr>
              <w:t>Total investments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1,226,301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1,159,327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66,670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52,666</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52,666</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340"/>
              <w:spacing w:after="0"/>
              <w:rPr>
                <w:sz w:val="20"/>
                <w:szCs w:val="20"/>
                <w:color w:val="auto"/>
              </w:rPr>
            </w:pPr>
            <w:r>
              <w:rPr>
                <w:rFonts w:ascii="Arial" w:cs="Arial" w:eastAsia="Arial" w:hAnsi="Arial"/>
                <w:sz w:val="13"/>
                <w:szCs w:val="13"/>
                <w:color w:val="auto"/>
              </w:rPr>
              <w:t>Total investments and cash and cash equivalents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1,278,967</w:t>
            </w:r>
          </w:p>
        </w:tc>
        <w:tc>
          <w:tcPr>
            <w:tcW w:w="10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52,970</w:t>
            </w:r>
          </w:p>
        </w:tc>
        <w:tc>
          <w:tcPr>
            <w:tcW w:w="10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1,159,327</w:t>
            </w:r>
          </w:p>
        </w:tc>
        <w:tc>
          <w:tcPr>
            <w:tcW w:w="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66,670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shd w:val="clear" w:color="auto" w:fill="CCECFF"/>
          </w:tcPr>
          <w:p>
            <w:pPr>
              <w:ind w:left="20"/>
              <w:spacing w:after="0"/>
              <w:rPr>
                <w:sz w:val="20"/>
                <w:szCs w:val="20"/>
                <w:color w:val="auto"/>
              </w:rPr>
            </w:pPr>
            <w:r>
              <w:rPr>
                <w:rFonts w:ascii="Arial" w:cs="Arial" w:eastAsia="Arial" w:hAnsi="Arial"/>
                <w:sz w:val="13"/>
                <w:szCs w:val="13"/>
                <w:color w:val="auto"/>
              </w:rPr>
              <w:t>Truist Credit Facility</w:t>
            </w:r>
          </w:p>
        </w:tc>
        <w:tc>
          <w:tcPr>
            <w:tcW w:w="18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376,687</w:t>
            </w:r>
          </w:p>
        </w:tc>
        <w:tc>
          <w:tcPr>
            <w:tcW w:w="460" w:type="dxa"/>
            <w:vAlign w:val="bottom"/>
            <w:gridSpan w:val="3"/>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CFF"/>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376,687</w:t>
            </w: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SBA Debentures </w:t>
            </w:r>
            <w:r>
              <w:rPr>
                <w:rFonts w:ascii="Arial" w:cs="Arial" w:eastAsia="Arial" w:hAnsi="Arial"/>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19,686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19,686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 xml:space="preserve">2026 Notes </w:t>
            </w:r>
            <w:r>
              <w:rPr>
                <w:rFonts w:ascii="Arial" w:cs="Arial" w:eastAsia="Arial" w:hAnsi="Arial"/>
                <w:sz w:val="16"/>
                <w:szCs w:val="16"/>
                <w:color w:val="auto"/>
                <w:vertAlign w:val="superscript"/>
              </w:rPr>
              <w:t>(2)</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146,767</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146,767</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2026-2 Notes </w:t>
            </w:r>
            <w:r>
              <w:rPr>
                <w:rFonts w:ascii="Arial" w:cs="Arial" w:eastAsia="Arial" w:hAnsi="Arial"/>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161,373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161,373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3600" w:type="dxa"/>
            <w:vAlign w:val="bottom"/>
            <w:tcBorders>
              <w:bottom w:val="single" w:sz="8" w:color="CCECFF"/>
            </w:tcBorders>
            <w:shd w:val="clear" w:color="auto" w:fill="CCECFF"/>
          </w:tcPr>
          <w:p>
            <w:pPr>
              <w:ind w:left="340"/>
              <w:spacing w:after="0"/>
              <w:rPr>
                <w:sz w:val="20"/>
                <w:szCs w:val="20"/>
                <w:color w:val="auto"/>
              </w:rPr>
            </w:pPr>
            <w:r>
              <w:rPr>
                <w:rFonts w:ascii="Arial" w:cs="Arial" w:eastAsia="Arial" w:hAnsi="Arial"/>
                <w:sz w:val="13"/>
                <w:szCs w:val="13"/>
                <w:color w:val="auto"/>
              </w:rPr>
              <w:t>Total debt</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704,513</w:t>
            </w:r>
          </w:p>
        </w:tc>
        <w:tc>
          <w:tcPr>
            <w:tcW w:w="10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308,140</w:t>
            </w:r>
          </w:p>
        </w:tc>
        <w:tc>
          <w:tcPr>
            <w:tcW w:w="10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396,373</w:t>
            </w:r>
          </w:p>
        </w:tc>
        <w:tc>
          <w:tcPr>
            <w:tcW w:w="8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60" w:right="360" w:hanging="442"/>
        <w:spacing w:after="0" w:line="261"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ind w:left="460" w:right="460" w:hanging="442"/>
        <w:spacing w:after="0" w:line="271"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elected not to apply ASC 825-10 to the SBA debentures and the 2026 Notes and thus the balance reported in the Consolidated Statement of Assets and Liabilities represents the carrying value. As of September 30, 2022, the carrying value of the SBA debentures approximates the fair value.</w:t>
      </w: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tables below show a reconciliation of the beginning and ending balances for investments measured at fair value using significant unobservable inputs (Level 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8"/>
          </w:tcPr>
          <w:p>
            <w:pPr>
              <w:jc w:val="right"/>
              <w:ind w:right="180"/>
              <w:spacing w:after="0"/>
              <w:rPr>
                <w:sz w:val="20"/>
                <w:szCs w:val="20"/>
                <w:color w:val="auto"/>
              </w:rPr>
            </w:pPr>
            <w:r>
              <w:rPr>
                <w:rFonts w:ascii="Arial" w:cs="Arial" w:eastAsia="Arial" w:hAnsi="Arial"/>
                <w:sz w:val="13"/>
                <w:szCs w:val="13"/>
                <w:b w:val="1"/>
                <w:bCs w:val="1"/>
                <w:color w:val="auto"/>
              </w:rPr>
              <w:t>Six Months Ended March 31, 2023</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Debt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99"/>
        </w:trPr>
        <w:tc>
          <w:tcPr>
            <w:tcW w:w="5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Description </w:t>
            </w:r>
            <w:r>
              <w:rPr>
                <w:rFonts w:ascii="Arial" w:cs="Arial" w:eastAsia="Arial" w:hAnsi="Arial"/>
                <w:sz w:val="13"/>
                <w:szCs w:val="13"/>
                <w:color w:val="auto"/>
              </w:rPr>
              <w:t>($ in thousands)</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58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4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902,165</w:t>
            </w:r>
          </w:p>
        </w:tc>
        <w:tc>
          <w:tcPr>
            <w:tcW w:w="1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257,162</w:t>
            </w:r>
          </w:p>
        </w:tc>
        <w:tc>
          <w:tcPr>
            <w:tcW w:w="1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1,159,327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Net realized (loss) gain</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(11,792 )</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(128,201 )</w:t>
            </w: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(139,993 )</w:t>
            </w:r>
          </w:p>
        </w:tc>
        <w:tc>
          <w:tcPr>
            <w:tcW w:w="0" w:type="dxa"/>
            <w:vAlign w:val="bottom"/>
          </w:tcPr>
          <w:p>
            <w:pPr>
              <w:spacing w:after="0"/>
              <w:rPr>
                <w:sz w:val="1"/>
                <w:szCs w:val="1"/>
                <w:color w:val="auto"/>
              </w:rPr>
            </w:pPr>
          </w:p>
        </w:tc>
      </w:tr>
      <w:tr>
        <w:trPr>
          <w:trHeight w:val="175"/>
        </w:trPr>
        <w:tc>
          <w:tcPr>
            <w:tcW w:w="5840" w:type="dxa"/>
            <w:vAlign w:val="bottom"/>
          </w:tcPr>
          <w:p>
            <w:pPr>
              <w:ind w:left="340"/>
              <w:spacing w:after="0"/>
              <w:rPr>
                <w:sz w:val="20"/>
                <w:szCs w:val="20"/>
                <w:color w:val="auto"/>
              </w:rPr>
            </w:pPr>
            <w:r>
              <w:rPr>
                <w:rFonts w:ascii="Arial" w:cs="Arial" w:eastAsia="Arial" w:hAnsi="Arial"/>
                <w:sz w:val="13"/>
                <w:szCs w:val="13"/>
                <w:color w:val="auto"/>
              </w:rPr>
              <w:t>Net change in unrealized appreciation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42,893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44,447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Purchases, PIK interest, net discount accretion and non-cash exchanges</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126,528</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19,893</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146,421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340"/>
              <w:spacing w:after="0"/>
              <w:rPr>
                <w:sz w:val="20"/>
                <w:szCs w:val="20"/>
                <w:color w:val="auto"/>
              </w:rPr>
            </w:pPr>
            <w:r>
              <w:rPr>
                <w:rFonts w:ascii="Arial" w:cs="Arial" w:eastAsia="Arial" w:hAnsi="Arial"/>
                <w:sz w:val="13"/>
                <w:szCs w:val="13"/>
                <w:color w:val="auto"/>
              </w:rPr>
              <w:t>Sales, repayments and non-cash exchanges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(110,911 )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(32,144 )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(143,055 )</w:t>
            </w:r>
          </w:p>
        </w:tc>
        <w:tc>
          <w:tcPr>
            <w:tcW w:w="0" w:type="dxa"/>
            <w:vAlign w:val="bottom"/>
          </w:tcPr>
          <w:p>
            <w:pPr>
              <w:spacing w:after="0"/>
              <w:rPr>
                <w:sz w:val="1"/>
                <w:szCs w:val="1"/>
                <w:color w:val="auto"/>
              </w:rPr>
            </w:pPr>
          </w:p>
        </w:tc>
      </w:tr>
      <w:tr>
        <w:trPr>
          <w:trHeight w:val="185"/>
        </w:trPr>
        <w:tc>
          <w:tcPr>
            <w:tcW w:w="58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Transfers in/out of Level 3</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3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907,544</w:t>
            </w:r>
          </w:p>
        </w:tc>
        <w:tc>
          <w:tcPr>
            <w:tcW w:w="1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159,603</w:t>
            </w:r>
          </w:p>
        </w:tc>
        <w:tc>
          <w:tcPr>
            <w:tcW w:w="1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1,067,147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shd w:val="clear" w:color="auto" w:fill="CCECFF"/>
          </w:tcPr>
          <w:p>
            <w:pPr>
              <w:ind w:left="20"/>
              <w:spacing w:after="0" w:line="142" w:lineRule="exact"/>
              <w:rPr>
                <w:sz w:val="20"/>
                <w:szCs w:val="20"/>
                <w:color w:val="auto"/>
              </w:rPr>
            </w:pPr>
            <w:r>
              <w:rPr>
                <w:rFonts w:ascii="Arial" w:cs="Arial" w:eastAsia="Arial" w:hAnsi="Arial"/>
                <w:sz w:val="13"/>
                <w:szCs w:val="13"/>
                <w:color w:val="auto"/>
              </w:rPr>
              <w:t>Net change in unrealized appreciation reported within the net change in</w:t>
            </w: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120"/>
              <w:spacing w:after="0"/>
              <w:rPr>
                <w:sz w:val="20"/>
                <w:szCs w:val="20"/>
                <w:color w:val="auto"/>
              </w:rPr>
            </w:pPr>
            <w:r>
              <w:rPr>
                <w:rFonts w:ascii="Arial" w:cs="Arial" w:eastAsia="Arial" w:hAnsi="Arial"/>
                <w:sz w:val="13"/>
                <w:szCs w:val="13"/>
                <w:color w:val="auto"/>
              </w:rPr>
              <w:t>unrealized appreciation on investments in our Consolidated Statements of Operations</w:t>
            </w:r>
          </w:p>
        </w:tc>
        <w:tc>
          <w:tcPr>
            <w:tcW w:w="140" w:type="dxa"/>
            <w:vAlign w:val="bottom"/>
            <w:vMerge w:val="restart"/>
            <w:shd w:val="clear" w:color="auto" w:fill="CCECFF"/>
          </w:tcPr>
          <w:p>
            <w:pPr>
              <w:spacing w:after="0"/>
              <w:rPr>
                <w:sz w:val="13"/>
                <w:szCs w:val="13"/>
                <w:color w:val="auto"/>
              </w:rPr>
            </w:pPr>
          </w:p>
        </w:tc>
        <w:tc>
          <w:tcPr>
            <w:tcW w:w="200" w:type="dxa"/>
            <w:vAlign w:val="bottom"/>
            <w:vMerge w:val="restart"/>
            <w:shd w:val="clear" w:color="auto" w:fill="CCECFF"/>
          </w:tcPr>
          <w:p>
            <w:pPr>
              <w:jc w:val="right"/>
              <w:ind w:right="54"/>
              <w:spacing w:after="0"/>
              <w:rPr>
                <w:sz w:val="20"/>
                <w:szCs w:val="20"/>
                <w:color w:val="auto"/>
              </w:rPr>
            </w:pPr>
            <w:r>
              <w:rPr>
                <w:rFonts w:ascii="Arial" w:cs="Arial" w:eastAsia="Arial" w:hAnsi="Arial"/>
                <w:sz w:val="13"/>
                <w:szCs w:val="13"/>
                <w:color w:val="auto"/>
                <w:w w:val="82"/>
              </w:rPr>
              <w:t>$</w:t>
            </w:r>
          </w:p>
        </w:tc>
        <w:tc>
          <w:tcPr>
            <w:tcW w:w="1260" w:type="dxa"/>
            <w:vAlign w:val="bottom"/>
            <w:gridSpan w:val="2"/>
            <w:vMerge w:val="restart"/>
            <w:shd w:val="clear" w:color="auto" w:fill="CCECFF"/>
          </w:tcPr>
          <w:p>
            <w:pPr>
              <w:jc w:val="right"/>
              <w:ind w:right="60"/>
              <w:spacing w:after="0"/>
              <w:rPr>
                <w:sz w:val="20"/>
                <w:szCs w:val="20"/>
                <w:color w:val="auto"/>
              </w:rPr>
            </w:pPr>
            <w:r>
              <w:rPr>
                <w:rFonts w:ascii="Arial" w:cs="Arial" w:eastAsia="Arial" w:hAnsi="Arial"/>
                <w:sz w:val="13"/>
                <w:szCs w:val="13"/>
                <w:color w:val="auto"/>
              </w:rPr>
              <w:t>(2,814 )</w:t>
            </w:r>
          </w:p>
        </w:tc>
        <w:tc>
          <w:tcPr>
            <w:tcW w:w="340" w:type="dxa"/>
            <w:vAlign w:val="bottom"/>
            <w:gridSpan w:val="2"/>
            <w:vMerge w:val="restart"/>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3"/>
                <w:szCs w:val="13"/>
                <w:color w:val="auto"/>
              </w:rPr>
              <w:t>(42,728 )</w:t>
            </w:r>
          </w:p>
        </w:tc>
        <w:tc>
          <w:tcPr>
            <w:tcW w:w="440" w:type="dxa"/>
            <w:vAlign w:val="bottom"/>
            <w:gridSpan w:val="2"/>
            <w:vMerge w:val="restart"/>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3"/>
                <w:szCs w:val="13"/>
                <w:color w:val="auto"/>
              </w:rPr>
              <w:t>(45,542 )</w:t>
            </w:r>
          </w:p>
        </w:tc>
        <w:tc>
          <w:tcPr>
            <w:tcW w:w="0" w:type="dxa"/>
            <w:vAlign w:val="bottom"/>
          </w:tcPr>
          <w:p>
            <w:pPr>
              <w:spacing w:after="0"/>
              <w:rPr>
                <w:sz w:val="1"/>
                <w:szCs w:val="1"/>
                <w:color w:val="auto"/>
              </w:rPr>
            </w:pPr>
          </w:p>
        </w:tc>
      </w:tr>
      <w:tr>
        <w:trPr>
          <w:trHeight w:val="179"/>
        </w:trPr>
        <w:tc>
          <w:tcPr>
            <w:tcW w:w="5840" w:type="dxa"/>
            <w:vAlign w:val="bottom"/>
            <w:shd w:val="clear" w:color="auto" w:fill="CCECFF"/>
          </w:tcPr>
          <w:p>
            <w:pPr>
              <w:ind w:left="120"/>
              <w:spacing w:after="0" w:line="139" w:lineRule="exact"/>
              <w:rPr>
                <w:sz w:val="20"/>
                <w:szCs w:val="20"/>
                <w:color w:val="auto"/>
              </w:rPr>
            </w:pPr>
            <w:r>
              <w:rPr>
                <w:rFonts w:ascii="Arial" w:cs="Arial" w:eastAsia="Arial" w:hAnsi="Arial"/>
                <w:sz w:val="13"/>
                <w:szCs w:val="13"/>
                <w:color w:val="auto"/>
              </w:rPr>
              <w:t>attributable to our Level 3 assets still held at the reporting date</w:t>
            </w:r>
          </w:p>
        </w:tc>
        <w:tc>
          <w:tcPr>
            <w:tcW w:w="140" w:type="dxa"/>
            <w:vAlign w:val="bottom"/>
            <w:vMerge w:val="continue"/>
            <w:shd w:val="clear" w:color="auto" w:fill="CCECFF"/>
          </w:tcPr>
          <w:p>
            <w:pPr>
              <w:spacing w:after="0"/>
              <w:rPr>
                <w:sz w:val="15"/>
                <w:szCs w:val="15"/>
                <w:color w:val="auto"/>
              </w:rPr>
            </w:pPr>
          </w:p>
        </w:tc>
        <w:tc>
          <w:tcPr>
            <w:tcW w:w="200" w:type="dxa"/>
            <w:vAlign w:val="bottom"/>
            <w:vMerge w:val="continue"/>
            <w:shd w:val="clear" w:color="auto" w:fill="CCECFF"/>
          </w:tcPr>
          <w:p>
            <w:pPr>
              <w:spacing w:after="0"/>
              <w:rPr>
                <w:sz w:val="15"/>
                <w:szCs w:val="15"/>
                <w:color w:val="auto"/>
              </w:rPr>
            </w:pPr>
          </w:p>
        </w:tc>
        <w:tc>
          <w:tcPr>
            <w:tcW w:w="1260" w:type="dxa"/>
            <w:vAlign w:val="bottom"/>
            <w:gridSpan w:val="2"/>
            <w:vMerge w:val="continue"/>
            <w:shd w:val="clear" w:color="auto" w:fill="CCECFF"/>
          </w:tcPr>
          <w:p>
            <w:pPr>
              <w:spacing w:after="0"/>
              <w:rPr>
                <w:sz w:val="15"/>
                <w:szCs w:val="15"/>
                <w:color w:val="auto"/>
              </w:rPr>
            </w:pPr>
          </w:p>
        </w:tc>
        <w:tc>
          <w:tcPr>
            <w:tcW w:w="340" w:type="dxa"/>
            <w:vAlign w:val="bottom"/>
            <w:gridSpan w:val="2"/>
            <w:vMerge w:val="continue"/>
            <w:shd w:val="clear" w:color="auto" w:fill="CCECFF"/>
          </w:tcPr>
          <w:p>
            <w:pPr>
              <w:spacing w:after="0"/>
              <w:rPr>
                <w:sz w:val="15"/>
                <w:szCs w:val="15"/>
                <w:color w:val="auto"/>
              </w:rPr>
            </w:pPr>
          </w:p>
        </w:tc>
        <w:tc>
          <w:tcPr>
            <w:tcW w:w="1240" w:type="dxa"/>
            <w:vAlign w:val="bottom"/>
            <w:gridSpan w:val="2"/>
            <w:vMerge w:val="continue"/>
            <w:shd w:val="clear" w:color="auto" w:fill="CCECFF"/>
          </w:tcPr>
          <w:p>
            <w:pPr>
              <w:spacing w:after="0"/>
              <w:rPr>
                <w:sz w:val="15"/>
                <w:szCs w:val="15"/>
                <w:color w:val="auto"/>
              </w:rPr>
            </w:pPr>
          </w:p>
        </w:tc>
        <w:tc>
          <w:tcPr>
            <w:tcW w:w="440" w:type="dxa"/>
            <w:vAlign w:val="bottom"/>
            <w:gridSpan w:val="2"/>
            <w:vMerge w:val="continue"/>
            <w:shd w:val="clear" w:color="auto" w:fill="CCECFF"/>
          </w:tcPr>
          <w:p>
            <w:pPr>
              <w:spacing w:after="0"/>
              <w:rPr>
                <w:sz w:val="15"/>
                <w:szCs w:val="15"/>
                <w:color w:val="auto"/>
              </w:rPr>
            </w:pPr>
          </w:p>
        </w:tc>
        <w:tc>
          <w:tcPr>
            <w:tcW w:w="110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Borders>
              <w:top w:val="single" w:sz="8" w:color="CCECFF"/>
            </w:tcBorders>
          </w:tcPr>
          <w:p>
            <w:pPr>
              <w:spacing w:after="0"/>
              <w:rPr>
                <w:sz w:val="13"/>
                <w:szCs w:val="13"/>
                <w:color w:val="auto"/>
              </w:rPr>
            </w:pPr>
          </w:p>
        </w:tc>
        <w:tc>
          <w:tcPr>
            <w:tcW w:w="140" w:type="dxa"/>
            <w:vAlign w:val="bottom"/>
            <w:tcBorders>
              <w:top w:val="single" w:sz="8" w:color="CCEC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Borders>
              <w:top w:val="single" w:sz="8" w:color="CCECFF"/>
            </w:tcBorders>
            <w:gridSpan w:val="2"/>
          </w:tcPr>
          <w:p>
            <w:pPr>
              <w:spacing w:after="0"/>
              <w:rPr>
                <w:sz w:val="13"/>
                <w:szCs w:val="13"/>
                <w:color w:val="auto"/>
              </w:rPr>
            </w:pPr>
          </w:p>
        </w:tc>
        <w:tc>
          <w:tcPr>
            <w:tcW w:w="1340" w:type="dxa"/>
            <w:vAlign w:val="bottom"/>
            <w:tcBorders>
              <w:top w:val="single" w:sz="8" w:color="auto"/>
            </w:tcBorders>
            <w:gridSpan w:val="2"/>
          </w:tcPr>
          <w:p>
            <w:pPr>
              <w:spacing w:after="0"/>
              <w:rPr>
                <w:sz w:val="13"/>
                <w:szCs w:val="13"/>
                <w:color w:val="auto"/>
              </w:rPr>
            </w:pPr>
          </w:p>
        </w:tc>
        <w:tc>
          <w:tcPr>
            <w:tcW w:w="240" w:type="dxa"/>
            <w:vAlign w:val="bottom"/>
            <w:tcBorders>
              <w:top w:val="single" w:sz="8" w:color="CCECFF"/>
            </w:tcBorders>
            <w:gridSpan w:val="2"/>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8"/>
          </w:tcPr>
          <w:p>
            <w:pPr>
              <w:jc w:val="right"/>
              <w:ind w:right="180"/>
              <w:spacing w:after="0"/>
              <w:rPr>
                <w:sz w:val="20"/>
                <w:szCs w:val="20"/>
                <w:color w:val="auto"/>
              </w:rPr>
            </w:pPr>
            <w:r>
              <w:rPr>
                <w:rFonts w:ascii="Arial" w:cs="Arial" w:eastAsia="Arial" w:hAnsi="Arial"/>
                <w:sz w:val="13"/>
                <w:szCs w:val="13"/>
                <w:b w:val="1"/>
                <w:bCs w:val="1"/>
                <w:color w:val="auto"/>
              </w:rPr>
              <w:t>Six Months Ended March 31, 2022</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Debt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99"/>
        </w:trPr>
        <w:tc>
          <w:tcPr>
            <w:tcW w:w="5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Description </w:t>
            </w:r>
            <w:r>
              <w:rPr>
                <w:rFonts w:ascii="Arial" w:cs="Arial" w:eastAsia="Arial" w:hAnsi="Arial"/>
                <w:sz w:val="13"/>
                <w:szCs w:val="13"/>
                <w:color w:val="auto"/>
              </w:rPr>
              <w:t>($ in thousands)</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58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4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850,593</w:t>
            </w:r>
          </w:p>
        </w:tc>
        <w:tc>
          <w:tcPr>
            <w:tcW w:w="1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360,428</w:t>
            </w:r>
          </w:p>
        </w:tc>
        <w:tc>
          <w:tcPr>
            <w:tcW w:w="1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1,211,021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Net realized (loss) gain</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421</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116,163</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116,584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340"/>
              <w:spacing w:after="0"/>
              <w:rPr>
                <w:sz w:val="20"/>
                <w:szCs w:val="20"/>
                <w:color w:val="auto"/>
              </w:rPr>
            </w:pPr>
            <w:r>
              <w:rPr>
                <w:rFonts w:ascii="Arial" w:cs="Arial" w:eastAsia="Arial" w:hAnsi="Arial"/>
                <w:sz w:val="13"/>
                <w:szCs w:val="13"/>
                <w:color w:val="auto"/>
              </w:rPr>
              <w:t>Net change in unrealized appreciation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(14,269 )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(89,480 )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(103,749 )</w:t>
            </w:r>
          </w:p>
        </w:tc>
        <w:tc>
          <w:tcPr>
            <w:tcW w:w="0" w:type="dxa"/>
            <w:vAlign w:val="bottom"/>
          </w:tcPr>
          <w:p>
            <w:pPr>
              <w:spacing w:after="0"/>
              <w:rPr>
                <w:sz w:val="1"/>
                <w:szCs w:val="1"/>
                <w:color w:val="auto"/>
              </w:rPr>
            </w:pPr>
          </w:p>
        </w:tc>
      </w:tr>
      <w:tr>
        <w:trPr>
          <w:trHeight w:val="185"/>
        </w:trPr>
        <w:tc>
          <w:tcPr>
            <w:tcW w:w="58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Purchases, PIK interest, net discount accretion and non-cash exchanges</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441,570</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29,813</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471,383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340"/>
              <w:spacing w:after="0"/>
              <w:rPr>
                <w:sz w:val="20"/>
                <w:szCs w:val="20"/>
                <w:color w:val="auto"/>
              </w:rPr>
            </w:pPr>
            <w:r>
              <w:rPr>
                <w:rFonts w:ascii="Arial" w:cs="Arial" w:eastAsia="Arial" w:hAnsi="Arial"/>
                <w:sz w:val="13"/>
                <w:szCs w:val="13"/>
                <w:color w:val="auto"/>
              </w:rPr>
              <w:t>Sales, repayments and non-cash exchanges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(366,418 )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(175,067 )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(541,485 )</w:t>
            </w:r>
          </w:p>
        </w:tc>
        <w:tc>
          <w:tcPr>
            <w:tcW w:w="0" w:type="dxa"/>
            <w:vAlign w:val="bottom"/>
          </w:tcPr>
          <w:p>
            <w:pPr>
              <w:spacing w:after="0"/>
              <w:rPr>
                <w:sz w:val="1"/>
                <w:szCs w:val="1"/>
                <w:color w:val="auto"/>
              </w:rPr>
            </w:pPr>
          </w:p>
        </w:tc>
      </w:tr>
      <w:tr>
        <w:trPr>
          <w:trHeight w:val="185"/>
        </w:trPr>
        <w:tc>
          <w:tcPr>
            <w:tcW w:w="58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Transfers in/out of Level 3</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3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911,897</w:t>
            </w:r>
          </w:p>
        </w:tc>
        <w:tc>
          <w:tcPr>
            <w:tcW w:w="1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241,857</w:t>
            </w:r>
          </w:p>
        </w:tc>
        <w:tc>
          <w:tcPr>
            <w:tcW w:w="1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1,153,754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shd w:val="clear" w:color="auto" w:fill="CCECFF"/>
          </w:tcPr>
          <w:p>
            <w:pPr>
              <w:ind w:left="20"/>
              <w:spacing w:after="0" w:line="142" w:lineRule="exact"/>
              <w:rPr>
                <w:sz w:val="20"/>
                <w:szCs w:val="20"/>
                <w:color w:val="auto"/>
              </w:rPr>
            </w:pPr>
            <w:r>
              <w:rPr>
                <w:rFonts w:ascii="Arial" w:cs="Arial" w:eastAsia="Arial" w:hAnsi="Arial"/>
                <w:sz w:val="13"/>
                <w:szCs w:val="13"/>
                <w:color w:val="auto"/>
              </w:rPr>
              <w:t>Net change in unrealized appreciation reported within the net change in</w:t>
            </w: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120"/>
              <w:spacing w:after="0"/>
              <w:rPr>
                <w:sz w:val="20"/>
                <w:szCs w:val="20"/>
                <w:color w:val="auto"/>
              </w:rPr>
            </w:pPr>
            <w:r>
              <w:rPr>
                <w:rFonts w:ascii="Arial" w:cs="Arial" w:eastAsia="Arial" w:hAnsi="Arial"/>
                <w:sz w:val="13"/>
                <w:szCs w:val="13"/>
                <w:color w:val="auto"/>
              </w:rPr>
              <w:t>unrealized appreciation on investments in our Consolidated Statements of Operations</w:t>
            </w:r>
          </w:p>
        </w:tc>
        <w:tc>
          <w:tcPr>
            <w:tcW w:w="140" w:type="dxa"/>
            <w:vAlign w:val="bottom"/>
            <w:vMerge w:val="restart"/>
            <w:shd w:val="clear" w:color="auto" w:fill="CCECFF"/>
          </w:tcPr>
          <w:p>
            <w:pPr>
              <w:spacing w:after="0"/>
              <w:rPr>
                <w:sz w:val="13"/>
                <w:szCs w:val="13"/>
                <w:color w:val="auto"/>
              </w:rPr>
            </w:pPr>
          </w:p>
        </w:tc>
        <w:tc>
          <w:tcPr>
            <w:tcW w:w="200" w:type="dxa"/>
            <w:vAlign w:val="bottom"/>
            <w:vMerge w:val="restart"/>
            <w:shd w:val="clear" w:color="auto" w:fill="CCECFF"/>
          </w:tcPr>
          <w:p>
            <w:pPr>
              <w:jc w:val="right"/>
              <w:ind w:right="54"/>
              <w:spacing w:after="0"/>
              <w:rPr>
                <w:sz w:val="20"/>
                <w:szCs w:val="20"/>
                <w:color w:val="auto"/>
              </w:rPr>
            </w:pPr>
            <w:r>
              <w:rPr>
                <w:rFonts w:ascii="Arial" w:cs="Arial" w:eastAsia="Arial" w:hAnsi="Arial"/>
                <w:sz w:val="13"/>
                <w:szCs w:val="13"/>
                <w:color w:val="auto"/>
                <w:w w:val="82"/>
              </w:rPr>
              <w:t>$</w:t>
            </w:r>
          </w:p>
        </w:tc>
        <w:tc>
          <w:tcPr>
            <w:tcW w:w="1260" w:type="dxa"/>
            <w:vAlign w:val="bottom"/>
            <w:gridSpan w:val="2"/>
            <w:vMerge w:val="restart"/>
            <w:shd w:val="clear" w:color="auto" w:fill="CCECFF"/>
          </w:tcPr>
          <w:p>
            <w:pPr>
              <w:jc w:val="right"/>
              <w:ind w:right="60"/>
              <w:spacing w:after="0" w:line="296" w:lineRule="exact"/>
              <w:rPr>
                <w:sz w:val="20"/>
                <w:szCs w:val="20"/>
                <w:color w:val="auto"/>
              </w:rPr>
            </w:pPr>
            <w:r>
              <w:rPr>
                <w:rFonts w:ascii="Arial" w:cs="Arial" w:eastAsia="Arial" w:hAnsi="Arial"/>
                <w:sz w:val="13"/>
                <w:szCs w:val="13"/>
                <w:color w:val="auto"/>
              </w:rPr>
              <w:t xml:space="preserve">(12,650 </w:t>
            </w:r>
            <w:r>
              <w:rPr>
                <w:rFonts w:ascii="Arial" w:cs="Arial" w:eastAsia="Arial" w:hAnsi="Arial"/>
                <w:sz w:val="26"/>
                <w:szCs w:val="26"/>
                <w:color w:val="auto"/>
                <w:vertAlign w:val="superscript"/>
              </w:rPr>
              <w:t>)</w:t>
            </w:r>
          </w:p>
        </w:tc>
        <w:tc>
          <w:tcPr>
            <w:tcW w:w="340" w:type="dxa"/>
            <w:vAlign w:val="bottom"/>
            <w:gridSpan w:val="2"/>
            <w:vMerge w:val="restart"/>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shd w:val="clear" w:color="auto" w:fill="CCECFF"/>
          </w:tcPr>
          <w:p>
            <w:pPr>
              <w:jc w:val="right"/>
              <w:ind w:right="40"/>
              <w:spacing w:after="0" w:line="296" w:lineRule="exact"/>
              <w:rPr>
                <w:sz w:val="20"/>
                <w:szCs w:val="20"/>
                <w:color w:val="auto"/>
              </w:rPr>
            </w:pPr>
            <w:r>
              <w:rPr>
                <w:rFonts w:ascii="Arial" w:cs="Arial" w:eastAsia="Arial" w:hAnsi="Arial"/>
                <w:sz w:val="13"/>
                <w:szCs w:val="13"/>
                <w:color w:val="auto"/>
              </w:rPr>
              <w:t xml:space="preserve">(90,848 </w:t>
            </w:r>
            <w:r>
              <w:rPr>
                <w:rFonts w:ascii="Arial" w:cs="Arial" w:eastAsia="Arial" w:hAnsi="Arial"/>
                <w:sz w:val="26"/>
                <w:szCs w:val="26"/>
                <w:color w:val="auto"/>
                <w:vertAlign w:val="superscript"/>
              </w:rPr>
              <w:t>)</w:t>
            </w:r>
          </w:p>
        </w:tc>
        <w:tc>
          <w:tcPr>
            <w:tcW w:w="440" w:type="dxa"/>
            <w:vAlign w:val="bottom"/>
            <w:gridSpan w:val="2"/>
            <w:vMerge w:val="restart"/>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shd w:val="clear" w:color="auto" w:fill="CCECFF"/>
          </w:tcPr>
          <w:p>
            <w:pPr>
              <w:jc w:val="right"/>
              <w:ind w:right="40"/>
              <w:spacing w:after="0" w:line="296" w:lineRule="exact"/>
              <w:rPr>
                <w:sz w:val="20"/>
                <w:szCs w:val="20"/>
                <w:color w:val="auto"/>
              </w:rPr>
            </w:pPr>
            <w:r>
              <w:rPr>
                <w:rFonts w:ascii="Arial" w:cs="Arial" w:eastAsia="Arial" w:hAnsi="Arial"/>
                <w:sz w:val="13"/>
                <w:szCs w:val="13"/>
                <w:color w:val="auto"/>
              </w:rPr>
              <w:t xml:space="preserve">(103,498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59"/>
        </w:trPr>
        <w:tc>
          <w:tcPr>
            <w:tcW w:w="5840" w:type="dxa"/>
            <w:vAlign w:val="bottom"/>
            <w:shd w:val="clear" w:color="auto" w:fill="CCECFF"/>
          </w:tcPr>
          <w:p>
            <w:pPr>
              <w:ind w:left="120"/>
              <w:spacing w:after="0" w:line="139" w:lineRule="exact"/>
              <w:rPr>
                <w:sz w:val="20"/>
                <w:szCs w:val="20"/>
                <w:color w:val="auto"/>
              </w:rPr>
            </w:pPr>
            <w:r>
              <w:rPr>
                <w:rFonts w:ascii="Arial" w:cs="Arial" w:eastAsia="Arial" w:hAnsi="Arial"/>
                <w:sz w:val="13"/>
                <w:szCs w:val="13"/>
                <w:color w:val="auto"/>
              </w:rPr>
              <w:t>attributable to our Level 3 assets still held at the reporting date</w:t>
            </w:r>
          </w:p>
        </w:tc>
        <w:tc>
          <w:tcPr>
            <w:tcW w:w="140" w:type="dxa"/>
            <w:vAlign w:val="bottom"/>
            <w:vMerge w:val="continue"/>
            <w:shd w:val="clear" w:color="auto" w:fill="CCECFF"/>
          </w:tcPr>
          <w:p>
            <w:pPr>
              <w:spacing w:after="0"/>
              <w:rPr>
                <w:sz w:val="13"/>
                <w:szCs w:val="13"/>
                <w:color w:val="auto"/>
              </w:rPr>
            </w:pPr>
          </w:p>
        </w:tc>
        <w:tc>
          <w:tcPr>
            <w:tcW w:w="200" w:type="dxa"/>
            <w:vAlign w:val="bottom"/>
            <w:vMerge w:val="continue"/>
            <w:shd w:val="clear" w:color="auto" w:fill="CCECFF"/>
          </w:tcPr>
          <w:p>
            <w:pPr>
              <w:spacing w:after="0"/>
              <w:rPr>
                <w:sz w:val="13"/>
                <w:szCs w:val="13"/>
                <w:color w:val="auto"/>
              </w:rPr>
            </w:pPr>
          </w:p>
        </w:tc>
        <w:tc>
          <w:tcPr>
            <w:tcW w:w="1260" w:type="dxa"/>
            <w:vAlign w:val="bottom"/>
            <w:gridSpan w:val="2"/>
            <w:vMerge w:val="continue"/>
            <w:shd w:val="clear" w:color="auto" w:fill="CCECFF"/>
          </w:tcPr>
          <w:p>
            <w:pPr>
              <w:spacing w:after="0"/>
              <w:rPr>
                <w:sz w:val="13"/>
                <w:szCs w:val="13"/>
                <w:color w:val="auto"/>
              </w:rPr>
            </w:pPr>
          </w:p>
        </w:tc>
        <w:tc>
          <w:tcPr>
            <w:tcW w:w="340" w:type="dxa"/>
            <w:vAlign w:val="bottom"/>
            <w:gridSpan w:val="2"/>
            <w:vMerge w:val="continue"/>
            <w:shd w:val="clear" w:color="auto" w:fill="CCECFF"/>
          </w:tcPr>
          <w:p>
            <w:pPr>
              <w:spacing w:after="0"/>
              <w:rPr>
                <w:sz w:val="13"/>
                <w:szCs w:val="13"/>
                <w:color w:val="auto"/>
              </w:rPr>
            </w:pPr>
          </w:p>
        </w:tc>
        <w:tc>
          <w:tcPr>
            <w:tcW w:w="1240" w:type="dxa"/>
            <w:vAlign w:val="bottom"/>
            <w:gridSpan w:val="2"/>
            <w:vMerge w:val="continue"/>
            <w:shd w:val="clear" w:color="auto" w:fill="CCECFF"/>
          </w:tcPr>
          <w:p>
            <w:pPr>
              <w:spacing w:after="0"/>
              <w:rPr>
                <w:sz w:val="13"/>
                <w:szCs w:val="13"/>
                <w:color w:val="auto"/>
              </w:rPr>
            </w:pPr>
          </w:p>
        </w:tc>
        <w:tc>
          <w:tcPr>
            <w:tcW w:w="440" w:type="dxa"/>
            <w:vAlign w:val="bottom"/>
            <w:gridSpan w:val="2"/>
            <w:vMerge w:val="continue"/>
            <w:shd w:val="clear" w:color="auto" w:fill="CCECFF"/>
          </w:tcPr>
          <w:p>
            <w:pPr>
              <w:spacing w:after="0"/>
              <w:rPr>
                <w:sz w:val="13"/>
                <w:szCs w:val="13"/>
                <w:color w:val="auto"/>
              </w:rPr>
            </w:pPr>
          </w:p>
        </w:tc>
        <w:tc>
          <w:tcPr>
            <w:tcW w:w="1100" w:type="dxa"/>
            <w:vAlign w:val="bottom"/>
            <w:gridSpan w:val="2"/>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table below shows a reconciliation of the beginning and ending balances for liabilities measured at fair value using significant unobservable inputs (Level 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gridSpan w:val="6"/>
          </w:tcPr>
          <w:p>
            <w:pPr>
              <w:jc w:val="right"/>
              <w:ind w:right="940"/>
              <w:spacing w:after="0"/>
              <w:rPr>
                <w:sz w:val="20"/>
                <w:szCs w:val="20"/>
                <w:color w:val="auto"/>
              </w:rPr>
            </w:pPr>
            <w:r>
              <w:rPr>
                <w:rFonts w:ascii="Arial" w:cs="Arial" w:eastAsia="Arial" w:hAnsi="Arial"/>
                <w:sz w:val="13"/>
                <w:szCs w:val="13"/>
                <w:b w:val="1"/>
                <w:bCs w:val="1"/>
                <w:color w:val="auto"/>
              </w:rPr>
              <w:t>Six months ended March 31,</w:t>
            </w:r>
          </w:p>
        </w:tc>
      </w:tr>
      <w:tr>
        <w:trPr>
          <w:trHeight w:val="180"/>
        </w:trPr>
        <w:tc>
          <w:tcPr>
            <w:tcW w:w="6820" w:type="dxa"/>
            <w:vAlign w:val="bottom"/>
          </w:tcPr>
          <w:p>
            <w:pPr>
              <w:ind w:left="20"/>
              <w:spacing w:after="0"/>
              <w:rPr>
                <w:sz w:val="20"/>
                <w:szCs w:val="20"/>
                <w:color w:val="auto"/>
              </w:rPr>
            </w:pPr>
            <w:r>
              <w:rPr>
                <w:rFonts w:ascii="Arial" w:cs="Arial" w:eastAsia="Arial" w:hAnsi="Arial"/>
                <w:sz w:val="13"/>
                <w:szCs w:val="13"/>
                <w:b w:val="1"/>
                <w:bCs w:val="1"/>
                <w:color w:val="auto"/>
              </w:rPr>
              <w:t>Long-Term Credit Facility</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0"/>
        </w:trPr>
        <w:tc>
          <w:tcPr>
            <w:tcW w:w="6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Beginning Balance (cost – $385,920 and $316,545, respectively)</w:t>
            </w:r>
          </w:p>
        </w:tc>
        <w:tc>
          <w:tcPr>
            <w:tcW w:w="560" w:type="dxa"/>
            <w:vAlign w:val="bottom"/>
            <w:gridSpan w:val="2"/>
            <w:shd w:val="clear" w:color="auto" w:fill="CCEC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376,687</w:t>
            </w:r>
          </w:p>
        </w:tc>
        <w:tc>
          <w:tcPr>
            <w:tcW w:w="12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314,813</w:t>
            </w:r>
          </w:p>
        </w:tc>
        <w:tc>
          <w:tcPr>
            <w:tcW w:w="80" w:type="dxa"/>
            <w:vAlign w:val="bottom"/>
            <w:shd w:val="clear" w:color="auto" w:fill="CCECFF"/>
          </w:tcPr>
          <w:p>
            <w:pPr>
              <w:spacing w:after="0"/>
              <w:rPr>
                <w:sz w:val="15"/>
                <w:szCs w:val="15"/>
                <w:color w:val="auto"/>
              </w:rPr>
            </w:pPr>
          </w:p>
        </w:tc>
      </w:tr>
      <w:tr>
        <w:trPr>
          <w:trHeight w:val="175"/>
        </w:trPr>
        <w:tc>
          <w:tcPr>
            <w:tcW w:w="6820" w:type="dxa"/>
            <w:vAlign w:val="bottom"/>
          </w:tcPr>
          <w:p>
            <w:pPr>
              <w:ind w:left="340"/>
              <w:spacing w:after="0"/>
              <w:rPr>
                <w:sz w:val="20"/>
                <w:szCs w:val="20"/>
                <w:color w:val="auto"/>
              </w:rPr>
            </w:pPr>
            <w:r>
              <w:rPr>
                <w:rFonts w:ascii="Arial" w:cs="Arial" w:eastAsia="Arial" w:hAnsi="Arial"/>
                <w:sz w:val="13"/>
                <w:szCs w:val="13"/>
                <w:color w:val="auto"/>
              </w:rPr>
              <w:t>Net change in unrealized appreciation (depreciation) included in earnings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(5,919 )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(289 )</w:t>
            </w:r>
          </w:p>
        </w:tc>
      </w:tr>
      <w:tr>
        <w:trPr>
          <w:trHeight w:val="185"/>
        </w:trPr>
        <w:tc>
          <w:tcPr>
            <w:tcW w:w="68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 xml:space="preserve">Borrowings </w:t>
            </w:r>
            <w:r>
              <w:rPr>
                <w:rFonts w:ascii="Arial" w:cs="Arial" w:eastAsia="Arial" w:hAnsi="Arial"/>
                <w:sz w:val="16"/>
                <w:szCs w:val="16"/>
                <w:color w:val="auto"/>
                <w:vertAlign w:val="superscript"/>
              </w:rPr>
              <w:t>(1)</w:t>
            </w:r>
          </w:p>
        </w:tc>
        <w:tc>
          <w:tcPr>
            <w:tcW w:w="18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75,500</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496,841</w:t>
            </w:r>
          </w:p>
        </w:tc>
        <w:tc>
          <w:tcPr>
            <w:tcW w:w="80" w:type="dxa"/>
            <w:vAlign w:val="bottom"/>
            <w:shd w:val="clear" w:color="auto" w:fill="CCECFF"/>
          </w:tcPr>
          <w:p>
            <w:pPr>
              <w:spacing w:after="0"/>
              <w:rPr>
                <w:sz w:val="16"/>
                <w:szCs w:val="16"/>
                <w:color w:val="auto"/>
              </w:rPr>
            </w:pPr>
          </w:p>
        </w:tc>
      </w:tr>
      <w:tr>
        <w:trPr>
          <w:trHeight w:val="180"/>
        </w:trPr>
        <w:tc>
          <w:tcPr>
            <w:tcW w:w="6820" w:type="dxa"/>
            <w:vAlign w:val="bottom"/>
          </w:tcPr>
          <w:p>
            <w:pPr>
              <w:ind w:left="340"/>
              <w:spacing w:after="0" w:line="180" w:lineRule="exact"/>
              <w:rPr>
                <w:sz w:val="20"/>
                <w:szCs w:val="20"/>
                <w:color w:val="auto"/>
              </w:rPr>
            </w:pPr>
            <w:r>
              <w:rPr>
                <w:rFonts w:ascii="Arial" w:cs="Arial" w:eastAsia="Arial" w:hAnsi="Arial"/>
                <w:sz w:val="13"/>
                <w:szCs w:val="13"/>
                <w:color w:val="auto"/>
              </w:rPr>
              <w:t xml:space="preserve">Repayments </w:t>
            </w:r>
            <w:r>
              <w:rPr>
                <w:rFonts w:ascii="Arial" w:cs="Arial" w:eastAsia="Arial" w:hAnsi="Arial"/>
                <w:sz w:val="16"/>
                <w:szCs w:val="16"/>
                <w:color w:val="auto"/>
                <w:vertAlign w:val="superscript"/>
              </w:rPr>
              <w:t>(1)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(84,000 )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(595,466 )</w:t>
            </w:r>
          </w:p>
        </w:tc>
      </w:tr>
      <w:tr>
        <w:trPr>
          <w:trHeight w:val="180"/>
        </w:trPr>
        <w:tc>
          <w:tcPr>
            <w:tcW w:w="68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Transfers in and/or out of Level 3</w:t>
            </w:r>
          </w:p>
        </w:tc>
        <w:tc>
          <w:tcPr>
            <w:tcW w:w="18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r>
      <w:tr>
        <w:trPr>
          <w:trHeight w:val="180"/>
        </w:trPr>
        <w:tc>
          <w:tcPr>
            <w:tcW w:w="6820" w:type="dxa"/>
            <w:vAlign w:val="bottom"/>
          </w:tcPr>
          <w:p>
            <w:pPr>
              <w:ind w:left="20"/>
              <w:spacing w:after="0"/>
              <w:rPr>
                <w:sz w:val="20"/>
                <w:szCs w:val="20"/>
                <w:color w:val="auto"/>
              </w:rPr>
            </w:pPr>
            <w:r>
              <w:rPr>
                <w:rFonts w:ascii="Arial" w:cs="Arial" w:eastAsia="Arial" w:hAnsi="Arial"/>
                <w:sz w:val="13"/>
                <w:szCs w:val="13"/>
                <w:color w:val="auto"/>
              </w:rPr>
              <w:t>Ending Balance (cost – $377,420 and $217,920, respectively)</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362,268</w:t>
            </w:r>
          </w:p>
        </w:tc>
        <w:tc>
          <w:tcPr>
            <w:tcW w:w="120" w:type="dxa"/>
            <w:vAlign w:val="bottom"/>
          </w:tcPr>
          <w:p>
            <w:pPr>
              <w:spacing w:after="0"/>
              <w:rPr>
                <w:sz w:val="15"/>
                <w:szCs w:val="15"/>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215,899</w:t>
            </w:r>
          </w:p>
        </w:tc>
        <w:tc>
          <w:tcPr>
            <w:tcW w:w="8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8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Temporary draws outstanding, at cost</w:t>
            </w:r>
          </w:p>
        </w:tc>
        <w:tc>
          <w:tcPr>
            <w:tcW w:w="1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r>
      <w:tr>
        <w:trPr>
          <w:trHeight w:val="180"/>
        </w:trPr>
        <w:tc>
          <w:tcPr>
            <w:tcW w:w="6820" w:type="dxa"/>
            <w:vAlign w:val="bottom"/>
          </w:tcPr>
          <w:p>
            <w:pPr>
              <w:ind w:left="20"/>
              <w:spacing w:after="0"/>
              <w:rPr>
                <w:sz w:val="20"/>
                <w:szCs w:val="20"/>
                <w:color w:val="auto"/>
              </w:rPr>
            </w:pPr>
            <w:r>
              <w:rPr>
                <w:rFonts w:ascii="Arial" w:cs="Arial" w:eastAsia="Arial" w:hAnsi="Arial"/>
                <w:sz w:val="13"/>
                <w:szCs w:val="13"/>
                <w:color w:val="auto"/>
              </w:rPr>
              <w:t>Ending Balance (cost – $377,420 and $217,920, respectively)</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362,268</w:t>
            </w:r>
          </w:p>
        </w:tc>
        <w:tc>
          <w:tcPr>
            <w:tcW w:w="120" w:type="dxa"/>
            <w:vAlign w:val="bottom"/>
          </w:tcPr>
          <w:p>
            <w:pPr>
              <w:spacing w:after="0"/>
              <w:rPr>
                <w:sz w:val="15"/>
                <w:szCs w:val="15"/>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215,899</w:t>
            </w:r>
          </w:p>
        </w:tc>
        <w:tc>
          <w:tcPr>
            <w:tcW w:w="8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40" w:orient="portrait"/>
          <w:cols w:equalWidth="0" w:num="1">
            <w:col w:w="10560"/>
          </w:cols>
          <w:pgMar w:left="660" w:top="554" w:right="680"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March 31, 2023</w:t>
      </w:r>
    </w:p>
    <w:p>
      <w:pPr>
        <w:spacing w:after="0" w:line="275"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Excludes temporary draws.</w:t>
      </w:r>
    </w:p>
    <w:p>
      <w:pPr>
        <w:spacing w:after="0" w:line="73" w:lineRule="exact"/>
        <w:rPr>
          <w:sz w:val="20"/>
          <w:szCs w:val="20"/>
          <w:color w:val="auto"/>
        </w:rPr>
      </w:pPr>
    </w:p>
    <w:p>
      <w:pPr>
        <w:ind w:right="720" w:firstLine="420"/>
        <w:spacing w:after="0" w:line="276" w:lineRule="auto"/>
        <w:rPr>
          <w:sz w:val="20"/>
          <w:szCs w:val="20"/>
          <w:color w:val="auto"/>
        </w:rPr>
      </w:pPr>
      <w:r>
        <w:rPr>
          <w:rFonts w:ascii="Arial" w:cs="Arial" w:eastAsia="Arial" w:hAnsi="Arial"/>
          <w:sz w:val="13"/>
          <w:szCs w:val="13"/>
          <w:color w:val="auto"/>
        </w:rPr>
        <w:t>As of March 31, 2023, we had outstanding non-U.S. dollar borrowings on our Credit Facility. Net change in fair value on foreign currency translation on outstanding borrowings is listed below ($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40" w:type="dxa"/>
            <w:vAlign w:val="bottom"/>
          </w:tcPr>
          <w:p>
            <w:pPr>
              <w:ind w:left="20"/>
              <w:spacing w:after="0"/>
              <w:rPr>
                <w:sz w:val="20"/>
                <w:szCs w:val="20"/>
                <w:color w:val="auto"/>
              </w:rPr>
            </w:pPr>
            <w:r>
              <w:rPr>
                <w:rFonts w:ascii="Arial" w:cs="Arial" w:eastAsia="Arial" w:hAnsi="Arial"/>
                <w:sz w:val="13"/>
                <w:szCs w:val="13"/>
                <w:b w:val="1"/>
                <w:bCs w:val="1"/>
                <w:color w:val="auto"/>
              </w:rPr>
              <w:t>Foreign Currency</w:t>
            </w:r>
          </w:p>
        </w:tc>
        <w:tc>
          <w:tcPr>
            <w:tcW w:w="560" w:type="dxa"/>
            <w:vAlign w:val="bottom"/>
          </w:tcPr>
          <w:p>
            <w:pPr>
              <w:spacing w:after="0"/>
              <w:rPr>
                <w:sz w:val="15"/>
                <w:szCs w:val="15"/>
                <w:color w:val="auto"/>
              </w:rPr>
            </w:pPr>
          </w:p>
        </w:tc>
        <w:tc>
          <w:tcPr>
            <w:tcW w:w="1500" w:type="dxa"/>
            <w:vAlign w:val="bottom"/>
          </w:tcPr>
          <w:p>
            <w:pPr>
              <w:jc w:val="right"/>
              <w:ind w:right="254"/>
              <w:spacing w:after="0"/>
              <w:rPr>
                <w:sz w:val="20"/>
                <w:szCs w:val="20"/>
                <w:color w:val="auto"/>
              </w:rPr>
            </w:pPr>
            <w:r>
              <w:rPr>
                <w:rFonts w:ascii="Arial" w:cs="Arial" w:eastAsia="Arial" w:hAnsi="Arial"/>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34"/>
              <w:spacing w:after="0"/>
              <w:rPr>
                <w:sz w:val="20"/>
                <w:szCs w:val="20"/>
                <w:color w:val="auto"/>
              </w:rPr>
            </w:pPr>
            <w:r>
              <w:rPr>
                <w:rFonts w:ascii="Arial" w:cs="Arial" w:eastAsia="Arial" w:hAnsi="Arial"/>
                <w:sz w:val="13"/>
                <w:szCs w:val="13"/>
                <w:b w:val="1"/>
                <w:bCs w:val="1"/>
                <w:color w:val="auto"/>
              </w:rPr>
              <w:t>Borrowing Cost</w:t>
            </w:r>
          </w:p>
        </w:tc>
        <w:tc>
          <w:tcPr>
            <w:tcW w:w="340" w:type="dxa"/>
            <w:vAlign w:val="bottom"/>
          </w:tcPr>
          <w:p>
            <w:pPr>
              <w:spacing w:after="0"/>
              <w:rPr>
                <w:sz w:val="15"/>
                <w:szCs w:val="15"/>
                <w:color w:val="auto"/>
              </w:rPr>
            </w:pPr>
          </w:p>
        </w:tc>
        <w:tc>
          <w:tcPr>
            <w:tcW w:w="1600" w:type="dxa"/>
            <w:vAlign w:val="bottom"/>
          </w:tcPr>
          <w:p>
            <w:pPr>
              <w:jc w:val="right"/>
              <w:ind w:right="554"/>
              <w:spacing w:after="0"/>
              <w:rPr>
                <w:sz w:val="20"/>
                <w:szCs w:val="20"/>
                <w:color w:val="auto"/>
              </w:rPr>
            </w:pPr>
            <w:r>
              <w:rPr>
                <w:rFonts w:ascii="Arial" w:cs="Arial" w:eastAsia="Arial" w:hAnsi="Arial"/>
                <w:sz w:val="13"/>
                <w:szCs w:val="13"/>
                <w:b w:val="1"/>
                <w:bCs w:val="1"/>
                <w:color w:val="auto"/>
              </w:rPr>
              <w:t>Current Value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Reset Date</w:t>
            </w:r>
          </w:p>
        </w:tc>
        <w:tc>
          <w:tcPr>
            <w:tcW w:w="340" w:type="dxa"/>
            <w:vAlign w:val="bottom"/>
          </w:tcPr>
          <w:p>
            <w:pPr>
              <w:spacing w:after="0"/>
              <w:rPr>
                <w:sz w:val="15"/>
                <w:szCs w:val="15"/>
                <w:color w:val="auto"/>
              </w:rPr>
            </w:pPr>
          </w:p>
        </w:tc>
        <w:tc>
          <w:tcPr>
            <w:tcW w:w="1480" w:type="dxa"/>
            <w:vAlign w:val="bottom"/>
          </w:tcPr>
          <w:p>
            <w:pPr>
              <w:jc w:val="right"/>
              <w:ind w:right="114"/>
              <w:spacing w:after="0"/>
              <w:rPr>
                <w:sz w:val="20"/>
                <w:szCs w:val="20"/>
                <w:color w:val="auto"/>
              </w:rPr>
            </w:pPr>
            <w:r>
              <w:rPr>
                <w:rFonts w:ascii="Arial" w:cs="Arial" w:eastAsia="Arial" w:hAnsi="Arial"/>
                <w:sz w:val="13"/>
                <w:szCs w:val="13"/>
                <w:b w:val="1"/>
                <w:bCs w:val="1"/>
                <w:color w:val="auto"/>
                <w:w w:val="99"/>
              </w:rPr>
              <w:t>Change in Fair Value</w:t>
            </w:r>
          </w:p>
        </w:tc>
      </w:tr>
      <w:tr>
        <w:trPr>
          <w:trHeight w:val="180"/>
        </w:trPr>
        <w:tc>
          <w:tcPr>
            <w:tcW w:w="1540" w:type="dxa"/>
            <w:vAlign w:val="bottom"/>
            <w:shd w:val="clear" w:color="auto" w:fill="CCECFF"/>
          </w:tcPr>
          <w:p>
            <w:pPr>
              <w:ind w:left="20"/>
              <w:spacing w:after="0"/>
              <w:rPr>
                <w:sz w:val="20"/>
                <w:szCs w:val="20"/>
                <w:color w:val="auto"/>
              </w:rPr>
            </w:pPr>
            <w:r>
              <w:rPr>
                <w:rFonts w:ascii="Arial" w:cs="Arial" w:eastAsia="Arial" w:hAnsi="Arial"/>
                <w:sz w:val="13"/>
                <w:szCs w:val="13"/>
                <w:color w:val="auto"/>
              </w:rPr>
              <w:t>British Pound</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CFF"/>
          </w:tcPr>
          <w:p>
            <w:pPr>
              <w:jc w:val="right"/>
              <w:ind w:right="94"/>
              <w:spacing w:after="0"/>
              <w:rPr>
                <w:sz w:val="20"/>
                <w:szCs w:val="20"/>
                <w:color w:val="auto"/>
              </w:rPr>
            </w:pPr>
            <w:r>
              <w:rPr>
                <w:rFonts w:ascii="Arial" w:cs="Arial" w:eastAsia="Arial" w:hAnsi="Arial"/>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94"/>
              <w:spacing w:after="0"/>
              <w:rPr>
                <w:sz w:val="20"/>
                <w:szCs w:val="20"/>
                <w:color w:val="auto"/>
              </w:rPr>
            </w:pPr>
            <w:r>
              <w:rPr>
                <w:rFonts w:ascii="Arial" w:cs="Arial" w:eastAsia="Arial" w:hAnsi="Arial"/>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CFF"/>
          </w:tcPr>
          <w:p>
            <w:pPr>
              <w:jc w:val="right"/>
              <w:ind w:right="274"/>
              <w:spacing w:after="0"/>
              <w:rPr>
                <w:sz w:val="20"/>
                <w:szCs w:val="20"/>
                <w:color w:val="auto"/>
              </w:rPr>
            </w:pPr>
            <w:r>
              <w:rPr>
                <w:rFonts w:ascii="Arial" w:cs="Arial" w:eastAsia="Arial" w:hAnsi="Arial"/>
                <w:sz w:val="13"/>
                <w:szCs w:val="13"/>
                <w:color w:val="auto"/>
              </w:rPr>
              <w:t>44,512</w:t>
            </w:r>
          </w:p>
        </w:tc>
        <w:tc>
          <w:tcPr>
            <w:tcW w:w="142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June 30, 2023</w:t>
            </w:r>
          </w:p>
        </w:tc>
        <w:tc>
          <w:tcPr>
            <w:tcW w:w="3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(4,908 )</w:t>
            </w:r>
          </w:p>
        </w:tc>
      </w:tr>
    </w:tbl>
    <w:p>
      <w:pPr>
        <w:spacing w:after="0" w:line="329" w:lineRule="exact"/>
        <w:rPr>
          <w:sz w:val="20"/>
          <w:szCs w:val="20"/>
          <w:color w:val="auto"/>
        </w:rPr>
      </w:pPr>
    </w:p>
    <w:p>
      <w:pPr>
        <w:jc w:val="both"/>
        <w:ind w:right="60" w:firstLine="420"/>
        <w:spacing w:after="0" w:line="276" w:lineRule="auto"/>
        <w:rPr>
          <w:sz w:val="20"/>
          <w:szCs w:val="20"/>
          <w:color w:val="auto"/>
        </w:rPr>
      </w:pPr>
      <w:r>
        <w:rPr>
          <w:rFonts w:ascii="Arial" w:cs="Arial" w:eastAsia="Arial" w:hAnsi="Arial"/>
          <w:sz w:val="13"/>
          <w:szCs w:val="13"/>
          <w:color w:val="auto"/>
        </w:rPr>
        <w:t>As of September 30, 2022, we had outstanding non-U.S. dollar borrowings on our Truist Credit Facility. Net change in fair value on foreign currency translation on outstanding borrowings is listed below ($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40" w:type="dxa"/>
            <w:vAlign w:val="bottom"/>
          </w:tcPr>
          <w:p>
            <w:pPr>
              <w:ind w:left="20"/>
              <w:spacing w:after="0"/>
              <w:rPr>
                <w:sz w:val="20"/>
                <w:szCs w:val="20"/>
                <w:color w:val="auto"/>
              </w:rPr>
            </w:pPr>
            <w:r>
              <w:rPr>
                <w:rFonts w:ascii="Arial" w:cs="Arial" w:eastAsia="Arial" w:hAnsi="Arial"/>
                <w:sz w:val="13"/>
                <w:szCs w:val="13"/>
                <w:b w:val="1"/>
                <w:bCs w:val="1"/>
                <w:color w:val="auto"/>
              </w:rPr>
              <w:t>Foreign Currency</w:t>
            </w:r>
          </w:p>
        </w:tc>
        <w:tc>
          <w:tcPr>
            <w:tcW w:w="560" w:type="dxa"/>
            <w:vAlign w:val="bottom"/>
          </w:tcPr>
          <w:p>
            <w:pPr>
              <w:spacing w:after="0"/>
              <w:rPr>
                <w:sz w:val="15"/>
                <w:szCs w:val="15"/>
                <w:color w:val="auto"/>
              </w:rPr>
            </w:pPr>
          </w:p>
        </w:tc>
        <w:tc>
          <w:tcPr>
            <w:tcW w:w="1500" w:type="dxa"/>
            <w:vAlign w:val="bottom"/>
          </w:tcPr>
          <w:p>
            <w:pPr>
              <w:jc w:val="right"/>
              <w:ind w:right="254"/>
              <w:spacing w:after="0"/>
              <w:rPr>
                <w:sz w:val="20"/>
                <w:szCs w:val="20"/>
                <w:color w:val="auto"/>
              </w:rPr>
            </w:pPr>
            <w:r>
              <w:rPr>
                <w:rFonts w:ascii="Arial" w:cs="Arial" w:eastAsia="Arial" w:hAnsi="Arial"/>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34"/>
              <w:spacing w:after="0"/>
              <w:rPr>
                <w:sz w:val="20"/>
                <w:szCs w:val="20"/>
                <w:color w:val="auto"/>
              </w:rPr>
            </w:pPr>
            <w:r>
              <w:rPr>
                <w:rFonts w:ascii="Arial" w:cs="Arial" w:eastAsia="Arial" w:hAnsi="Arial"/>
                <w:sz w:val="13"/>
                <w:szCs w:val="13"/>
                <w:b w:val="1"/>
                <w:bCs w:val="1"/>
                <w:color w:val="auto"/>
              </w:rPr>
              <w:t>Borrowing Cost</w:t>
            </w:r>
          </w:p>
        </w:tc>
        <w:tc>
          <w:tcPr>
            <w:tcW w:w="340" w:type="dxa"/>
            <w:vAlign w:val="bottom"/>
          </w:tcPr>
          <w:p>
            <w:pPr>
              <w:spacing w:after="0"/>
              <w:rPr>
                <w:sz w:val="15"/>
                <w:szCs w:val="15"/>
                <w:color w:val="auto"/>
              </w:rPr>
            </w:pPr>
          </w:p>
        </w:tc>
        <w:tc>
          <w:tcPr>
            <w:tcW w:w="1520" w:type="dxa"/>
            <w:vAlign w:val="bottom"/>
          </w:tcPr>
          <w:p>
            <w:pPr>
              <w:jc w:val="right"/>
              <w:ind w:right="474"/>
              <w:spacing w:after="0"/>
              <w:rPr>
                <w:sz w:val="20"/>
                <w:szCs w:val="20"/>
                <w:color w:val="auto"/>
              </w:rPr>
            </w:pPr>
            <w:r>
              <w:rPr>
                <w:rFonts w:ascii="Arial" w:cs="Arial" w:eastAsia="Arial" w:hAnsi="Arial"/>
                <w:sz w:val="13"/>
                <w:szCs w:val="13"/>
                <w:b w:val="1"/>
                <w:bCs w:val="1"/>
                <w:color w:val="auto"/>
              </w:rPr>
              <w:t>Current Value</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rPr>
              <w:t>Reset Date</w:t>
            </w:r>
          </w:p>
        </w:tc>
        <w:tc>
          <w:tcPr>
            <w:tcW w:w="260" w:type="dxa"/>
            <w:vAlign w:val="bottom"/>
          </w:tcPr>
          <w:p>
            <w:pPr>
              <w:spacing w:after="0"/>
              <w:rPr>
                <w:sz w:val="15"/>
                <w:szCs w:val="15"/>
                <w:color w:val="auto"/>
              </w:rPr>
            </w:pPr>
          </w:p>
        </w:tc>
        <w:tc>
          <w:tcPr>
            <w:tcW w:w="1480" w:type="dxa"/>
            <w:vAlign w:val="bottom"/>
          </w:tcPr>
          <w:p>
            <w:pPr>
              <w:jc w:val="right"/>
              <w:ind w:right="114"/>
              <w:spacing w:after="0"/>
              <w:rPr>
                <w:sz w:val="20"/>
                <w:szCs w:val="20"/>
                <w:color w:val="auto"/>
              </w:rPr>
            </w:pPr>
            <w:r>
              <w:rPr>
                <w:rFonts w:ascii="Arial" w:cs="Arial" w:eastAsia="Arial" w:hAnsi="Arial"/>
                <w:sz w:val="13"/>
                <w:szCs w:val="13"/>
                <w:b w:val="1"/>
                <w:bCs w:val="1"/>
                <w:color w:val="auto"/>
                <w:w w:val="99"/>
              </w:rPr>
              <w:t>Change in Fair Value</w:t>
            </w:r>
          </w:p>
        </w:tc>
      </w:tr>
      <w:tr>
        <w:trPr>
          <w:trHeight w:val="180"/>
        </w:trPr>
        <w:tc>
          <w:tcPr>
            <w:tcW w:w="1540" w:type="dxa"/>
            <w:vAlign w:val="bottom"/>
            <w:shd w:val="clear" w:color="auto" w:fill="CCECFF"/>
          </w:tcPr>
          <w:p>
            <w:pPr>
              <w:ind w:left="20"/>
              <w:spacing w:after="0"/>
              <w:rPr>
                <w:sz w:val="20"/>
                <w:szCs w:val="20"/>
                <w:color w:val="auto"/>
              </w:rPr>
            </w:pPr>
            <w:r>
              <w:rPr>
                <w:rFonts w:ascii="Arial" w:cs="Arial" w:eastAsia="Arial" w:hAnsi="Arial"/>
                <w:sz w:val="13"/>
                <w:szCs w:val="13"/>
                <w:color w:val="auto"/>
              </w:rPr>
              <w:t>British Pound</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CFF"/>
          </w:tcPr>
          <w:p>
            <w:pPr>
              <w:jc w:val="right"/>
              <w:ind w:right="94"/>
              <w:spacing w:after="0"/>
              <w:rPr>
                <w:sz w:val="20"/>
                <w:szCs w:val="20"/>
                <w:color w:val="auto"/>
              </w:rPr>
            </w:pPr>
            <w:r>
              <w:rPr>
                <w:rFonts w:ascii="Arial" w:cs="Arial" w:eastAsia="Arial" w:hAnsi="Arial"/>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94"/>
              <w:spacing w:after="0"/>
              <w:rPr>
                <w:sz w:val="20"/>
                <w:szCs w:val="20"/>
                <w:color w:val="auto"/>
              </w:rPr>
            </w:pPr>
            <w:r>
              <w:rPr>
                <w:rFonts w:ascii="Arial" w:cs="Arial" w:eastAsia="Arial" w:hAnsi="Arial"/>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94"/>
              <w:spacing w:after="0"/>
              <w:rPr>
                <w:sz w:val="20"/>
                <w:szCs w:val="20"/>
                <w:color w:val="auto"/>
              </w:rPr>
            </w:pPr>
            <w:r>
              <w:rPr>
                <w:rFonts w:ascii="Arial" w:cs="Arial" w:eastAsia="Arial" w:hAnsi="Arial"/>
                <w:sz w:val="13"/>
                <w:szCs w:val="13"/>
                <w:color w:val="auto"/>
              </w:rPr>
              <w:t>40,187</w:t>
            </w:r>
          </w:p>
        </w:tc>
        <w:tc>
          <w:tcPr>
            <w:tcW w:w="158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December 31, 2022</w:t>
            </w:r>
          </w:p>
        </w:tc>
        <w:tc>
          <w:tcPr>
            <w:tcW w:w="2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(9,233 )</w:t>
            </w:r>
          </w:p>
        </w:tc>
      </w:tr>
    </w:tbl>
    <w:p>
      <w:pPr>
        <w:spacing w:after="0" w:line="149" w:lineRule="exact"/>
        <w:rPr>
          <w:sz w:val="20"/>
          <w:szCs w:val="20"/>
          <w:color w:val="auto"/>
        </w:rPr>
      </w:pPr>
    </w:p>
    <w:p>
      <w:pPr>
        <w:ind w:right="60" w:firstLine="420"/>
        <w:spacing w:after="0" w:line="253"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Subtopic 825- 10,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during the three and six months ended March 31, 2023 and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2024 Notes, the 2026 Notes, 2026 Notes-2, and the SBA debentures.</w:t>
      </w:r>
    </w:p>
    <w:p>
      <w:pPr>
        <w:spacing w:after="0" w:line="142"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For the three and six months ended March 31, 2023, the Truist Credit Facility had a net change in unrealized depreciation of $ 1.5 million and $5.9 million, respectively. For the three and six months ended March 31, 2022, the Truist Credit Facility had a net change in unrealized depreciation of $1.3 million and $0.3 million, respectively. As of March 31, 2023 and September 30, 2022, the net unrealized depreciation on the Truist Credit Facility totaled $15.2 million and $9.2 million, respectively. We use an independent valuation service to measure the fair value of our Truist Credit Facility in a manner consistent with the valuation process that our board of directors uses to value our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TRANSACTIONS WITH AFFILIATED COMPANIES</w:t>
      </w:r>
    </w:p>
    <w:p>
      <w:pPr>
        <w:spacing w:after="0" w:line="171" w:lineRule="exact"/>
        <w:rPr>
          <w:sz w:val="20"/>
          <w:szCs w:val="20"/>
          <w:color w:val="auto"/>
        </w:rPr>
      </w:pPr>
    </w:p>
    <w:p>
      <w:pPr>
        <w:ind w:right="60" w:firstLine="420"/>
        <w:spacing w:after="0" w:line="263" w:lineRule="auto"/>
        <w:rPr>
          <w:sz w:val="20"/>
          <w:szCs w:val="20"/>
          <w:color w:val="auto"/>
        </w:rPr>
      </w:pPr>
      <w:r>
        <w:rPr>
          <w:rFonts w:ascii="Arial" w:cs="Arial" w:eastAsia="Arial" w:hAnsi="Arial"/>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2023 were as follows ($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ind w:right="146"/>
              <w:spacing w:after="0"/>
              <w:rPr>
                <w:sz w:val="20"/>
                <w:szCs w:val="20"/>
                <w:color w:val="auto"/>
              </w:rPr>
            </w:pPr>
            <w:r>
              <w:rPr>
                <w:rFonts w:ascii="Arial" w:cs="Arial" w:eastAsia="Arial" w:hAnsi="Arial"/>
                <w:sz w:val="11"/>
                <w:szCs w:val="11"/>
                <w:b w:val="1"/>
                <w:bCs w:val="1"/>
                <w:color w:val="auto"/>
                <w:w w:val="97"/>
              </w:rPr>
              <w:t>Fair Value at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Net Change in</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Net Realized</w:t>
            </w:r>
          </w:p>
        </w:tc>
      </w:tr>
      <w:tr>
        <w:trPr>
          <w:trHeight w:val="121"/>
        </w:trPr>
        <w:tc>
          <w:tcPr>
            <w:tcW w:w="2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center"/>
              <w:ind w:right="166"/>
              <w:spacing w:after="0" w:line="121" w:lineRule="exact"/>
              <w:rPr>
                <w:sz w:val="20"/>
                <w:szCs w:val="20"/>
                <w:color w:val="auto"/>
              </w:rPr>
            </w:pPr>
            <w:r>
              <w:rPr>
                <w:rFonts w:ascii="Arial" w:cs="Arial" w:eastAsia="Arial" w:hAnsi="Arial"/>
                <w:sz w:val="11"/>
                <w:szCs w:val="11"/>
                <w:b w:val="1"/>
                <w:bCs w:val="1"/>
                <w:color w:val="auto"/>
                <w:w w:val="98"/>
              </w:rPr>
              <w:t>September 30,</w:t>
            </w:r>
          </w:p>
        </w:tc>
        <w:tc>
          <w:tcPr>
            <w:tcW w:w="220" w:type="dxa"/>
            <w:vAlign w:val="bottom"/>
          </w:tcPr>
          <w:p>
            <w:pPr>
              <w:spacing w:after="0"/>
              <w:rPr>
                <w:sz w:val="10"/>
                <w:szCs w:val="10"/>
                <w:color w:val="auto"/>
              </w:rPr>
            </w:pPr>
          </w:p>
        </w:tc>
        <w:tc>
          <w:tcPr>
            <w:tcW w:w="640" w:type="dxa"/>
            <w:vAlign w:val="bottom"/>
          </w:tcPr>
          <w:p>
            <w:pPr>
              <w:jc w:val="right"/>
              <w:ind w:right="226"/>
              <w:spacing w:after="0" w:line="121" w:lineRule="exact"/>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10"/>
                <w:szCs w:val="10"/>
                <w:color w:val="auto"/>
              </w:rPr>
            </w:pPr>
          </w:p>
        </w:tc>
        <w:tc>
          <w:tcPr>
            <w:tcW w:w="700" w:type="dxa"/>
            <w:vAlign w:val="bottom"/>
          </w:tcPr>
          <w:p>
            <w:pPr>
              <w:jc w:val="right"/>
              <w:ind w:right="266"/>
              <w:spacing w:after="0" w:line="121" w:lineRule="exact"/>
              <w:rPr>
                <w:sz w:val="20"/>
                <w:szCs w:val="20"/>
                <w:color w:val="auto"/>
              </w:rPr>
            </w:pPr>
            <w:r>
              <w:rPr>
                <w:rFonts w:ascii="Arial" w:cs="Arial" w:eastAsia="Arial" w:hAnsi="Arial"/>
                <w:sz w:val="11"/>
                <w:szCs w:val="11"/>
                <w:b w:val="1"/>
                <w:bCs w:val="1"/>
                <w:color w:val="auto"/>
              </w:rPr>
              <w:t>Gross</w:t>
            </w:r>
          </w:p>
        </w:tc>
        <w:tc>
          <w:tcPr>
            <w:tcW w:w="160" w:type="dxa"/>
            <w:vAlign w:val="bottom"/>
          </w:tcPr>
          <w:p>
            <w:pPr>
              <w:spacing w:after="0"/>
              <w:rPr>
                <w:sz w:val="10"/>
                <w:szCs w:val="10"/>
                <w:color w:val="auto"/>
              </w:rPr>
            </w:pPr>
          </w:p>
        </w:tc>
        <w:tc>
          <w:tcPr>
            <w:tcW w:w="980" w:type="dxa"/>
            <w:vAlign w:val="bottom"/>
          </w:tcPr>
          <w:p>
            <w:pPr>
              <w:jc w:val="right"/>
              <w:ind w:right="186"/>
              <w:spacing w:after="0" w:line="121" w:lineRule="exact"/>
              <w:rPr>
                <w:sz w:val="20"/>
                <w:szCs w:val="20"/>
                <w:color w:val="auto"/>
              </w:rPr>
            </w:pPr>
            <w:r>
              <w:rPr>
                <w:rFonts w:ascii="Arial" w:cs="Arial" w:eastAsia="Arial" w:hAnsi="Arial"/>
                <w:sz w:val="11"/>
                <w:szCs w:val="11"/>
                <w:b w:val="1"/>
                <w:bCs w:val="1"/>
                <w:color w:val="auto"/>
                <w:w w:val="98"/>
              </w:rPr>
              <w:t>Appreciation /</w:t>
            </w:r>
          </w:p>
        </w:tc>
        <w:tc>
          <w:tcPr>
            <w:tcW w:w="180" w:type="dxa"/>
            <w:vAlign w:val="bottom"/>
          </w:tcPr>
          <w:p>
            <w:pPr>
              <w:spacing w:after="0"/>
              <w:rPr>
                <w:sz w:val="10"/>
                <w:szCs w:val="10"/>
                <w:color w:val="auto"/>
              </w:rPr>
            </w:pPr>
          </w:p>
        </w:tc>
        <w:tc>
          <w:tcPr>
            <w:tcW w:w="860" w:type="dxa"/>
            <w:vAlign w:val="bottom"/>
          </w:tcPr>
          <w:p>
            <w:pPr>
              <w:jc w:val="right"/>
              <w:ind w:right="166"/>
              <w:spacing w:after="0" w:line="121" w:lineRule="exact"/>
              <w:rPr>
                <w:sz w:val="20"/>
                <w:szCs w:val="20"/>
                <w:color w:val="auto"/>
              </w:rPr>
            </w:pPr>
            <w:r>
              <w:rPr>
                <w:rFonts w:ascii="Arial" w:cs="Arial" w:eastAsia="Arial" w:hAnsi="Arial"/>
                <w:sz w:val="11"/>
                <w:szCs w:val="11"/>
                <w:b w:val="1"/>
                <w:bCs w:val="1"/>
                <w:color w:val="auto"/>
                <w:w w:val="94"/>
              </w:rPr>
              <w:t>Fair Value at</w:t>
            </w:r>
          </w:p>
        </w:tc>
        <w:tc>
          <w:tcPr>
            <w:tcW w:w="180" w:type="dxa"/>
            <w:vAlign w:val="bottom"/>
          </w:tcPr>
          <w:p>
            <w:pPr>
              <w:spacing w:after="0"/>
              <w:rPr>
                <w:sz w:val="10"/>
                <w:szCs w:val="10"/>
                <w:color w:val="auto"/>
              </w:rPr>
            </w:pPr>
          </w:p>
        </w:tc>
        <w:tc>
          <w:tcPr>
            <w:tcW w:w="600" w:type="dxa"/>
            <w:vAlign w:val="bottom"/>
          </w:tcPr>
          <w:p>
            <w:pPr>
              <w:jc w:val="right"/>
              <w:ind w:right="146"/>
              <w:spacing w:after="0" w:line="121" w:lineRule="exact"/>
              <w:rPr>
                <w:sz w:val="20"/>
                <w:szCs w:val="20"/>
                <w:color w:val="auto"/>
              </w:rPr>
            </w:pPr>
            <w:r>
              <w:rPr>
                <w:rFonts w:ascii="Arial" w:cs="Arial" w:eastAsia="Arial" w:hAnsi="Arial"/>
                <w:sz w:val="11"/>
                <w:szCs w:val="11"/>
                <w:b w:val="1"/>
                <w:bCs w:val="1"/>
                <w:color w:val="auto"/>
                <w:w w:val="95"/>
              </w:rPr>
              <w:t>Interest</w:t>
            </w:r>
          </w:p>
        </w:tc>
        <w:tc>
          <w:tcPr>
            <w:tcW w:w="200" w:type="dxa"/>
            <w:vAlign w:val="bottom"/>
          </w:tcPr>
          <w:p>
            <w:pPr>
              <w:spacing w:after="0"/>
              <w:rPr>
                <w:sz w:val="10"/>
                <w:szCs w:val="10"/>
                <w:color w:val="auto"/>
              </w:rPr>
            </w:pPr>
          </w:p>
        </w:tc>
        <w:tc>
          <w:tcPr>
            <w:tcW w:w="600" w:type="dxa"/>
            <w:vAlign w:val="bottom"/>
          </w:tcPr>
          <w:p>
            <w:pPr>
              <w:jc w:val="right"/>
              <w:ind w:right="246"/>
              <w:spacing w:after="0" w:line="121" w:lineRule="exact"/>
              <w:rPr>
                <w:sz w:val="20"/>
                <w:szCs w:val="20"/>
                <w:color w:val="auto"/>
              </w:rPr>
            </w:pPr>
            <w:r>
              <w:rPr>
                <w:rFonts w:ascii="Arial" w:cs="Arial" w:eastAsia="Arial" w:hAnsi="Arial"/>
                <w:sz w:val="11"/>
                <w:szCs w:val="11"/>
                <w:b w:val="1"/>
                <w:bCs w:val="1"/>
                <w:color w:val="auto"/>
              </w:rPr>
              <w:t>PIK</w:t>
            </w:r>
          </w:p>
        </w:tc>
        <w:tc>
          <w:tcPr>
            <w:tcW w:w="760" w:type="dxa"/>
            <w:vAlign w:val="bottom"/>
            <w:gridSpan w:val="2"/>
          </w:tcPr>
          <w:p>
            <w:pPr>
              <w:jc w:val="right"/>
              <w:ind w:right="106"/>
              <w:spacing w:after="0" w:line="121" w:lineRule="exact"/>
              <w:rPr>
                <w:sz w:val="20"/>
                <w:szCs w:val="20"/>
                <w:color w:val="auto"/>
              </w:rPr>
            </w:pPr>
            <w:r>
              <w:rPr>
                <w:rFonts w:ascii="Arial" w:cs="Arial" w:eastAsia="Arial" w:hAnsi="Arial"/>
                <w:sz w:val="11"/>
                <w:szCs w:val="11"/>
                <w:b w:val="1"/>
                <w:bCs w:val="1"/>
                <w:color w:val="auto"/>
              </w:rPr>
              <w:t>Dividend</w:t>
            </w:r>
          </w:p>
        </w:tc>
        <w:tc>
          <w:tcPr>
            <w:tcW w:w="180" w:type="dxa"/>
            <w:vAlign w:val="bottom"/>
          </w:tcPr>
          <w:p>
            <w:pPr>
              <w:spacing w:after="0"/>
              <w:rPr>
                <w:sz w:val="10"/>
                <w:szCs w:val="10"/>
                <w:color w:val="auto"/>
              </w:rPr>
            </w:pPr>
          </w:p>
        </w:tc>
        <w:tc>
          <w:tcPr>
            <w:tcW w:w="680" w:type="dxa"/>
            <w:vAlign w:val="bottom"/>
          </w:tcPr>
          <w:p>
            <w:pPr>
              <w:jc w:val="right"/>
              <w:ind w:right="226"/>
              <w:spacing w:after="0" w:line="121" w:lineRule="exact"/>
              <w:rPr>
                <w:sz w:val="20"/>
                <w:szCs w:val="20"/>
                <w:color w:val="auto"/>
              </w:rPr>
            </w:pPr>
            <w:r>
              <w:rPr>
                <w:rFonts w:ascii="Arial" w:cs="Arial" w:eastAsia="Arial" w:hAnsi="Arial"/>
                <w:sz w:val="11"/>
                <w:szCs w:val="11"/>
                <w:b w:val="1"/>
                <w:bCs w:val="1"/>
                <w:color w:val="auto"/>
              </w:rPr>
              <w:t>Gains</w:t>
            </w:r>
          </w:p>
        </w:tc>
      </w:tr>
      <w:tr>
        <w:trPr>
          <w:trHeight w:val="157"/>
        </w:trPr>
        <w:tc>
          <w:tcPr>
            <w:tcW w:w="2140" w:type="dxa"/>
            <w:vAlign w:val="bottom"/>
          </w:tcPr>
          <w:p>
            <w:pPr>
              <w:ind w:left="20"/>
              <w:spacing w:after="0"/>
              <w:rPr>
                <w:sz w:val="20"/>
                <w:szCs w:val="20"/>
                <w:color w:val="auto"/>
              </w:rPr>
            </w:pPr>
            <w:r>
              <w:rPr>
                <w:rFonts w:ascii="Arial" w:cs="Arial" w:eastAsia="Arial" w:hAnsi="Arial"/>
                <w:sz w:val="11"/>
                <w:szCs w:val="11"/>
                <w:b w:val="1"/>
                <w:bCs w:val="1"/>
                <w:color w:val="auto"/>
              </w:rPr>
              <w:t>Name of Investment</w:t>
            </w:r>
          </w:p>
        </w:tc>
        <w:tc>
          <w:tcPr>
            <w:tcW w:w="300" w:type="dxa"/>
            <w:vAlign w:val="bottom"/>
          </w:tcPr>
          <w:p>
            <w:pPr>
              <w:spacing w:after="0"/>
              <w:rPr>
                <w:sz w:val="13"/>
                <w:szCs w:val="13"/>
                <w:color w:val="auto"/>
              </w:rPr>
            </w:pPr>
          </w:p>
        </w:tc>
        <w:tc>
          <w:tcPr>
            <w:tcW w:w="960" w:type="dxa"/>
            <w:vAlign w:val="bottom"/>
          </w:tcPr>
          <w:p>
            <w:pPr>
              <w:jc w:val="center"/>
              <w:ind w:right="146"/>
              <w:spacing w:after="0"/>
              <w:rPr>
                <w:sz w:val="20"/>
                <w:szCs w:val="20"/>
                <w:color w:val="auto"/>
              </w:rPr>
            </w:pPr>
            <w:r>
              <w:rPr>
                <w:rFonts w:ascii="Arial" w:cs="Arial" w:eastAsia="Arial" w:hAnsi="Arial"/>
                <w:sz w:val="11"/>
                <w:szCs w:val="11"/>
                <w:b w:val="1"/>
                <w:bCs w:val="1"/>
                <w:color w:val="auto"/>
                <w:w w:val="97"/>
              </w:rPr>
              <w:t>2022</w:t>
            </w:r>
          </w:p>
        </w:tc>
        <w:tc>
          <w:tcPr>
            <w:tcW w:w="860" w:type="dxa"/>
            <w:vAlign w:val="bottom"/>
            <w:gridSpan w:val="2"/>
          </w:tcPr>
          <w:p>
            <w:pPr>
              <w:jc w:val="right"/>
              <w:ind w:right="86"/>
              <w:spacing w:after="0" w:line="157" w:lineRule="exact"/>
              <w:rPr>
                <w:sz w:val="20"/>
                <w:szCs w:val="20"/>
                <w:color w:val="auto"/>
              </w:rPr>
            </w:pPr>
            <w:r>
              <w:rPr>
                <w:rFonts w:ascii="Arial" w:cs="Arial" w:eastAsia="Arial" w:hAnsi="Arial"/>
                <w:sz w:val="11"/>
                <w:szCs w:val="11"/>
                <w:b w:val="1"/>
                <w:bCs w:val="1"/>
                <w:color w:val="auto"/>
              </w:rPr>
              <w:t>Additions</w:t>
            </w:r>
            <w:r>
              <w:rPr>
                <w:rFonts w:ascii="Arial" w:cs="Arial" w:eastAsia="Arial" w:hAnsi="Arial"/>
                <w:sz w:val="14"/>
                <w:szCs w:val="14"/>
                <w:b w:val="1"/>
                <w:bCs w:val="1"/>
                <w:color w:val="auto"/>
                <w:vertAlign w:val="superscript"/>
              </w:rPr>
              <w:t>(1)</w:t>
            </w:r>
          </w:p>
        </w:tc>
        <w:tc>
          <w:tcPr>
            <w:tcW w:w="92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Reductions</w:t>
            </w:r>
          </w:p>
        </w:tc>
        <w:tc>
          <w:tcPr>
            <w:tcW w:w="160" w:type="dxa"/>
            <w:vAlign w:val="bottom"/>
          </w:tcPr>
          <w:p>
            <w:pPr>
              <w:spacing w:after="0"/>
              <w:rPr>
                <w:sz w:val="13"/>
                <w:szCs w:val="13"/>
                <w:color w:val="auto"/>
              </w:rPr>
            </w:pPr>
          </w:p>
        </w:tc>
        <w:tc>
          <w:tcPr>
            <w:tcW w:w="98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(Depreciation)</w:t>
            </w:r>
          </w:p>
        </w:tc>
        <w:tc>
          <w:tcPr>
            <w:tcW w:w="104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March 31, 2023</w:t>
            </w:r>
          </w:p>
        </w:tc>
        <w:tc>
          <w:tcPr>
            <w:tcW w:w="18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Arial" w:cs="Arial" w:eastAsia="Arial" w:hAnsi="Arial"/>
                <w:sz w:val="11"/>
                <w:szCs w:val="11"/>
                <w:b w:val="1"/>
                <w:bCs w:val="1"/>
                <w:color w:val="auto"/>
                <w:w w:val="98"/>
              </w:rPr>
              <w:t>Income</w:t>
            </w:r>
          </w:p>
        </w:tc>
        <w:tc>
          <w:tcPr>
            <w:tcW w:w="20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Arial" w:cs="Arial" w:eastAsia="Arial" w:hAnsi="Arial"/>
                <w:sz w:val="11"/>
                <w:szCs w:val="11"/>
                <w:b w:val="1"/>
                <w:bCs w:val="1"/>
                <w:color w:val="auto"/>
                <w:w w:val="98"/>
              </w:rPr>
              <w:t>Income</w:t>
            </w:r>
          </w:p>
        </w:tc>
        <w:tc>
          <w:tcPr>
            <w:tcW w:w="180" w:type="dxa"/>
            <w:vAlign w:val="bottom"/>
          </w:tcPr>
          <w:p>
            <w:pPr>
              <w:spacing w:after="0"/>
              <w:rPr>
                <w:sz w:val="13"/>
                <w:szCs w:val="13"/>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w w:val="98"/>
              </w:rPr>
              <w:t>Income</w:t>
            </w:r>
          </w:p>
        </w:tc>
        <w:tc>
          <w:tcPr>
            <w:tcW w:w="180" w:type="dxa"/>
            <w:vAlign w:val="bottom"/>
          </w:tcPr>
          <w:p>
            <w:pPr>
              <w:spacing w:after="0"/>
              <w:rPr>
                <w:sz w:val="13"/>
                <w:szCs w:val="13"/>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(Losses)</w:t>
            </w:r>
          </w:p>
        </w:tc>
      </w:tr>
      <w:tr>
        <w:trPr>
          <w:trHeight w:val="156"/>
        </w:trPr>
        <w:tc>
          <w:tcPr>
            <w:tcW w:w="214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Controlled Affiliates</w:t>
            </w:r>
          </w:p>
        </w:tc>
        <w:tc>
          <w:tcPr>
            <w:tcW w:w="3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AKW Holdings Limited</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45,995</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1,789</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06"/>
              <w:spacing w:after="0"/>
              <w:rPr>
                <w:sz w:val="20"/>
                <w:szCs w:val="20"/>
                <w:color w:val="auto"/>
              </w:rPr>
            </w:pPr>
            <w:r>
              <w:rPr>
                <w:rFonts w:ascii="Arial" w:cs="Arial" w:eastAsia="Arial" w:hAnsi="Arial"/>
                <w:sz w:val="11"/>
                <w:szCs w:val="11"/>
                <w:color w:val="auto"/>
              </w:rPr>
              <w:t>4,623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52,407</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662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1,789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Pr>
          <w:p>
            <w:pPr>
              <w:ind w:left="100"/>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2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Mailsouth Inc.</w:t>
            </w:r>
          </w:p>
        </w:tc>
        <w:tc>
          <w:tcPr>
            <w:tcW w:w="300" w:type="dxa"/>
            <w:vAlign w:val="bottom"/>
            <w:shd w:val="clear" w:color="auto" w:fill="CCECFF"/>
          </w:tcPr>
          <w:p>
            <w:pPr>
              <w:spacing w:after="0"/>
              <w:rPr>
                <w:sz w:val="13"/>
                <w:szCs w:val="13"/>
                <w:color w:val="auto"/>
              </w:rPr>
            </w:pPr>
          </w:p>
        </w:tc>
        <w:tc>
          <w:tcPr>
            <w:tcW w:w="96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3"/>
                <w:szCs w:val="13"/>
                <w:color w:val="auto"/>
              </w:rPr>
            </w:pPr>
          </w:p>
        </w:tc>
        <w:tc>
          <w:tcPr>
            <w:tcW w:w="64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3"/>
                <w:szCs w:val="13"/>
                <w:color w:val="auto"/>
              </w:rPr>
            </w:pPr>
          </w:p>
        </w:tc>
        <w:tc>
          <w:tcPr>
            <w:tcW w:w="700" w:type="dxa"/>
            <w:vAlign w:val="bottom"/>
            <w:shd w:val="clear" w:color="auto" w:fill="CCECFF"/>
          </w:tcPr>
          <w:p>
            <w:pPr>
              <w:jc w:val="right"/>
              <w:ind w:right="10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3"/>
                <w:szCs w:val="13"/>
                <w:color w:val="auto"/>
              </w:rPr>
            </w:pPr>
          </w:p>
        </w:tc>
        <w:tc>
          <w:tcPr>
            <w:tcW w:w="86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600" w:type="dxa"/>
            <w:vAlign w:val="bottom"/>
            <w:shd w:val="clear" w:color="auto" w:fill="CCEC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3"/>
                <w:szCs w:val="13"/>
                <w:color w:val="auto"/>
              </w:rPr>
            </w:pPr>
          </w:p>
        </w:tc>
        <w:tc>
          <w:tcPr>
            <w:tcW w:w="680" w:type="dxa"/>
            <w:vAlign w:val="bottom"/>
            <w:shd w:val="clear" w:color="auto" w:fill="CCECFF"/>
          </w:tcPr>
          <w:p>
            <w:pPr>
              <w:jc w:val="right"/>
              <w:ind w:right="46"/>
              <w:spacing w:after="0"/>
              <w:rPr>
                <w:sz w:val="20"/>
                <w:szCs w:val="20"/>
                <w:color w:val="auto"/>
              </w:rPr>
            </w:pPr>
            <w:r>
              <w:rPr>
                <w:rFonts w:ascii="Arial" w:cs="Arial" w:eastAsia="Arial" w:hAnsi="Arial"/>
                <w:sz w:val="11"/>
                <w:szCs w:val="11"/>
                <w:color w:val="auto"/>
              </w:rPr>
              <w:t>—</w:t>
            </w:r>
          </w:p>
        </w:tc>
      </w:tr>
      <w:tr>
        <w:trPr>
          <w:trHeight w:val="156"/>
        </w:trPr>
        <w:tc>
          <w:tcPr>
            <w:tcW w:w="2140" w:type="dxa"/>
            <w:vAlign w:val="bottom"/>
          </w:tcPr>
          <w:p>
            <w:pPr>
              <w:ind w:left="20"/>
              <w:spacing w:after="0" w:line="156" w:lineRule="exact"/>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(3)</w:t>
            </w:r>
          </w:p>
        </w:tc>
        <w:tc>
          <w:tcPr>
            <w:tcW w:w="30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139,109</w:t>
            </w:r>
          </w:p>
        </w:tc>
        <w:tc>
          <w:tcPr>
            <w:tcW w:w="22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12,100</w:t>
            </w:r>
          </w:p>
        </w:tc>
        <w:tc>
          <w:tcPr>
            <w:tcW w:w="220" w:type="dxa"/>
            <w:vAlign w:val="bottom"/>
          </w:tcPr>
          <w:p>
            <w:pPr>
              <w:spacing w:after="0"/>
              <w:rPr>
                <w:sz w:val="13"/>
                <w:szCs w:val="13"/>
                <w:color w:val="auto"/>
              </w:rPr>
            </w:pP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(2,484 )</w:t>
            </w:r>
          </w:p>
        </w:tc>
        <w:tc>
          <w:tcPr>
            <w:tcW w:w="18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148,725</w:t>
            </w:r>
          </w:p>
        </w:tc>
        <w:tc>
          <w:tcPr>
            <w:tcW w:w="18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5,844</w:t>
            </w:r>
          </w:p>
        </w:tc>
        <w:tc>
          <w:tcPr>
            <w:tcW w:w="20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6,958</w:t>
            </w:r>
          </w:p>
        </w:tc>
        <w:tc>
          <w:tcPr>
            <w:tcW w:w="18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6"/>
        </w:trPr>
        <w:tc>
          <w:tcPr>
            <w:tcW w:w="2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RAM Energy LLC</w:t>
            </w:r>
          </w:p>
        </w:tc>
        <w:tc>
          <w:tcPr>
            <w:tcW w:w="300" w:type="dxa"/>
            <w:vAlign w:val="bottom"/>
            <w:shd w:val="clear" w:color="auto" w:fill="CCECFF"/>
          </w:tcPr>
          <w:p>
            <w:pPr>
              <w:spacing w:after="0"/>
              <w:rPr>
                <w:sz w:val="13"/>
                <w:szCs w:val="13"/>
                <w:color w:val="auto"/>
              </w:rPr>
            </w:pPr>
          </w:p>
        </w:tc>
        <w:tc>
          <w:tcPr>
            <w:tcW w:w="96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74,282</w:t>
            </w:r>
          </w:p>
        </w:tc>
        <w:tc>
          <w:tcPr>
            <w:tcW w:w="220" w:type="dxa"/>
            <w:vAlign w:val="bottom"/>
            <w:shd w:val="clear" w:color="auto" w:fill="CCECFF"/>
          </w:tcPr>
          <w:p>
            <w:pPr>
              <w:spacing w:after="0"/>
              <w:rPr>
                <w:sz w:val="13"/>
                <w:szCs w:val="13"/>
                <w:color w:val="auto"/>
              </w:rPr>
            </w:pPr>
          </w:p>
        </w:tc>
        <w:tc>
          <w:tcPr>
            <w:tcW w:w="64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3"/>
                <w:szCs w:val="13"/>
                <w:color w:val="auto"/>
              </w:rPr>
            </w:pPr>
          </w:p>
        </w:tc>
        <w:tc>
          <w:tcPr>
            <w:tcW w:w="700" w:type="dxa"/>
            <w:vAlign w:val="bottom"/>
            <w:shd w:val="clear" w:color="auto" w:fill="CCECFF"/>
          </w:tcPr>
          <w:p>
            <w:pPr>
              <w:jc w:val="right"/>
              <w:ind w:right="46"/>
              <w:spacing w:after="0"/>
              <w:rPr>
                <w:sz w:val="20"/>
                <w:szCs w:val="20"/>
                <w:color w:val="auto"/>
              </w:rPr>
            </w:pPr>
            <w:r>
              <w:rPr>
                <w:rFonts w:ascii="Arial" w:cs="Arial" w:eastAsia="Arial" w:hAnsi="Arial"/>
                <w:sz w:val="11"/>
                <w:szCs w:val="11"/>
                <w:color w:val="auto"/>
              </w:rPr>
              <w:t>(162,708 )</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jc w:val="right"/>
              <w:ind w:right="106"/>
              <w:spacing w:after="0"/>
              <w:rPr>
                <w:sz w:val="20"/>
                <w:szCs w:val="20"/>
                <w:color w:val="auto"/>
              </w:rPr>
            </w:pPr>
            <w:r>
              <w:rPr>
                <w:rFonts w:ascii="Arial" w:cs="Arial" w:eastAsia="Arial" w:hAnsi="Arial"/>
                <w:sz w:val="11"/>
                <w:szCs w:val="11"/>
                <w:color w:val="auto"/>
              </w:rPr>
              <w:t>88,426</w:t>
            </w:r>
          </w:p>
        </w:tc>
        <w:tc>
          <w:tcPr>
            <w:tcW w:w="180" w:type="dxa"/>
            <w:vAlign w:val="bottom"/>
            <w:shd w:val="clear" w:color="auto" w:fill="CCECFF"/>
          </w:tcPr>
          <w:p>
            <w:pPr>
              <w:spacing w:after="0"/>
              <w:rPr>
                <w:sz w:val="13"/>
                <w:szCs w:val="13"/>
                <w:color w:val="auto"/>
              </w:rPr>
            </w:pPr>
          </w:p>
        </w:tc>
        <w:tc>
          <w:tcPr>
            <w:tcW w:w="86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600" w:type="dxa"/>
            <w:vAlign w:val="bottom"/>
            <w:shd w:val="clear" w:color="auto" w:fill="CCEC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(133,098 )</w:t>
            </w:r>
          </w:p>
        </w:tc>
      </w:tr>
      <w:tr>
        <w:trPr>
          <w:trHeight w:val="154"/>
        </w:trPr>
        <w:tc>
          <w:tcPr>
            <w:tcW w:w="2140" w:type="dxa"/>
            <w:vAlign w:val="bottom"/>
          </w:tcPr>
          <w:p>
            <w:pPr>
              <w:ind w:left="100"/>
              <w:spacing w:after="0"/>
              <w:rPr>
                <w:sz w:val="20"/>
                <w:szCs w:val="20"/>
                <w:color w:val="auto"/>
              </w:rPr>
            </w:pPr>
            <w:r>
              <w:rPr>
                <w:rFonts w:ascii="Arial" w:cs="Arial" w:eastAsia="Arial" w:hAnsi="Arial"/>
                <w:sz w:val="11"/>
                <w:szCs w:val="11"/>
                <w:color w:val="auto"/>
              </w:rPr>
              <w:t>Total Controlled Affiliates</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259,386</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13,889</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(162,708 )</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06"/>
              <w:spacing w:after="0"/>
              <w:rPr>
                <w:sz w:val="20"/>
                <w:szCs w:val="20"/>
                <w:color w:val="auto"/>
              </w:rPr>
            </w:pPr>
            <w:r>
              <w:rPr>
                <w:rFonts w:ascii="Arial" w:cs="Arial" w:eastAsia="Arial" w:hAnsi="Arial"/>
                <w:sz w:val="11"/>
                <w:szCs w:val="11"/>
                <w:color w:val="auto"/>
              </w:rPr>
              <w:t>90,565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201,132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6,506</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1,789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6,958</w:t>
            </w:r>
          </w:p>
        </w:tc>
        <w:tc>
          <w:tcPr>
            <w:tcW w:w="180" w:type="dxa"/>
            <w:vAlign w:val="bottom"/>
          </w:tcPr>
          <w:p>
            <w:pPr>
              <w:ind w:left="100"/>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(133,098 )</w:t>
            </w:r>
          </w:p>
        </w:tc>
      </w:tr>
      <w:tr>
        <w:trPr>
          <w:trHeight w:val="158"/>
        </w:trPr>
        <w:tc>
          <w:tcPr>
            <w:tcW w:w="214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Non-Controlled Affiliates</w:t>
            </w:r>
          </w:p>
        </w:tc>
        <w:tc>
          <w:tcPr>
            <w:tcW w:w="3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r>
    </w:tbl>
    <w:p>
      <w:pPr>
        <w:spacing w:after="0" w:line="14" w:lineRule="exact"/>
        <w:rPr>
          <w:sz w:val="20"/>
          <w:szCs w:val="20"/>
          <w:color w:val="auto"/>
        </w:rPr>
      </w:pPr>
    </w:p>
    <w:p>
      <w:pPr>
        <w:sectPr>
          <w:pgSz w:w="11900" w:h="16840" w:orient="portrait"/>
          <w:cols w:equalWidth="0" w:num="1">
            <w:col w:w="10620"/>
          </w:cols>
          <w:pgMar w:left="660" w:top="554" w:right="620" w:bottom="1440" w:gutter="0" w:footer="0" w:header="0"/>
        </w:sectPr>
      </w:pPr>
    </w:p>
    <w:tbl>
      <w:tblPr>
        <w:tblLayout w:type="fixed"/>
        <w:tblInd w:w="20" w:type="dxa"/>
        <w:tblCellMar>
          <w:top w:w="0" w:type="dxa"/>
          <w:left w:w="0" w:type="dxa"/>
          <w:bottom w:w="0" w:type="dxa"/>
          <w:right w:w="0" w:type="dxa"/>
        </w:tblCellMar>
      </w:tblPr>
      <w:tr>
        <w:trPr>
          <w:trHeight w:val="138"/>
        </w:trPr>
        <w:tc>
          <w:tcPr>
            <w:tcW w:w="2320" w:type="dxa"/>
            <w:vAlign w:val="bottom"/>
          </w:tcPr>
          <w:p>
            <w:pPr>
              <w:spacing w:after="0"/>
              <w:rPr>
                <w:sz w:val="20"/>
                <w:szCs w:val="20"/>
                <w:color w:val="auto"/>
              </w:rPr>
            </w:pPr>
            <w:r>
              <w:rPr>
                <w:rFonts w:ascii="Arial" w:cs="Arial" w:eastAsia="Arial" w:hAnsi="Arial"/>
                <w:sz w:val="11"/>
                <w:szCs w:val="11"/>
                <w:color w:val="auto"/>
              </w:rPr>
              <w:t>Cascade Environmental Holdings, LLC</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32,791</w:t>
            </w:r>
          </w:p>
        </w:tc>
        <w:tc>
          <w:tcPr>
            <w:tcW w:w="4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819</w:t>
            </w:r>
          </w:p>
        </w:tc>
        <w:tc>
          <w:tcPr>
            <w:tcW w:w="12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320" w:type="dxa"/>
            <w:vAlign w:val="bottom"/>
          </w:tcPr>
          <w:p>
            <w:pPr>
              <w:spacing w:after="0"/>
              <w:rPr>
                <w:sz w:val="20"/>
                <w:szCs w:val="20"/>
                <w:color w:val="auto"/>
              </w:rPr>
            </w:pPr>
            <w:r>
              <w:rPr>
                <w:rFonts w:ascii="Arial" w:cs="Arial" w:eastAsia="Arial" w:hAnsi="Arial"/>
                <w:sz w:val="11"/>
                <w:szCs w:val="11"/>
                <w:color w:val="auto"/>
              </w:rPr>
              <w:t>MidOcean JF Holdings Corp.</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(2)</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16,382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320" w:type="dxa"/>
            <w:vAlign w:val="bottom"/>
          </w:tcPr>
          <w:p>
            <w:pPr>
              <w:ind w:left="100"/>
              <w:spacing w:after="0"/>
              <w:rPr>
                <w:sz w:val="20"/>
                <w:szCs w:val="20"/>
                <w:color w:val="auto"/>
              </w:rPr>
            </w:pPr>
            <w:r>
              <w:rPr>
                <w:rFonts w:ascii="Arial" w:cs="Arial" w:eastAsia="Arial" w:hAnsi="Arial"/>
                <w:sz w:val="11"/>
                <w:szCs w:val="11"/>
                <w:color w:val="auto"/>
              </w:rPr>
              <w:t>Total Non-Controlled Affiliates</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34,760</w:t>
            </w:r>
          </w:p>
        </w:tc>
        <w:tc>
          <w:tcPr>
            <w:tcW w:w="4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17,201</w:t>
            </w:r>
          </w:p>
        </w:tc>
        <w:tc>
          <w:tcPr>
            <w:tcW w:w="12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20"/>
                <w:szCs w:val="20"/>
                <w:color w:val="auto"/>
              </w:rPr>
            </w:pPr>
            <w:r>
              <w:rPr>
                <w:rFonts w:ascii="Arial" w:cs="Arial" w:eastAsia="Arial" w:hAnsi="Arial"/>
                <w:sz w:val="11"/>
                <w:szCs w:val="11"/>
                <w:b w:val="1"/>
                <w:bCs w:val="1"/>
                <w:color w:val="auto"/>
              </w:rPr>
              <w:t>Total Controlled and</w:t>
            </w:r>
          </w:p>
        </w:tc>
        <w:tc>
          <w:tcPr>
            <w:tcW w:w="300" w:type="dxa"/>
            <w:vAlign w:val="bottom"/>
            <w:vMerge w:val="restart"/>
          </w:tcPr>
          <w:p>
            <w:pPr>
              <w:jc w:val="right"/>
              <w:ind w:right="166"/>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294,146</w:t>
            </w:r>
          </w:p>
        </w:tc>
        <w:tc>
          <w:tcPr>
            <w:tcW w:w="12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31,090</w:t>
            </w:r>
          </w:p>
        </w:tc>
        <w:tc>
          <w:tcPr>
            <w:tcW w:w="120" w:type="dxa"/>
            <w:vAlign w:val="bottom"/>
          </w:tcPr>
          <w:p>
            <w:pPr>
              <w:spacing w:after="0"/>
              <w:rPr>
                <w:sz w:val="12"/>
                <w:szCs w:val="12"/>
                <w:color w:val="auto"/>
              </w:rPr>
            </w:pP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(162,708 )</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0"/>
        </w:trPr>
        <w:tc>
          <w:tcPr>
            <w:tcW w:w="232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Non-Controlled Affiliates</w:t>
            </w:r>
          </w:p>
        </w:tc>
        <w:tc>
          <w:tcPr>
            <w:tcW w:w="3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vertAlign w:val="superscript"/>
        </w:rPr>
        <w:t>(1)</w:t>
      </w:r>
      <w:r>
        <w:rPr>
          <w:rFonts w:ascii="Arial" w:cs="Arial" w:eastAsia="Arial" w:hAnsi="Arial"/>
          <w:sz w:val="10"/>
          <w:szCs w:val="10"/>
          <w:color w:val="auto"/>
        </w:rPr>
        <w:t>Includes PIK.</w:t>
      </w:r>
    </w:p>
    <w:p>
      <w:pPr>
        <w:spacing w:after="0" w:line="184" w:lineRule="auto"/>
        <w:rPr>
          <w:sz w:val="20"/>
          <w:szCs w:val="20"/>
          <w:color w:val="auto"/>
        </w:rPr>
      </w:pPr>
      <w:r>
        <w:rPr>
          <w:rFonts w:ascii="Arial" w:cs="Arial" w:eastAsia="Arial" w:hAnsi="Arial"/>
          <w:sz w:val="19"/>
          <w:szCs w:val="19"/>
          <w:b w:val="1"/>
          <w:bCs w:val="1"/>
          <w:color w:val="auto"/>
          <w:vertAlign w:val="superscript"/>
        </w:rPr>
        <w:t>(2)</w:t>
      </w:r>
      <w:r>
        <w:rPr>
          <w:rFonts w:ascii="Arial" w:cs="Arial" w:eastAsia="Arial" w:hAnsi="Arial"/>
          <w:sz w:val="10"/>
          <w:szCs w:val="10"/>
          <w:color w:val="auto"/>
        </w:rPr>
        <w:t>Walker Edison Furniture Company LLC became a non-controlled affiliate during the quarter ended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6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33,625</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56"/>
        </w:trPr>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1,969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56"/>
        </w:trPr>
        <w:tc>
          <w:tcPr>
            <w:tcW w:w="460" w:type="dxa"/>
            <w:vAlign w:val="bottom"/>
          </w:tcPr>
          <w:p>
            <w:pPr>
              <w:jc w:val="right"/>
              <w:ind w:right="6"/>
              <w:spacing w:after="0"/>
              <w:rPr>
                <w:sz w:val="20"/>
                <w:szCs w:val="20"/>
                <w:color w:val="auto"/>
              </w:rPr>
            </w:pPr>
            <w:r>
              <w:rPr>
                <w:rFonts w:ascii="Arial" w:cs="Arial" w:eastAsia="Arial" w:hAnsi="Arial"/>
                <w:sz w:val="11"/>
                <w:szCs w:val="11"/>
                <w:color w:val="auto"/>
              </w:rPr>
              <w:t>(169 )</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16,213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58"/>
        </w:trPr>
        <w:tc>
          <w:tcPr>
            <w:tcW w:w="460" w:type="dxa"/>
            <w:vAlign w:val="bottom"/>
          </w:tcPr>
          <w:p>
            <w:pPr>
              <w:jc w:val="right"/>
              <w:ind w:right="6"/>
              <w:spacing w:after="0"/>
              <w:rPr>
                <w:sz w:val="20"/>
                <w:szCs w:val="20"/>
                <w:color w:val="auto"/>
              </w:rPr>
            </w:pPr>
            <w:r>
              <w:rPr>
                <w:rFonts w:ascii="Arial" w:cs="Arial" w:eastAsia="Arial" w:hAnsi="Arial"/>
                <w:sz w:val="11"/>
                <w:szCs w:val="11"/>
                <w:color w:val="auto"/>
              </w:rPr>
              <w:t>(154 )</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51,807</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252"/>
        </w:trPr>
        <w:tc>
          <w:tcPr>
            <w:tcW w:w="460" w:type="dxa"/>
            <w:vAlign w:val="bottom"/>
          </w:tcPr>
          <w:p>
            <w:pPr>
              <w:jc w:val="right"/>
              <w:ind w:right="86"/>
              <w:spacing w:after="0"/>
              <w:rPr>
                <w:sz w:val="20"/>
                <w:szCs w:val="20"/>
                <w:color w:val="auto"/>
              </w:rPr>
            </w:pPr>
            <w:r>
              <w:rPr>
                <w:rFonts w:ascii="Arial" w:cs="Arial" w:eastAsia="Arial" w:hAnsi="Arial"/>
                <w:sz w:val="11"/>
                <w:szCs w:val="11"/>
                <w:color w:val="auto"/>
                <w:w w:val="89"/>
              </w:rPr>
              <w:t>90,411</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252,939</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6,587</w:t>
            </w:r>
          </w:p>
        </w:tc>
        <w:tc>
          <w:tcPr>
            <w:tcW w:w="10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1,789</w:t>
            </w:r>
          </w:p>
        </w:tc>
        <w:tc>
          <w:tcPr>
            <w:tcW w:w="8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6,958</w:t>
            </w:r>
          </w:p>
        </w:tc>
        <w:tc>
          <w:tcPr>
            <w:tcW w:w="10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(133,098 )</w:t>
            </w: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5" w:lineRule="exact"/>
        <w:rPr>
          <w:sz w:val="20"/>
          <w:szCs w:val="20"/>
          <w:color w:val="auto"/>
        </w:rPr>
      </w:pPr>
    </w:p>
    <w:p>
      <w:pPr>
        <w:sectPr>
          <w:pgSz w:w="11900" w:h="16840" w:orient="portrait"/>
          <w:cols w:equalWidth="0" w:num="2">
            <w:col w:w="5320" w:space="520"/>
            <w:col w:w="4780"/>
          </w:cols>
          <w:pgMar w:left="660" w:top="554" w:right="620" w:bottom="1440" w:gutter="0" w:footer="0" w:header="0"/>
          <w:type w:val="continuous"/>
        </w:sectPr>
      </w:pPr>
    </w:p>
    <w:p>
      <w:pPr>
        <w:ind w:right="20"/>
        <w:spacing w:after="0" w:line="230" w:lineRule="auto"/>
        <w:rPr>
          <w:sz w:val="20"/>
          <w:szCs w:val="20"/>
          <w:color w:val="auto"/>
        </w:rPr>
      </w:pPr>
      <w:r>
        <w:rPr>
          <w:rFonts w:ascii="Arial" w:cs="Arial" w:eastAsia="Arial" w:hAnsi="Arial"/>
          <w:sz w:val="19"/>
          <w:szCs w:val="19"/>
          <w:b w:val="1"/>
          <w:bCs w:val="1"/>
          <w:color w:val="auto"/>
          <w:vertAlign w:val="superscript"/>
        </w:rPr>
        <w:t>(3)</w:t>
      </w:r>
      <w:r>
        <w:rPr>
          <w:rFonts w:ascii="Arial" w:cs="Arial" w:eastAsia="Arial" w:hAnsi="Arial"/>
          <w:sz w:val="10"/>
          <w:szCs w:val="10"/>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r>
        <w:rPr>
          <w:rFonts w:ascii="Arial" w:cs="Arial" w:eastAsia="Arial" w:hAnsi="Arial"/>
          <w:sz w:val="9"/>
          <w:szCs w:val="9"/>
          <w:color w:val="auto"/>
        </w:rPr>
        <w:t>.</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ectPr>
          <w:pgSz w:w="11900" w:h="16840" w:orient="portrait"/>
          <w:cols w:equalWidth="0" w:num="1">
            <w:col w:w="10620"/>
          </w:cols>
          <w:pgMar w:left="660" w:top="554" w:right="620" w:bottom="1440" w:gutter="0" w:footer="0" w:header="0"/>
          <w:type w:val="continuous"/>
        </w:sectPr>
      </w:pPr>
    </w:p>
    <w:bookmarkStart w:id="32" w:name="page33"/>
    <w:bookmarkEnd w:id="32"/>
    <w:p>
      <w:pPr>
        <w:jc w:val="center"/>
        <w:ind w:right="8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CHANGE IN NET ASSETS FROM OPERATIONS PER COMMON SHARE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following information sets forth the computation of basic and diluted per share net increase in net assets resulting from operations ($ in thousands, except per share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60" w:type="dxa"/>
            <w:vAlign w:val="bottom"/>
            <w:gridSpan w:val="3"/>
          </w:tcPr>
          <w:p>
            <w:pPr>
              <w:jc w:val="right"/>
              <w:ind w:right="354"/>
              <w:spacing w:after="0"/>
              <w:rPr>
                <w:sz w:val="20"/>
                <w:szCs w:val="20"/>
                <w:color w:val="auto"/>
              </w:rPr>
            </w:pPr>
            <w:r>
              <w:rPr>
                <w:rFonts w:ascii="Arial" w:cs="Arial" w:eastAsia="Arial" w:hAnsi="Arial"/>
                <w:sz w:val="13"/>
                <w:szCs w:val="13"/>
                <w:b w:val="1"/>
                <w:bCs w:val="1"/>
                <w:color w:val="auto"/>
              </w:rPr>
              <w:t>Three Months Ended March 31,</w:t>
            </w:r>
          </w:p>
        </w:tc>
        <w:tc>
          <w:tcPr>
            <w:tcW w:w="320" w:type="dxa"/>
            <w:vAlign w:val="bottom"/>
          </w:tcPr>
          <w:p>
            <w:pPr>
              <w:spacing w:after="0"/>
              <w:rPr>
                <w:sz w:val="15"/>
                <w:szCs w:val="15"/>
                <w:color w:val="auto"/>
              </w:rPr>
            </w:pPr>
          </w:p>
        </w:tc>
        <w:tc>
          <w:tcPr>
            <w:tcW w:w="2320" w:type="dxa"/>
            <w:vAlign w:val="bottom"/>
            <w:gridSpan w:val="3"/>
          </w:tcPr>
          <w:p>
            <w:pPr>
              <w:jc w:val="right"/>
              <w:ind w:right="354"/>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1020" w:type="dxa"/>
            <w:vAlign w:val="bottom"/>
          </w:tcPr>
          <w:p>
            <w:pPr>
              <w:jc w:val="right"/>
              <w:ind w:right="494"/>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5"/>
                <w:szCs w:val="15"/>
                <w:color w:val="auto"/>
              </w:rPr>
            </w:pPr>
          </w:p>
        </w:tc>
        <w:tc>
          <w:tcPr>
            <w:tcW w:w="1060" w:type="dxa"/>
            <w:vAlign w:val="bottom"/>
          </w:tcPr>
          <w:p>
            <w:pPr>
              <w:jc w:val="right"/>
              <w:ind w:right="494"/>
              <w:spacing w:after="0"/>
              <w:rPr>
                <w:sz w:val="20"/>
                <w:szCs w:val="20"/>
                <w:color w:val="auto"/>
              </w:rPr>
            </w:pPr>
            <w:r>
              <w:rPr>
                <w:rFonts w:ascii="Arial" w:cs="Arial" w:eastAsia="Arial" w:hAnsi="Arial"/>
                <w:sz w:val="13"/>
                <w:szCs w:val="13"/>
                <w:b w:val="1"/>
                <w:bCs w:val="1"/>
                <w:color w:val="auto"/>
              </w:rPr>
              <w:t>2023</w:t>
            </w:r>
          </w:p>
        </w:tc>
        <w:tc>
          <w:tcPr>
            <w:tcW w:w="320" w:type="dxa"/>
            <w:vAlign w:val="bottom"/>
          </w:tcPr>
          <w:p>
            <w:pPr>
              <w:spacing w:after="0"/>
              <w:rPr>
                <w:sz w:val="15"/>
                <w:szCs w:val="15"/>
                <w:color w:val="auto"/>
              </w:rPr>
            </w:pPr>
          </w:p>
        </w:tc>
        <w:tc>
          <w:tcPr>
            <w:tcW w:w="940" w:type="dxa"/>
            <w:vAlign w:val="bottom"/>
          </w:tcPr>
          <w:p>
            <w:pPr>
              <w:jc w:val="right"/>
              <w:ind w:right="43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70"/>
        </w:trPr>
        <w:tc>
          <w:tcPr>
            <w:tcW w:w="4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Numerator for net increase (decrease) in net assets resulting from operations</w:t>
            </w:r>
          </w:p>
        </w:tc>
        <w:tc>
          <w:tcPr>
            <w:tcW w:w="500" w:type="dxa"/>
            <w:vAlign w:val="bottom"/>
            <w:vMerge w:val="restart"/>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CFF"/>
          </w:tcPr>
          <w:p>
            <w:pPr>
              <w:jc w:val="right"/>
              <w:ind w:right="74"/>
              <w:spacing w:after="0"/>
              <w:rPr>
                <w:sz w:val="20"/>
                <w:szCs w:val="20"/>
                <w:color w:val="auto"/>
              </w:rPr>
            </w:pPr>
            <w:r>
              <w:rPr>
                <w:rFonts w:ascii="Arial" w:cs="Arial" w:eastAsia="Arial" w:hAnsi="Arial"/>
                <w:sz w:val="13"/>
                <w:szCs w:val="13"/>
                <w:color w:val="auto"/>
              </w:rPr>
              <w:t>4,872</w:t>
            </w:r>
          </w:p>
        </w:tc>
        <w:tc>
          <w:tcPr>
            <w:tcW w:w="380" w:type="dxa"/>
            <w:vAlign w:val="bottom"/>
            <w:vMerge w:val="restart"/>
            <w:shd w:val="clear" w:color="auto" w:fill="CCECFF"/>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CFF"/>
          </w:tcPr>
          <w:p>
            <w:pPr>
              <w:jc w:val="right"/>
              <w:ind w:right="74"/>
              <w:spacing w:after="0"/>
              <w:rPr>
                <w:sz w:val="20"/>
                <w:szCs w:val="20"/>
                <w:color w:val="auto"/>
              </w:rPr>
            </w:pPr>
            <w:r>
              <w:rPr>
                <w:rFonts w:ascii="Arial" w:cs="Arial" w:eastAsia="Arial" w:hAnsi="Arial"/>
                <w:sz w:val="13"/>
                <w:szCs w:val="13"/>
                <w:color w:val="auto"/>
              </w:rPr>
              <w:t>3,160</w:t>
            </w:r>
          </w:p>
        </w:tc>
        <w:tc>
          <w:tcPr>
            <w:tcW w:w="320" w:type="dxa"/>
            <w:vAlign w:val="bottom"/>
            <w:vMerge w:val="restart"/>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CFF"/>
          </w:tcPr>
          <w:p>
            <w:pPr>
              <w:jc w:val="right"/>
              <w:ind w:right="34"/>
              <w:spacing w:after="0"/>
              <w:rPr>
                <w:sz w:val="20"/>
                <w:szCs w:val="20"/>
                <w:color w:val="auto"/>
              </w:rPr>
            </w:pPr>
            <w:r>
              <w:rPr>
                <w:rFonts w:ascii="Arial" w:cs="Arial" w:eastAsia="Arial" w:hAnsi="Arial"/>
                <w:sz w:val="13"/>
                <w:szCs w:val="13"/>
                <w:color w:val="auto"/>
              </w:rPr>
              <w:t>(67,020 )</w:t>
            </w:r>
          </w:p>
        </w:tc>
        <w:tc>
          <w:tcPr>
            <w:tcW w:w="320" w:type="dxa"/>
            <w:vAlign w:val="bottom"/>
            <w:vMerge w:val="restart"/>
            <w:shd w:val="clear" w:color="auto" w:fill="CCECFF"/>
          </w:tcPr>
          <w:p>
            <w:pPr>
              <w:jc w:val="right"/>
              <w:ind w:right="94"/>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28,668</w:t>
            </w:r>
          </w:p>
        </w:tc>
        <w:tc>
          <w:tcPr>
            <w:tcW w:w="0" w:type="dxa"/>
            <w:vAlign w:val="bottom"/>
          </w:tcPr>
          <w:p>
            <w:pPr>
              <w:spacing w:after="0"/>
              <w:rPr>
                <w:sz w:val="1"/>
                <w:szCs w:val="1"/>
                <w:color w:val="auto"/>
              </w:rPr>
            </w:pPr>
          </w:p>
        </w:tc>
      </w:tr>
      <w:tr>
        <w:trPr>
          <w:trHeight w:val="154"/>
        </w:trPr>
        <w:tc>
          <w:tcPr>
            <w:tcW w:w="4960" w:type="dxa"/>
            <w:vAlign w:val="bottom"/>
            <w:shd w:val="clear" w:color="auto" w:fill="CCECFF"/>
          </w:tcPr>
          <w:p>
            <w:pPr>
              <w:spacing w:after="0"/>
              <w:rPr>
                <w:sz w:val="13"/>
                <w:szCs w:val="13"/>
                <w:color w:val="auto"/>
              </w:rPr>
            </w:pPr>
          </w:p>
        </w:tc>
        <w:tc>
          <w:tcPr>
            <w:tcW w:w="500" w:type="dxa"/>
            <w:vAlign w:val="bottom"/>
            <w:vMerge w:val="continue"/>
            <w:shd w:val="clear" w:color="auto" w:fill="CCECFF"/>
          </w:tcPr>
          <w:p>
            <w:pPr>
              <w:spacing w:after="0"/>
              <w:rPr>
                <w:sz w:val="13"/>
                <w:szCs w:val="13"/>
                <w:color w:val="auto"/>
              </w:rPr>
            </w:pPr>
          </w:p>
        </w:tc>
        <w:tc>
          <w:tcPr>
            <w:tcW w:w="1060" w:type="dxa"/>
            <w:vAlign w:val="bottom"/>
            <w:vMerge w:val="continue"/>
            <w:shd w:val="clear" w:color="auto" w:fill="CCECFF"/>
          </w:tcPr>
          <w:p>
            <w:pPr>
              <w:spacing w:after="0"/>
              <w:rPr>
                <w:sz w:val="13"/>
                <w:szCs w:val="13"/>
                <w:color w:val="auto"/>
              </w:rPr>
            </w:pPr>
          </w:p>
        </w:tc>
        <w:tc>
          <w:tcPr>
            <w:tcW w:w="380" w:type="dxa"/>
            <w:vAlign w:val="bottom"/>
            <w:vMerge w:val="continue"/>
            <w:shd w:val="clear" w:color="auto" w:fill="CCECFF"/>
          </w:tcPr>
          <w:p>
            <w:pPr>
              <w:spacing w:after="0"/>
              <w:rPr>
                <w:sz w:val="13"/>
                <w:szCs w:val="13"/>
                <w:color w:val="auto"/>
              </w:rPr>
            </w:pPr>
          </w:p>
        </w:tc>
        <w:tc>
          <w:tcPr>
            <w:tcW w:w="1020" w:type="dxa"/>
            <w:vAlign w:val="bottom"/>
            <w:vMerge w:val="continue"/>
            <w:shd w:val="clear" w:color="auto" w:fill="CCECFF"/>
          </w:tcPr>
          <w:p>
            <w:pPr>
              <w:spacing w:after="0"/>
              <w:rPr>
                <w:sz w:val="13"/>
                <w:szCs w:val="13"/>
                <w:color w:val="auto"/>
              </w:rPr>
            </w:pPr>
          </w:p>
        </w:tc>
        <w:tc>
          <w:tcPr>
            <w:tcW w:w="320" w:type="dxa"/>
            <w:vAlign w:val="bottom"/>
            <w:vMerge w:val="continue"/>
            <w:shd w:val="clear" w:color="auto" w:fill="CCECFF"/>
          </w:tcPr>
          <w:p>
            <w:pPr>
              <w:spacing w:after="0"/>
              <w:rPr>
                <w:sz w:val="13"/>
                <w:szCs w:val="13"/>
                <w:color w:val="auto"/>
              </w:rPr>
            </w:pPr>
          </w:p>
        </w:tc>
        <w:tc>
          <w:tcPr>
            <w:tcW w:w="1060" w:type="dxa"/>
            <w:vAlign w:val="bottom"/>
            <w:vMerge w:val="continue"/>
            <w:shd w:val="clear" w:color="auto" w:fill="CCECFF"/>
          </w:tcPr>
          <w:p>
            <w:pPr>
              <w:spacing w:after="0"/>
              <w:rPr>
                <w:sz w:val="13"/>
                <w:szCs w:val="13"/>
                <w:color w:val="auto"/>
              </w:rPr>
            </w:pPr>
          </w:p>
        </w:tc>
        <w:tc>
          <w:tcPr>
            <w:tcW w:w="320" w:type="dxa"/>
            <w:vAlign w:val="bottom"/>
            <w:vMerge w:val="continue"/>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rPr>
                <w:sz w:val="20"/>
                <w:szCs w:val="20"/>
                <w:color w:val="auto"/>
              </w:rPr>
            </w:pPr>
            <w:r>
              <w:rPr>
                <w:rFonts w:ascii="Arial" w:cs="Arial" w:eastAsia="Arial" w:hAnsi="Arial"/>
                <w:sz w:val="13"/>
                <w:szCs w:val="13"/>
                <w:color w:val="auto"/>
              </w:rPr>
              <w:t>Denominator for basic and diluted weighted average shares</w:t>
            </w:r>
          </w:p>
        </w:tc>
        <w:tc>
          <w:tcPr>
            <w:tcW w:w="500" w:type="dxa"/>
            <w:vAlign w:val="bottom"/>
          </w:tcPr>
          <w:p>
            <w:pPr>
              <w:spacing w:after="0"/>
              <w:rPr>
                <w:sz w:val="15"/>
                <w:szCs w:val="15"/>
                <w:color w:val="auto"/>
              </w:rPr>
            </w:pPr>
          </w:p>
        </w:tc>
        <w:tc>
          <w:tcPr>
            <w:tcW w:w="1060" w:type="dxa"/>
            <w:vAlign w:val="bottom"/>
          </w:tcPr>
          <w:p>
            <w:pPr>
              <w:jc w:val="right"/>
              <w:ind w:right="74"/>
              <w:spacing w:after="0"/>
              <w:rPr>
                <w:sz w:val="20"/>
                <w:szCs w:val="20"/>
                <w:color w:val="auto"/>
              </w:rPr>
            </w:pPr>
            <w:r>
              <w:rPr>
                <w:rFonts w:ascii="Arial" w:cs="Arial" w:eastAsia="Arial" w:hAnsi="Arial"/>
                <w:sz w:val="13"/>
                <w:szCs w:val="13"/>
                <w:color w:val="auto"/>
              </w:rPr>
              <w:t>65,224,500</w:t>
            </w:r>
          </w:p>
        </w:tc>
        <w:tc>
          <w:tcPr>
            <w:tcW w:w="3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66,747,256</w:t>
            </w:r>
          </w:p>
        </w:tc>
        <w:tc>
          <w:tcPr>
            <w:tcW w:w="320" w:type="dxa"/>
            <w:vAlign w:val="bottom"/>
          </w:tcPr>
          <w:p>
            <w:pPr>
              <w:spacing w:after="0"/>
              <w:rPr>
                <w:sz w:val="15"/>
                <w:szCs w:val="15"/>
                <w:color w:val="auto"/>
              </w:rPr>
            </w:pPr>
          </w:p>
        </w:tc>
        <w:tc>
          <w:tcPr>
            <w:tcW w:w="1060" w:type="dxa"/>
            <w:vAlign w:val="bottom"/>
          </w:tcPr>
          <w:p>
            <w:pPr>
              <w:jc w:val="right"/>
              <w:ind w:right="94"/>
              <w:spacing w:after="0"/>
              <w:rPr>
                <w:sz w:val="20"/>
                <w:szCs w:val="20"/>
                <w:color w:val="auto"/>
              </w:rPr>
            </w:pPr>
            <w:r>
              <w:rPr>
                <w:rFonts w:ascii="Arial" w:cs="Arial" w:eastAsia="Arial" w:hAnsi="Arial"/>
                <w:sz w:val="13"/>
                <w:szCs w:val="13"/>
                <w:color w:val="auto"/>
              </w:rPr>
              <w:t>65,224,500</w:t>
            </w:r>
          </w:p>
        </w:tc>
        <w:tc>
          <w:tcPr>
            <w:tcW w:w="32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66,897,817</w:t>
            </w:r>
          </w:p>
        </w:tc>
        <w:tc>
          <w:tcPr>
            <w:tcW w:w="0" w:type="dxa"/>
            <w:vAlign w:val="bottom"/>
          </w:tcPr>
          <w:p>
            <w:pPr>
              <w:spacing w:after="0"/>
              <w:rPr>
                <w:sz w:val="1"/>
                <w:szCs w:val="1"/>
                <w:color w:val="auto"/>
              </w:rPr>
            </w:pPr>
          </w:p>
        </w:tc>
      </w:tr>
      <w:tr>
        <w:trPr>
          <w:trHeight w:val="166"/>
        </w:trPr>
        <w:tc>
          <w:tcPr>
            <w:tcW w:w="4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Basic and diluted net increase (decrease) in net assets per share resulting from</w:t>
            </w:r>
          </w:p>
        </w:tc>
        <w:tc>
          <w:tcPr>
            <w:tcW w:w="50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operations</w:t>
            </w:r>
          </w:p>
        </w:tc>
        <w:tc>
          <w:tcPr>
            <w:tcW w:w="50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0.07</w:t>
            </w:r>
          </w:p>
        </w:tc>
        <w:tc>
          <w:tcPr>
            <w:tcW w:w="380" w:type="dxa"/>
            <w:vAlign w:val="bottom"/>
            <w:shd w:val="clear" w:color="auto" w:fill="CCECFF"/>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0.05</w:t>
            </w:r>
          </w:p>
        </w:tc>
        <w:tc>
          <w:tcPr>
            <w:tcW w:w="32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(1.03 )</w:t>
            </w:r>
          </w:p>
        </w:tc>
        <w:tc>
          <w:tcPr>
            <w:tcW w:w="320" w:type="dxa"/>
            <w:vAlign w:val="bottom"/>
            <w:shd w:val="clear" w:color="auto" w:fill="CCECFF"/>
          </w:tcPr>
          <w:p>
            <w:pPr>
              <w:jc w:val="right"/>
              <w:ind w:right="94"/>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0.43</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CASH AND CASH EQUIVALENTS</w:t>
      </w:r>
    </w:p>
    <w:p>
      <w:pPr>
        <w:spacing w:after="0" w:line="171" w:lineRule="exact"/>
        <w:rPr>
          <w:sz w:val="20"/>
          <w:szCs w:val="20"/>
          <w:color w:val="auto"/>
        </w:rPr>
      </w:pPr>
    </w:p>
    <w:p>
      <w:pPr>
        <w:ind w:right="80" w:firstLine="420"/>
        <w:spacing w:after="0" w:line="253"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2023 and September 30, 2022, cash and cash equivalents consisted of money market funds in the amounts of $63.1 million and $52.7 million at fair value,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20"/>
                <w:szCs w:val="20"/>
                <w:color w:val="auto"/>
              </w:rPr>
            </w:pPr>
            <w:r>
              <w:rPr>
                <w:rFonts w:ascii="Arial" w:cs="Arial" w:eastAsia="Arial" w:hAnsi="Arial"/>
                <w:sz w:val="13"/>
                <w:szCs w:val="13"/>
                <w:b w:val="1"/>
                <w:bCs w:val="1"/>
                <w:color w:val="auto"/>
              </w:rPr>
              <w:t>9. FINANCIAL HIGHLIGHTS</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6420" w:type="dxa"/>
            <w:vAlign w:val="bottom"/>
          </w:tcPr>
          <w:p>
            <w:pPr>
              <w:ind w:left="420"/>
              <w:spacing w:after="0"/>
              <w:rPr>
                <w:sz w:val="20"/>
                <w:szCs w:val="20"/>
                <w:color w:val="auto"/>
              </w:rPr>
            </w:pPr>
            <w:r>
              <w:rPr>
                <w:rFonts w:ascii="Arial" w:cs="Arial" w:eastAsia="Arial" w:hAnsi="Arial"/>
                <w:sz w:val="13"/>
                <w:szCs w:val="13"/>
                <w:color w:val="auto"/>
              </w:rPr>
              <w:t>Below are the financial highlights ($ in thousands, except share and per share data):</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84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 March 31,</w:t>
            </w:r>
          </w:p>
        </w:tc>
        <w:tc>
          <w:tcPr>
            <w:tcW w:w="1120" w:type="dxa"/>
            <w:vAlign w:val="bottom"/>
            <w:vMerge w:val="restart"/>
          </w:tcPr>
          <w:p>
            <w:pPr>
              <w:jc w:val="right"/>
              <w:ind w:right="73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Per Share Data:</w:t>
            </w:r>
          </w:p>
        </w:tc>
        <w:tc>
          <w:tcPr>
            <w:tcW w:w="110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rPr>
                <w:sz w:val="20"/>
                <w:szCs w:val="20"/>
                <w:color w:val="auto"/>
              </w:rPr>
            </w:pPr>
            <w:r>
              <w:rPr>
                <w:rFonts w:ascii="Arial" w:cs="Arial" w:eastAsia="Arial" w:hAnsi="Arial"/>
                <w:sz w:val="13"/>
                <w:szCs w:val="13"/>
                <w:color w:val="auto"/>
              </w:rPr>
              <w:t>Net asset value, beginning of period</w:t>
            </w:r>
          </w:p>
        </w:tc>
        <w:tc>
          <w:tcPr>
            <w:tcW w:w="1100" w:type="dxa"/>
            <w:vAlign w:val="bottom"/>
          </w:tcPr>
          <w:p>
            <w:pPr>
              <w:jc w:val="right"/>
              <w:ind w:right="934"/>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9.85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 xml:space="preserve">Net investment income </w:t>
            </w:r>
            <w:r>
              <w:rPr>
                <w:rFonts w:ascii="Arial" w:cs="Arial" w:eastAsia="Arial" w:hAnsi="Arial"/>
                <w:sz w:val="16"/>
                <w:szCs w:val="16"/>
                <w:color w:val="auto"/>
                <w:vertAlign w:val="superscript"/>
              </w:rPr>
              <w:t>(1)</w:t>
            </w:r>
          </w:p>
        </w:tc>
        <w:tc>
          <w:tcPr>
            <w:tcW w:w="11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0.41</w:t>
            </w: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0.36</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Net change in realized and unrealized (loss) gain </w:t>
            </w:r>
            <w:r>
              <w:rPr>
                <w:rFonts w:ascii="Arial" w:cs="Arial" w:eastAsia="Arial" w:hAnsi="Arial"/>
                <w:sz w:val="16"/>
                <w:szCs w:val="16"/>
                <w:color w:val="auto"/>
                <w:vertAlign w:val="superscript"/>
              </w:rPr>
              <w:t>(1)</w:t>
            </w:r>
          </w:p>
        </w:tc>
        <w:tc>
          <w:tcPr>
            <w:tcW w:w="11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(1.44 )</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 xml:space="preserve">Net increase (decrease) in net assets resulting from operations </w:t>
            </w:r>
            <w:r>
              <w:rPr>
                <w:rFonts w:ascii="Arial" w:cs="Arial" w:eastAsia="Arial" w:hAnsi="Arial"/>
                <w:sz w:val="16"/>
                <w:szCs w:val="16"/>
                <w:color w:val="auto"/>
                <w:vertAlign w:val="superscript"/>
              </w:rPr>
              <w:t>(1)</w:t>
            </w:r>
          </w:p>
        </w:tc>
        <w:tc>
          <w:tcPr>
            <w:tcW w:w="11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(1.03 )</w:t>
            </w: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0.43</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Distributions to stockholders </w:t>
            </w:r>
            <w:r>
              <w:rPr>
                <w:rFonts w:ascii="Arial" w:cs="Arial" w:eastAsia="Arial" w:hAnsi="Arial"/>
                <w:sz w:val="16"/>
                <w:szCs w:val="16"/>
                <w:color w:val="auto"/>
                <w:vertAlign w:val="superscript"/>
              </w:rPr>
              <w:t>(1), (2)</w:t>
            </w:r>
          </w:p>
        </w:tc>
        <w:tc>
          <w:tcPr>
            <w:tcW w:w="11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(0.35 )</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(0.26 )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 xml:space="preserve">Repurchase of common stock </w:t>
            </w:r>
            <w:r>
              <w:rPr>
                <w:rFonts w:ascii="Arial" w:cs="Arial" w:eastAsia="Arial" w:hAnsi="Arial"/>
                <w:sz w:val="16"/>
                <w:szCs w:val="16"/>
                <w:color w:val="auto"/>
                <w:vertAlign w:val="superscript"/>
              </w:rPr>
              <w:t>(1)</w:t>
            </w:r>
          </w:p>
        </w:tc>
        <w:tc>
          <w:tcPr>
            <w:tcW w:w="1100" w:type="dxa"/>
            <w:vAlign w:val="bottom"/>
            <w:shd w:val="clear" w:color="auto" w:fill="CCECFF"/>
          </w:tcPr>
          <w:p>
            <w:pPr>
              <w:spacing w:after="0"/>
              <w:rPr>
                <w:sz w:val="15"/>
                <w:szCs w:val="15"/>
                <w:color w:val="auto"/>
              </w:rPr>
            </w:pPr>
          </w:p>
        </w:tc>
        <w:tc>
          <w:tcPr>
            <w:tcW w:w="1060" w:type="dxa"/>
            <w:vAlign w:val="bottom"/>
            <w:gridSpan w:val="3"/>
            <w:shd w:val="clear" w:color="auto" w:fill="CCEC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0.03</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rPr>
                <w:sz w:val="20"/>
                <w:szCs w:val="20"/>
                <w:color w:val="auto"/>
              </w:rPr>
            </w:pPr>
            <w:r>
              <w:rPr>
                <w:rFonts w:ascii="Arial" w:cs="Arial" w:eastAsia="Arial" w:hAnsi="Arial"/>
                <w:sz w:val="13"/>
                <w:szCs w:val="13"/>
                <w:color w:val="auto"/>
              </w:rPr>
              <w:t>Net asset value, end of period</w:t>
            </w:r>
          </w:p>
        </w:tc>
        <w:tc>
          <w:tcPr>
            <w:tcW w:w="110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Per share market value, end of period</w:t>
            </w:r>
          </w:p>
        </w:tc>
        <w:tc>
          <w:tcPr>
            <w:tcW w:w="1100" w:type="dxa"/>
            <w:vAlign w:val="bottom"/>
            <w:tcBorders>
              <w:bottom w:val="single" w:sz="8" w:color="auto"/>
            </w:tcBorders>
            <w:shd w:val="clear" w:color="auto" w:fill="CCECFF"/>
          </w:tcPr>
          <w:p>
            <w:pPr>
              <w:jc w:val="right"/>
              <w:ind w:right="93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7.78</w:t>
            </w:r>
          </w:p>
        </w:tc>
        <w:tc>
          <w:tcPr>
            <w:tcW w:w="80" w:type="dxa"/>
            <w:vAlign w:val="bottom"/>
            <w:tcBorders>
              <w:bottom w:val="single" w:sz="8" w:color="CCECFF"/>
            </w:tcBorders>
            <w:shd w:val="clear" w:color="auto" w:fill="CCEC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420" w:type="dxa"/>
            <w:vAlign w:val="bottom"/>
          </w:tcPr>
          <w:p>
            <w:pPr>
              <w:ind w:left="20"/>
              <w:spacing w:after="0" w:line="161" w:lineRule="exact"/>
              <w:rPr>
                <w:sz w:val="20"/>
                <w:szCs w:val="20"/>
                <w:color w:val="auto"/>
              </w:rPr>
            </w:pPr>
            <w:r>
              <w:rPr>
                <w:rFonts w:ascii="Arial" w:cs="Arial" w:eastAsia="Arial" w:hAnsi="Arial"/>
                <w:sz w:val="13"/>
                <w:szCs w:val="13"/>
                <w:color w:val="auto"/>
              </w:rPr>
              <w:t>Total return</w:t>
            </w:r>
            <w:r>
              <w:rPr>
                <w:rFonts w:ascii="Arial" w:cs="Arial" w:eastAsia="Arial" w:hAnsi="Arial"/>
                <w:sz w:val="16"/>
                <w:szCs w:val="16"/>
                <w:color w:val="auto"/>
                <w:vertAlign w:val="superscript"/>
              </w:rPr>
              <w:t>* (3)</w:t>
            </w:r>
          </w:p>
        </w:tc>
        <w:tc>
          <w:tcPr>
            <w:tcW w:w="110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2.96 %</w:t>
            </w:r>
          </w:p>
        </w:tc>
        <w:tc>
          <w:tcPr>
            <w:tcW w:w="7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24.09 %</w:t>
            </w: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Shares outstanding at end of period</w:t>
            </w:r>
          </w:p>
        </w:tc>
        <w:tc>
          <w:tcPr>
            <w:tcW w:w="110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65,224,500</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66,131,651</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b w:val="1"/>
                <w:bCs w:val="1"/>
                <w:color w:val="auto"/>
              </w:rPr>
              <w:t>Ratios</w:t>
            </w:r>
            <w:r>
              <w:rPr>
                <w:rFonts w:ascii="Arial" w:cs="Arial" w:eastAsia="Arial" w:hAnsi="Arial"/>
                <w:sz w:val="16"/>
                <w:szCs w:val="16"/>
                <w:b w:val="1"/>
                <w:bCs w:val="1"/>
                <w:color w:val="auto"/>
                <w:vertAlign w:val="superscript"/>
              </w:rPr>
              <w:t>**</w:t>
            </w:r>
            <w:r>
              <w:rPr>
                <w:rFonts w:ascii="Arial" w:cs="Arial" w:eastAsia="Arial" w:hAnsi="Arial"/>
                <w:sz w:val="13"/>
                <w:szCs w:val="13"/>
                <w:b w:val="1"/>
                <w:bCs w:val="1"/>
                <w:color w:val="auto"/>
              </w:rPr>
              <w:t xml:space="preserve"> / Supplemental Data:</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Ratio of operating expenses to average net assets </w:t>
            </w:r>
            <w:r>
              <w:rPr>
                <w:rFonts w:ascii="Arial" w:cs="Arial" w:eastAsia="Arial" w:hAnsi="Arial"/>
                <w:sz w:val="16"/>
                <w:szCs w:val="16"/>
                <w:color w:val="auto"/>
                <w:vertAlign w:val="superscript"/>
              </w:rPr>
              <w:t>(4)</w:t>
            </w:r>
          </w:p>
        </w:tc>
        <w:tc>
          <w:tcPr>
            <w:tcW w:w="110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7.11 %</w:t>
            </w:r>
          </w:p>
        </w:tc>
        <w:tc>
          <w:tcPr>
            <w:tcW w:w="7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4.55 %</w:t>
            </w: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Ratio of debt related expenses to average net assets </w:t>
            </w:r>
            <w:r>
              <w:rPr>
                <w:rFonts w:ascii="Arial" w:cs="Arial" w:eastAsia="Arial" w:hAnsi="Arial"/>
                <w:sz w:val="16"/>
                <w:szCs w:val="16"/>
                <w:color w:val="auto"/>
                <w:vertAlign w:val="superscript"/>
              </w:rPr>
              <w:t>(5)</w:t>
            </w:r>
          </w:p>
        </w:tc>
        <w:tc>
          <w:tcPr>
            <w:tcW w:w="11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7.55 %</w:t>
            </w:r>
          </w:p>
        </w:tc>
        <w:tc>
          <w:tcPr>
            <w:tcW w:w="7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4.03 %</w:t>
            </w: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Ratio of total expenses to average net assets </w:t>
            </w:r>
            <w:r>
              <w:rPr>
                <w:rFonts w:ascii="Arial" w:cs="Arial" w:eastAsia="Arial" w:hAnsi="Arial"/>
                <w:sz w:val="16"/>
                <w:szCs w:val="16"/>
                <w:color w:val="auto"/>
                <w:vertAlign w:val="superscript"/>
              </w:rPr>
              <w:t>(5)</w:t>
            </w:r>
          </w:p>
        </w:tc>
        <w:tc>
          <w:tcPr>
            <w:tcW w:w="11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14.66 %</w:t>
            </w:r>
          </w:p>
        </w:tc>
        <w:tc>
          <w:tcPr>
            <w:tcW w:w="7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8.58 %</w:t>
            </w:r>
          </w:p>
        </w:tc>
        <w:tc>
          <w:tcPr>
            <w:tcW w:w="0" w:type="dxa"/>
            <w:vAlign w:val="bottom"/>
          </w:tcPr>
          <w:p>
            <w:pPr>
              <w:spacing w:after="0"/>
              <w:rPr>
                <w:sz w:val="1"/>
                <w:szCs w:val="1"/>
                <w:color w:val="auto"/>
              </w:rPr>
            </w:pPr>
          </w:p>
        </w:tc>
      </w:tr>
      <w:tr>
        <w:trPr>
          <w:trHeight w:val="190"/>
        </w:trPr>
        <w:tc>
          <w:tcPr>
            <w:tcW w:w="6420" w:type="dxa"/>
            <w:vAlign w:val="bottom"/>
          </w:tcPr>
          <w:p>
            <w:pPr>
              <w:ind w:left="20"/>
              <w:spacing w:after="0"/>
              <w:rPr>
                <w:sz w:val="20"/>
                <w:szCs w:val="20"/>
                <w:color w:val="auto"/>
              </w:rPr>
            </w:pPr>
            <w:r>
              <w:rPr>
                <w:rFonts w:ascii="Arial" w:cs="Arial" w:eastAsia="Arial" w:hAnsi="Arial"/>
                <w:sz w:val="13"/>
                <w:szCs w:val="13"/>
                <w:color w:val="auto"/>
              </w:rPr>
              <w:t xml:space="preserve">Ratio of net investment income to average net assets </w:t>
            </w:r>
            <w:r>
              <w:rPr>
                <w:rFonts w:ascii="Arial" w:cs="Arial" w:eastAsia="Arial" w:hAnsi="Arial"/>
                <w:sz w:val="16"/>
                <w:szCs w:val="16"/>
                <w:color w:val="auto"/>
                <w:vertAlign w:val="superscript"/>
              </w:rPr>
              <w:t>(5)</w:t>
            </w:r>
          </w:p>
        </w:tc>
        <w:tc>
          <w:tcPr>
            <w:tcW w:w="110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10.09 %</w:t>
            </w:r>
          </w:p>
        </w:tc>
        <w:tc>
          <w:tcPr>
            <w:tcW w:w="7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7.30 %</w:t>
            </w: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assets at end of period</w:t>
            </w:r>
          </w:p>
        </w:tc>
        <w:tc>
          <w:tcPr>
            <w:tcW w:w="1100" w:type="dxa"/>
            <w:vAlign w:val="bottom"/>
            <w:shd w:val="clear" w:color="auto" w:fill="CCECFF"/>
          </w:tcPr>
          <w:p>
            <w:pPr>
              <w:jc w:val="right"/>
              <w:ind w:right="93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495,715</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664,325</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Weighted average debt outstanding</w:t>
            </w:r>
            <w:r>
              <w:rPr>
                <w:rFonts w:ascii="Arial" w:cs="Arial" w:eastAsia="Arial" w:hAnsi="Arial"/>
                <w:sz w:val="16"/>
                <w:szCs w:val="16"/>
                <w:color w:val="auto"/>
                <w:vertAlign w:val="superscript"/>
              </w:rPr>
              <w:t>(6)</w:t>
            </w:r>
          </w:p>
        </w:tc>
        <w:tc>
          <w:tcPr>
            <w:tcW w:w="1100" w:type="dxa"/>
            <w:vAlign w:val="bottom"/>
          </w:tcPr>
          <w:p>
            <w:pPr>
              <w:jc w:val="right"/>
              <w:ind w:right="934"/>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700,434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558,399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 xml:space="preserve">Weighted average debt per share </w:t>
            </w:r>
            <w:r>
              <w:rPr>
                <w:rFonts w:ascii="Arial" w:cs="Arial" w:eastAsia="Arial" w:hAnsi="Arial"/>
                <w:sz w:val="16"/>
                <w:szCs w:val="16"/>
                <w:color w:val="auto"/>
                <w:vertAlign w:val="superscript"/>
              </w:rPr>
              <w:t>(1)(6)</w:t>
            </w:r>
          </w:p>
        </w:tc>
        <w:tc>
          <w:tcPr>
            <w:tcW w:w="1100" w:type="dxa"/>
            <w:vAlign w:val="bottom"/>
            <w:shd w:val="clear" w:color="auto" w:fill="CCECFF"/>
          </w:tcPr>
          <w:p>
            <w:pPr>
              <w:jc w:val="right"/>
              <w:ind w:right="93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8.37</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Asset coverage per unit </w:t>
            </w:r>
            <w:r>
              <w:rPr>
                <w:rFonts w:ascii="Arial" w:cs="Arial" w:eastAsia="Arial" w:hAnsi="Arial"/>
                <w:sz w:val="16"/>
                <w:szCs w:val="16"/>
                <w:color w:val="auto"/>
                <w:vertAlign w:val="superscript"/>
              </w:rPr>
              <w:t>(7)</w:t>
            </w:r>
          </w:p>
        </w:tc>
        <w:tc>
          <w:tcPr>
            <w:tcW w:w="1100" w:type="dxa"/>
            <w:vAlign w:val="bottom"/>
          </w:tcPr>
          <w:p>
            <w:pPr>
              <w:jc w:val="right"/>
              <w:ind w:right="934"/>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2,271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Portfolio turnover rate</w:t>
            </w:r>
            <w:r>
              <w:rPr>
                <w:rFonts w:ascii="Arial" w:cs="Arial" w:eastAsia="Arial" w:hAnsi="Arial"/>
                <w:sz w:val="16"/>
                <w:szCs w:val="16"/>
                <w:color w:val="auto"/>
                <w:vertAlign w:val="superscript"/>
              </w:rPr>
              <w:t>*</w:t>
            </w:r>
          </w:p>
        </w:tc>
        <w:tc>
          <w:tcPr>
            <w:tcW w:w="11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12.11 %</w:t>
            </w:r>
          </w:p>
        </w:tc>
        <w:tc>
          <w:tcPr>
            <w:tcW w:w="7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35.66 %</w:t>
            </w:r>
          </w:p>
        </w:tc>
        <w:tc>
          <w:tcPr>
            <w:tcW w:w="0" w:type="dxa"/>
            <w:vAlign w:val="bottom"/>
          </w:tcPr>
          <w:p>
            <w:pPr>
              <w:spacing w:after="0"/>
              <w:rPr>
                <w:sz w:val="1"/>
                <w:szCs w:val="1"/>
                <w:color w:val="auto"/>
              </w:rPr>
            </w:pPr>
          </w:p>
        </w:tc>
      </w:tr>
    </w:tbl>
    <w:p>
      <w:pPr>
        <w:spacing w:after="0" w:line="3" w:lineRule="exact"/>
        <w:rPr>
          <w:sz w:val="20"/>
          <w:szCs w:val="20"/>
          <w:color w:val="auto"/>
        </w:rPr>
      </w:pPr>
    </w:p>
    <w:p>
      <w:pPr>
        <w:ind w:right="8580" w:firstLine="6"/>
        <w:spacing w:after="0" w:line="320" w:lineRule="auto"/>
        <w:tabs>
          <w:tab w:leader="none" w:pos="60" w:val="left"/>
        </w:tabs>
        <w:numPr>
          <w:ilvl w:val="0"/>
          <w:numId w:val="10"/>
        </w:numPr>
        <w:rPr>
          <w:rFonts w:ascii="Arial" w:cs="Arial" w:eastAsia="Arial" w:hAnsi="Arial"/>
          <w:sz w:val="8"/>
          <w:szCs w:val="8"/>
          <w:b w:val="1"/>
          <w:bCs w:val="1"/>
          <w:color w:val="auto"/>
        </w:rPr>
      </w:pPr>
      <w:r>
        <w:rPr>
          <w:rFonts w:ascii="Arial" w:cs="Arial" w:eastAsia="Arial" w:hAnsi="Arial"/>
          <w:sz w:val="8"/>
          <w:szCs w:val="8"/>
          <w:color w:val="auto"/>
        </w:rPr>
        <w:t xml:space="preserve">Not annualized for periods less than one year. </w:t>
      </w:r>
      <w:r>
        <w:rPr>
          <w:rFonts w:ascii="Arial" w:cs="Arial" w:eastAsia="Arial" w:hAnsi="Arial"/>
          <w:sz w:val="8"/>
          <w:szCs w:val="8"/>
          <w:b w:val="1"/>
          <w:bCs w:val="1"/>
          <w:color w:val="auto"/>
        </w:rPr>
        <w:t xml:space="preserve">** </w:t>
      </w:r>
      <w:r>
        <w:rPr>
          <w:rFonts w:ascii="Arial" w:cs="Arial" w:eastAsia="Arial" w:hAnsi="Arial"/>
          <w:sz w:val="8"/>
          <w:szCs w:val="8"/>
          <w:color w:val="auto"/>
        </w:rPr>
        <w:t>Annualized for periods less than one year.</w:t>
      </w:r>
    </w:p>
    <w:p>
      <w:pPr>
        <w:spacing w:after="0" w:line="185"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Based on the weighted average shares outstanding for the respective periods.</w:t>
      </w:r>
    </w:p>
    <w:p>
      <w:pPr>
        <w:spacing w:after="0" w:line="185"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The tax status of distributions is calculated in accordance with income tax regulations, which may differ from amounts determined under GAAP, and reported on Form 1099-DIV each calendar year.</w:t>
      </w:r>
    </w:p>
    <w:p>
      <w:pPr>
        <w:spacing w:after="0" w:line="184"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0"/>
          <w:szCs w:val="10"/>
          <w:color w:val="auto"/>
        </w:rPr>
        <w:t>Based on the change in market price per share during the periods and assumes distributions, if any, are reinvested.</w:t>
      </w:r>
    </w:p>
    <w:p>
      <w:pPr>
        <w:spacing w:after="0" w:line="185"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0"/>
          <w:szCs w:val="10"/>
          <w:color w:val="auto"/>
        </w:rPr>
        <w:t>Excludes debt-related costs.</w:t>
      </w:r>
    </w:p>
    <w:p>
      <w:pPr>
        <w:spacing w:after="0" w:line="184" w:lineRule="auto"/>
        <w:rPr>
          <w:sz w:val="20"/>
          <w:szCs w:val="20"/>
          <w:color w:val="auto"/>
        </w:rPr>
      </w:pPr>
      <w:r>
        <w:rPr>
          <w:rFonts w:ascii="Arial" w:cs="Arial" w:eastAsia="Arial" w:hAnsi="Arial"/>
          <w:sz w:val="19"/>
          <w:szCs w:val="19"/>
          <w:color w:val="auto"/>
          <w:vertAlign w:val="superscript"/>
        </w:rPr>
        <w:t>(5)</w:t>
      </w:r>
      <w:r>
        <w:rPr>
          <w:rFonts w:ascii="Arial" w:cs="Arial" w:eastAsia="Arial" w:hAnsi="Arial"/>
          <w:sz w:val="10"/>
          <w:szCs w:val="10"/>
          <w:color w:val="auto"/>
        </w:rPr>
        <w:t>Includes interest and expenses on debt (annualized) as well as Credit Facility amendment, debt issuance costs and excludes debt extinguishment cost, if any, (not annualized).</w:t>
      </w:r>
    </w:p>
    <w:p>
      <w:pPr>
        <w:spacing w:after="0" w:line="185" w:lineRule="auto"/>
        <w:rPr>
          <w:sz w:val="20"/>
          <w:szCs w:val="20"/>
          <w:color w:val="auto"/>
        </w:rPr>
      </w:pPr>
      <w:r>
        <w:rPr>
          <w:rFonts w:ascii="Arial" w:cs="Arial" w:eastAsia="Arial" w:hAnsi="Arial"/>
          <w:sz w:val="19"/>
          <w:szCs w:val="19"/>
          <w:color w:val="auto"/>
          <w:vertAlign w:val="superscript"/>
        </w:rPr>
        <w:t>(6)</w:t>
      </w:r>
      <w:r>
        <w:rPr>
          <w:rFonts w:ascii="Arial" w:cs="Arial" w:eastAsia="Arial" w:hAnsi="Arial"/>
          <w:sz w:val="10"/>
          <w:szCs w:val="10"/>
          <w:color w:val="auto"/>
        </w:rPr>
        <w:t>Includes SBA debentures outstanding.</w:t>
      </w:r>
    </w:p>
    <w:p>
      <w:pPr>
        <w:jc w:val="both"/>
        <w:ind w:right="60"/>
        <w:spacing w:after="0" w:line="215" w:lineRule="auto"/>
        <w:rPr>
          <w:sz w:val="20"/>
          <w:szCs w:val="20"/>
          <w:color w:val="auto"/>
        </w:rPr>
      </w:pPr>
      <w:r>
        <w:rPr>
          <w:rFonts w:ascii="Arial" w:cs="Arial" w:eastAsia="Arial" w:hAnsi="Arial"/>
          <w:sz w:val="19"/>
          <w:szCs w:val="19"/>
          <w:color w:val="auto"/>
          <w:vertAlign w:val="superscript"/>
        </w:rPr>
        <w:t>(7)</w:t>
      </w:r>
      <w:r>
        <w:rPr>
          <w:rFonts w:ascii="Arial" w:cs="Arial" w:eastAsia="Arial" w:hAnsi="Arial"/>
          <w:sz w:val="10"/>
          <w:szCs w:val="10"/>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ectPr>
          <w:pgSz w:w="11900" w:h="16840" w:orient="portrait"/>
          <w:cols w:equalWidth="0" w:num="1">
            <w:col w:w="10600"/>
          </w:cols>
          <w:pgMar w:left="660" w:top="554" w:right="640" w:bottom="1440" w:gutter="0" w:footer="0" w:header="0"/>
        </w:sectPr>
      </w:pPr>
    </w:p>
    <w:bookmarkStart w:id="33" w:name="page34"/>
    <w:bookmarkEnd w:id="33"/>
    <w:p>
      <w:pPr>
        <w:jc w:val="center"/>
        <w:ind w:right="12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March 31, 2023</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DEBT</w:t>
      </w:r>
    </w:p>
    <w:p>
      <w:pPr>
        <w:spacing w:after="0" w:line="171" w:lineRule="exact"/>
        <w:rPr>
          <w:sz w:val="20"/>
          <w:szCs w:val="20"/>
          <w:color w:val="auto"/>
        </w:rPr>
      </w:pPr>
    </w:p>
    <w:p>
      <w:pPr>
        <w:jc w:val="both"/>
        <w:ind w:right="40" w:firstLine="420"/>
        <w:spacing w:after="0" w:line="259" w:lineRule="auto"/>
        <w:rPr>
          <w:sz w:val="20"/>
          <w:szCs w:val="20"/>
          <w:color w:val="auto"/>
        </w:rPr>
      </w:pPr>
      <w:r>
        <w:rPr>
          <w:rFonts w:ascii="Arial" w:cs="Arial" w:eastAsia="Arial" w:hAnsi="Arial"/>
          <w:sz w:val="13"/>
          <w:szCs w:val="13"/>
          <w:color w:val="auto"/>
        </w:rPr>
        <w:t>The annualized weighted average cost of debt for the six months ended March 31, 2023 and 2022, inclusive of the fee on the undrawn commitment and amendment costs on the Truist Credit Facility and amortized upfront fees on 2026 Notes and 2026 Notes -2, was 5.8% and 4.8%, respectively. As of March 31, 2023,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w:t>
      </w:r>
    </w:p>
    <w:p>
      <w:pPr>
        <w:spacing w:after="0" w:line="135"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Secti377.4on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$ 2 of debt outstanding for each $1 of equity), subject to compliance with certain disclosure requirements. As of March 31, 2023 and September 30, 2022, our asset coverage ratio, as computed in accordance with the 1940 Act, was 170% and 186%,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Truist Credit Facility</w:t>
      </w:r>
    </w:p>
    <w:p>
      <w:pPr>
        <w:spacing w:after="0" w:line="171" w:lineRule="exact"/>
        <w:rPr>
          <w:sz w:val="20"/>
          <w:szCs w:val="20"/>
          <w:color w:val="auto"/>
        </w:rPr>
      </w:pPr>
    </w:p>
    <w:p>
      <w:pPr>
        <w:ind w:right="40" w:firstLine="420"/>
        <w:spacing w:after="0" w:line="253" w:lineRule="auto"/>
        <w:rPr>
          <w:sz w:val="20"/>
          <w:szCs w:val="20"/>
          <w:color w:val="auto"/>
        </w:rPr>
      </w:pPr>
      <w:r>
        <w:rPr>
          <w:rFonts w:ascii="Arial" w:cs="Arial" w:eastAsia="Arial" w:hAnsi="Arial"/>
          <w:sz w:val="13"/>
          <w:szCs w:val="13"/>
          <w:color w:val="auto"/>
        </w:rPr>
        <w:t>As of March 31, 2023, we had the multi-currency Truist Credit Facility for up to $500.0 million (increased from $ 465.0 million in July 2022),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March 31, 2023 and September 30, 2022, we had $377.4 million and $385.9 million, respectively, in outstanding borrowings under the Truist Credit Facility. The Truist Credit Facility had a weighted average interest rate of 7.1% and 5.3%, respectively, exclusive of the fee on undrawn commitment, as of March 31, 2023 and September 30, 2022. The Truist Credit Facility is a revolving facility with a stated maturity date of July 29, 2027 for $475.0 million out of the total $500.0 million commitments (with the revolving period with respect to the remaining $25.0 million of commitments expiring on September 4, 2023 and the related obligations maturing on September 4, 2024) and pricing set at 235 basis points over SOFR (or an alternative risk-free floating interest rate index). As of March 31, 2023 and September 30, 2022, we had $122.6 million and $114.1 million of unused borrowing capacity under the Truist Credit Facility, respectively, subject to leverage and borrowing base restrictions. The Truist Credit Facility is secured by substantially all of our assets, excluding assets held by SBIC II. As of March 31, 2023, we were in compliance with the terms of the Truist Credit Facility.</w:t>
      </w: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SBA Debentures</w:t>
      </w:r>
    </w:p>
    <w:p>
      <w:pPr>
        <w:spacing w:after="0" w:line="171" w:lineRule="exact"/>
        <w:rPr>
          <w:sz w:val="20"/>
          <w:szCs w:val="20"/>
          <w:color w:val="auto"/>
        </w:rPr>
      </w:pPr>
    </w:p>
    <w:p>
      <w:pPr>
        <w:ind w:right="40" w:firstLine="420"/>
        <w:spacing w:after="0" w:line="255"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zero and $ 20.0 million as of March 31, 2023 and September 30, 2022, respectively. SBA debentures are non-recourse to us and may be prepaid at any time without penalty. The interest rate of SBA debentures is fixed at the time of issuance, often referred to as pooling, at a market- driven spread over 10- 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39"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As of both March 31, 2023 and September 30, 2022, SBIC II had an initial $150.0 million in debt commitments, all of which were drawn. During the three and six months ended March 31, 2023, $20.0 million and $20.0 million of SBA debentures were repaid, respectively. During the three and six months ended March 31, 2022, $36.0 million and $ 36.0 million in SBA debentures were repaid, resectively. The SBA debentures’ upfront fees of 3.4% consist of a commitment fee of 1.0% and an issuance discount of 2.4%, which are being amortized. As of March 31, 2023 and September 30, 2022, the unamortized fees on the SBA debentures was zero and $0.3 million, respectively. We repaid the remaining $20.0 million SBA debentures during the three months ended March 31, 2022.</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fixed-rate SBA debentures were as follows ($ in thousands):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7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900" w:type="dxa"/>
            <w:vAlign w:val="bottom"/>
            <w:vMerge w:val="restart"/>
          </w:tcPr>
          <w:p>
            <w:pPr>
              <w:jc w:val="right"/>
              <w:ind w:right="514"/>
              <w:spacing w:after="0"/>
              <w:rPr>
                <w:sz w:val="20"/>
                <w:szCs w:val="20"/>
                <w:color w:val="auto"/>
              </w:rPr>
            </w:pPr>
            <w:r>
              <w:rPr>
                <w:rFonts w:ascii="Arial" w:cs="Arial" w:eastAsia="Arial" w:hAnsi="Arial"/>
                <w:sz w:val="13"/>
                <w:szCs w:val="13"/>
                <w:b w:val="1"/>
                <w:bCs w:val="1"/>
                <w:color w:val="auto"/>
              </w:rPr>
              <w:t xml:space="preserve">Fixed All-in Coupon Rate </w:t>
            </w:r>
            <w:r>
              <w:rPr>
                <w:rFonts w:ascii="Arial" w:cs="Arial" w:eastAsia="Arial" w:hAnsi="Arial"/>
                <w:sz w:val="16"/>
                <w:szCs w:val="16"/>
                <w:b w:val="1"/>
                <w:bCs w:val="1"/>
                <w:color w:val="auto"/>
                <w:vertAlign w:val="superscript"/>
              </w:rPr>
              <w:t>(1)</w:t>
            </w:r>
          </w:p>
        </w:tc>
        <w:tc>
          <w:tcPr>
            <w:tcW w:w="340" w:type="dxa"/>
            <w:vAlign w:val="bottom"/>
          </w:tcPr>
          <w:p>
            <w:pPr>
              <w:spacing w:after="0"/>
              <w:rPr>
                <w:sz w:val="13"/>
                <w:szCs w:val="13"/>
                <w:color w:val="auto"/>
              </w:rPr>
            </w:pPr>
          </w:p>
        </w:tc>
        <w:tc>
          <w:tcPr>
            <w:tcW w:w="1980" w:type="dxa"/>
            <w:vAlign w:val="bottom"/>
          </w:tcPr>
          <w:p>
            <w:pPr>
              <w:jc w:val="center"/>
              <w:ind w:right="114"/>
              <w:spacing w:after="0"/>
              <w:rPr>
                <w:sz w:val="20"/>
                <w:szCs w:val="20"/>
                <w:color w:val="auto"/>
              </w:rPr>
            </w:pPr>
            <w:r>
              <w:rPr>
                <w:rFonts w:ascii="Arial" w:cs="Arial" w:eastAsia="Arial" w:hAnsi="Arial"/>
                <w:sz w:val="13"/>
                <w:szCs w:val="13"/>
                <w:b w:val="1"/>
                <w:bCs w:val="1"/>
                <w:color w:val="auto"/>
              </w:rPr>
              <w:t>As of September 30, 2022</w:t>
            </w:r>
          </w:p>
        </w:tc>
        <w:tc>
          <w:tcPr>
            <w:tcW w:w="0" w:type="dxa"/>
            <w:vAlign w:val="bottom"/>
          </w:tcPr>
          <w:p>
            <w:pPr>
              <w:spacing w:after="0"/>
              <w:rPr>
                <w:sz w:val="1"/>
                <w:szCs w:val="1"/>
                <w:color w:val="auto"/>
              </w:rPr>
            </w:pPr>
          </w:p>
        </w:tc>
      </w:tr>
      <w:tr>
        <w:trPr>
          <w:trHeight w:val="188"/>
        </w:trPr>
        <w:tc>
          <w:tcPr>
            <w:tcW w:w="2740" w:type="dxa"/>
            <w:vAlign w:val="bottom"/>
          </w:tcPr>
          <w:p>
            <w:pPr>
              <w:ind w:left="1100"/>
              <w:spacing w:after="0"/>
              <w:rPr>
                <w:sz w:val="20"/>
                <w:szCs w:val="20"/>
                <w:color w:val="auto"/>
              </w:rPr>
            </w:pPr>
            <w:r>
              <w:rPr>
                <w:rFonts w:ascii="Arial" w:cs="Arial" w:eastAsia="Arial" w:hAnsi="Arial"/>
                <w:sz w:val="13"/>
                <w:szCs w:val="13"/>
                <w:b w:val="1"/>
                <w:bCs w:val="1"/>
                <w:color w:val="auto"/>
              </w:rPr>
              <w:t>Issuance Dates</w:t>
            </w:r>
          </w:p>
        </w:tc>
        <w:tc>
          <w:tcPr>
            <w:tcW w:w="2480" w:type="dxa"/>
            <w:vAlign w:val="bottom"/>
          </w:tcPr>
          <w:p>
            <w:pPr>
              <w:ind w:left="1380"/>
              <w:spacing w:after="0"/>
              <w:rPr>
                <w:sz w:val="20"/>
                <w:szCs w:val="20"/>
                <w:color w:val="auto"/>
              </w:rPr>
            </w:pPr>
            <w:r>
              <w:rPr>
                <w:rFonts w:ascii="Arial" w:cs="Arial" w:eastAsia="Arial" w:hAnsi="Arial"/>
                <w:sz w:val="13"/>
                <w:szCs w:val="13"/>
                <w:b w:val="1"/>
                <w:bCs w:val="1"/>
                <w:color w:val="auto"/>
              </w:rPr>
              <w:t>Maturity</w:t>
            </w:r>
          </w:p>
        </w:tc>
        <w:tc>
          <w:tcPr>
            <w:tcW w:w="2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jc w:val="center"/>
              <w:ind w:right="134"/>
              <w:spacing w:after="0"/>
              <w:rPr>
                <w:sz w:val="20"/>
                <w:szCs w:val="20"/>
                <w:color w:val="auto"/>
              </w:rPr>
            </w:pPr>
            <w:r>
              <w:rPr>
                <w:rFonts w:ascii="Arial" w:cs="Arial" w:eastAsia="Arial" w:hAnsi="Arial"/>
                <w:sz w:val="13"/>
                <w:szCs w:val="13"/>
                <w:b w:val="1"/>
                <w:bCs w:val="1"/>
                <w:color w:val="auto"/>
              </w:rPr>
              <w:t>Principal Balance</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20"/>
                <w:szCs w:val="20"/>
                <w:color w:val="auto"/>
              </w:rPr>
            </w:pPr>
            <w:r>
              <w:rPr>
                <w:rFonts w:ascii="Arial" w:cs="Arial" w:eastAsia="Arial" w:hAnsi="Arial"/>
                <w:sz w:val="13"/>
                <w:szCs w:val="13"/>
                <w:color w:val="auto"/>
              </w:rPr>
              <w:t>September 20, 2017</w:t>
            </w:r>
          </w:p>
        </w:tc>
        <w:tc>
          <w:tcPr>
            <w:tcW w:w="2480" w:type="dxa"/>
            <w:vAlign w:val="bottom"/>
          </w:tcPr>
          <w:p>
            <w:pPr>
              <w:ind w:left="680"/>
              <w:spacing w:after="0"/>
              <w:rPr>
                <w:sz w:val="20"/>
                <w:szCs w:val="20"/>
                <w:color w:val="auto"/>
              </w:rPr>
            </w:pPr>
            <w:r>
              <w:rPr>
                <w:rFonts w:ascii="Arial" w:cs="Arial" w:eastAsia="Arial" w:hAnsi="Arial"/>
                <w:sz w:val="13"/>
                <w:szCs w:val="13"/>
                <w:color w:val="auto"/>
              </w:rPr>
              <w:t>September 1, 2027</w:t>
            </w:r>
          </w:p>
        </w:tc>
        <w:tc>
          <w:tcPr>
            <w:tcW w:w="2900" w:type="dxa"/>
            <w:vAlign w:val="bottom"/>
          </w:tcPr>
          <w:p>
            <w:pPr>
              <w:jc w:val="right"/>
              <w:ind w:right="74"/>
              <w:spacing w:after="0"/>
              <w:rPr>
                <w:sz w:val="20"/>
                <w:szCs w:val="20"/>
                <w:color w:val="auto"/>
              </w:rPr>
            </w:pPr>
            <w:r>
              <w:rPr>
                <w:rFonts w:ascii="Arial" w:cs="Arial" w:eastAsia="Arial" w:hAnsi="Arial"/>
                <w:sz w:val="13"/>
                <w:szCs w:val="13"/>
                <w:color w:val="auto"/>
              </w:rPr>
              <w:t>2.9 %</w:t>
            </w:r>
          </w:p>
        </w:tc>
        <w:tc>
          <w:tcPr>
            <w:tcW w:w="3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980" w:type="dxa"/>
            <w:vAlign w:val="bottom"/>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11201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vertAlign w:val="superscript"/>
        </w:rPr>
        <w:t>(1)</w:t>
      </w:r>
      <w:r>
        <w:rPr>
          <w:rFonts w:ascii="Arial" w:cs="Arial" w:eastAsia="Arial" w:hAnsi="Arial"/>
          <w:sz w:val="11"/>
          <w:szCs w:val="11"/>
          <w:color w:val="auto"/>
        </w:rPr>
        <w:t>Excluding 3.4% of upfront fees.</w:t>
      </w:r>
    </w:p>
    <w:p>
      <w:pPr>
        <w:spacing w:after="0" w:line="89"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2024 Notes</w:t>
      </w:r>
    </w:p>
    <w:p>
      <w:pPr>
        <w:spacing w:after="0" w:line="171" w:lineRule="exact"/>
        <w:rPr>
          <w:sz w:val="20"/>
          <w:szCs w:val="20"/>
          <w:color w:val="auto"/>
        </w:rPr>
      </w:pPr>
    </w:p>
    <w:p>
      <w:pPr>
        <w:ind w:right="280" w:firstLine="420"/>
        <w:spacing w:after="0" w:line="263" w:lineRule="auto"/>
        <w:rPr>
          <w:sz w:val="20"/>
          <w:szCs w:val="20"/>
          <w:color w:val="auto"/>
        </w:rPr>
      </w:pPr>
      <w:r>
        <w:rPr>
          <w:rFonts w:ascii="Arial" w:cs="Arial" w:eastAsia="Arial" w:hAnsi="Arial"/>
          <w:sz w:val="13"/>
          <w:szCs w:val="13"/>
          <w:color w:val="auto"/>
        </w:rPr>
        <w:t>As of March 31, 2023 and September 30, 2022, we had zero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at a rate of 5.5% per year.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2026 Notes</w:t>
      </w:r>
    </w:p>
    <w:p>
      <w:pPr>
        <w:spacing w:after="0" w:line="171" w:lineRule="exact"/>
        <w:rPr>
          <w:sz w:val="20"/>
          <w:szCs w:val="20"/>
          <w:color w:val="auto"/>
        </w:rPr>
      </w:pPr>
    </w:p>
    <w:p>
      <w:pPr>
        <w:ind w:right="120" w:firstLine="696"/>
        <w:spacing w:after="0" w:line="255" w:lineRule="auto"/>
        <w:rPr>
          <w:sz w:val="20"/>
          <w:szCs w:val="20"/>
          <w:color w:val="auto"/>
        </w:rPr>
      </w:pPr>
      <w:r>
        <w:rPr>
          <w:rFonts w:ascii="Arial" w:cs="Arial" w:eastAsia="Arial" w:hAnsi="Arial"/>
          <w:sz w:val="13"/>
          <w:szCs w:val="13"/>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4" w:right="620" w:bottom="1440" w:gutter="0" w:footer="0" w:header="0"/>
        </w:sectPr>
      </w:pPr>
    </w:p>
    <w:bookmarkStart w:id="34" w:name="page35"/>
    <w:bookmarkEnd w:id="34"/>
    <w:p>
      <w:pPr>
        <w:jc w:val="center"/>
        <w:ind w:right="10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2026 Notes-2</w:t>
      </w:r>
    </w:p>
    <w:p>
      <w:pPr>
        <w:spacing w:after="0" w:line="171" w:lineRule="exact"/>
        <w:rPr>
          <w:sz w:val="20"/>
          <w:szCs w:val="20"/>
          <w:color w:val="auto"/>
        </w:rPr>
      </w:pPr>
    </w:p>
    <w:p>
      <w:pPr>
        <w:ind w:right="60" w:firstLine="696"/>
        <w:spacing w:after="0" w:line="254" w:lineRule="auto"/>
        <w:rPr>
          <w:sz w:val="20"/>
          <w:szCs w:val="20"/>
          <w:color w:val="auto"/>
        </w:rPr>
      </w:pPr>
      <w:r>
        <w:rPr>
          <w:rFonts w:ascii="Arial" w:cs="Arial" w:eastAsia="Arial" w:hAnsi="Arial"/>
          <w:sz w:val="13"/>
          <w:szCs w:val="13"/>
          <w:color w:val="auto"/>
        </w:rPr>
        <w:t>In October 2021, we issued $165.0 million in aggregate principal amount of our 2026 Notes- 2 at a public offering price per note of 99.436%. Interest on the 2026 Notes-2 is paid semi- annually on May 1 and November 1 of each year, at a rate of 4.00% per year, commencing May 1, 2022. The 2026 Notes-2 mature on November 1, 2026 and may be redeemed in whole or in part at our option subject to a make -whole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COMMITMENTS AND CONTINGENCIES</w:t>
      </w:r>
    </w:p>
    <w:p>
      <w:pPr>
        <w:spacing w:after="0" w:line="171" w:lineRule="exact"/>
        <w:rPr>
          <w:sz w:val="20"/>
          <w:szCs w:val="20"/>
          <w:color w:val="auto"/>
        </w:rPr>
      </w:pPr>
    </w:p>
    <w:p>
      <w:pPr>
        <w:ind w:right="40" w:firstLine="420"/>
        <w:spacing w:after="0" w:line="263" w:lineRule="auto"/>
        <w:rPr>
          <w:sz w:val="20"/>
          <w:szCs w:val="20"/>
          <w:color w:val="auto"/>
        </w:rPr>
      </w:pPr>
      <w:r>
        <w:rPr>
          <w:rFonts w:ascii="Arial" w:cs="Arial" w:eastAsia="Arial" w:hAnsi="Arial"/>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33" w:lineRule="exact"/>
        <w:rPr>
          <w:sz w:val="20"/>
          <w:szCs w:val="20"/>
          <w:color w:val="auto"/>
        </w:rPr>
      </w:pPr>
    </w:p>
    <w:p>
      <w:pPr>
        <w:ind w:right="100" w:firstLine="420"/>
        <w:spacing w:after="0" w:line="263" w:lineRule="auto"/>
        <w:rPr>
          <w:sz w:val="20"/>
          <w:szCs w:val="20"/>
          <w:color w:val="auto"/>
        </w:rPr>
      </w:pPr>
      <w:r>
        <w:rPr>
          <w:rFonts w:ascii="Arial" w:cs="Arial" w:eastAsia="Arial" w:hAnsi="Arial"/>
          <w:sz w:val="13"/>
          <w:szCs w:val="13"/>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March 31, 2023 and September 30, 2022, we had $182.0 million and $169.2 million, respectively, in commitments to fund investments. For the same periods, there were no letters of credit issued.</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UNCONSOLIDATED SIGNIFICANT SUBSIDIARIES</w:t>
      </w:r>
    </w:p>
    <w:p>
      <w:pPr>
        <w:spacing w:after="0" w:line="171" w:lineRule="exact"/>
        <w:rPr>
          <w:sz w:val="20"/>
          <w:szCs w:val="20"/>
          <w:color w:val="auto"/>
        </w:rPr>
      </w:pPr>
    </w:p>
    <w:p>
      <w:pPr>
        <w:jc w:val="both"/>
        <w:ind w:firstLine="420"/>
        <w:spacing w:after="0" w:line="256" w:lineRule="auto"/>
        <w:rPr>
          <w:sz w:val="20"/>
          <w:szCs w:val="20"/>
          <w:color w:val="auto"/>
        </w:rPr>
      </w:pPr>
      <w:r>
        <w:rPr>
          <w:rFonts w:ascii="Arial" w:cs="Arial" w:eastAsia="Arial" w:hAnsi="Arial"/>
          <w:sz w:val="13"/>
          <w:szCs w:val="13"/>
          <w:color w:val="auto"/>
        </w:rPr>
        <w:t>We must determine which, if any, of our unconsolidated controlled portfolio companies is a "significant subsidiary" within the meaning of Regulation S-X. We have determined that, as of September 30, 2022, PennantPark Senior Loan Fund, LLC and RAM Energy Holdings LLC triggered at least one of the significance tests.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 Our investment in RAM Energy Holdings, LLC was releaized on February 8, 2023.</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STOCK REPURCHASE PROGRAM</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On February 9, 2022, we announced a share repurchase program which allows us to repurchase up to $25 million of our outstanding common shares in the open market at prices below our net asset value as reported in our then most recently published consolidated financial statements. The program expired on March 31, 2023. During the three months ended March 31, 2023, we did not make any repurchases of our common shares. During the three months ended March 31, 2022, we repurchased 913,454 shares of common stock in open market transactions for an aggregate cost (including transaction costs) of $7.1 million.</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SUBSEQUENT EVENTS</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On April 18, 2023, Dominion Voting Systems ("Dominion") and Fox News Network ("Fox News") agreed to settle the defamation lawsuit filed by Dominion against Fox News. As part of the settlement Fox News agreed to pay Dominion $787.5 million. Dominion is a portfolio company of PNNT, which holds a minority equity interest in the company. While Dominion may retian some of the settlment proceeds for corporate purposes, the company communicated its intention to distribute a substantial portion of the proceeds, net of estimated taxes and expenses, to its equity holders and PNNT's portion is estimated to be approximately $12 million. The timing and amount of any distribution is uncertain and subject to change.</w:t>
      </w:r>
    </w:p>
    <w:p>
      <w:pPr>
        <w:spacing w:after="0" w:line="293" w:lineRule="exact"/>
        <w:rPr>
          <w:sz w:val="20"/>
          <w:szCs w:val="20"/>
          <w:color w:val="auto"/>
        </w:rPr>
      </w:pPr>
    </w:p>
    <w:p>
      <w:pPr>
        <w:ind w:right="480"/>
        <w:spacing w:after="0" w:line="263" w:lineRule="auto"/>
        <w:rPr>
          <w:sz w:val="20"/>
          <w:szCs w:val="20"/>
          <w:color w:val="auto"/>
        </w:rPr>
      </w:pPr>
      <w:r>
        <w:rPr>
          <w:rFonts w:ascii="Arial" w:cs="Arial" w:eastAsia="Arial" w:hAnsi="Arial"/>
          <w:sz w:val="13"/>
          <w:szCs w:val="13"/>
          <w:color w:val="auto"/>
        </w:rPr>
        <w:t>Guy Talarico resigned as the Company's Chief Compliance Officer, effective as of the close of business on May 9, 2023. Mr. Talarico's resignation is not a result of any disagreement with the Compnay's operations, policies, practices or accounting matters. On May 9, 20023, the Company's Board of Directors appointed Frank Galea as Chief Compliance Officer of the Company, effective as of the close of business on May 9, 2023.</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35" w:name="page36"/>
    <w:bookmarkEnd w:id="35"/>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PennantPark Investment Corporation and its Subsidiaries</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Review of Interim Financial Statements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We have reviewed the accompanying consolidated statement of assets and liabilities of PennantPark Investment Corporation and its Subsidiaries (collectively referred to as the Company), including the consolidated schedule of investments, as of March 31, 2023, the related consolidated statements of operations and changes in net assets for the three-month and six-month periods ended March 31, 2023 and 2022, and cash flows for the six -month periods ended March 31, 2023 and 2022,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295"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2022, and the related consolidated statements of operations, changes in net assets, and cash flows for the year then ended (not presented herein); and in our report dated November 17, 2022, we expressed an unqualified opinion on those consolidated financial statements. In our opinion, the information set forth in the accompanying consolidated statement of assets and liabilities, including the consolidated schedule of investments, as of September 30, 2022, is fairly stated, in all material respects, in relation to the consolidated statement of assets and liabilities, including the consolidated schedule of investments, from which it has been derived.</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Review Results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/s/ RSM US LLP</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11, 2023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4" w:right="660"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3"/>
          <w:szCs w:val="13"/>
          <w:b w:val="1"/>
          <w:bCs w:val="1"/>
          <w:color w:val="auto"/>
        </w:rPr>
        <w:t>Awareness Letter of Independent Registered Public Accounting Firm</w:t>
      </w: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Stockholders of PennantPark Investment Corporation and its Subsidiaries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We have reviewed, in accordance with the standards of the Public Company Accounting Oversight Board (United States), the unaudited interim financial information of PennantPark Investment Corporation for the periods ended March 31, 2023 and 2022, as indicated in our report dated May 11, 2023; because we did not perform an audit, we expressed no opinion on that information.</w:t>
      </w:r>
    </w:p>
    <w:p>
      <w:pPr>
        <w:spacing w:after="0" w:line="289"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We are aware that our report referred to above, which is included in your Quarterly Report on Form 10-Q for the quarter ended March 31, 2023, is incorporated by reference in Registration Statement No. 333-263564 on Form N-2.</w:t>
      </w:r>
    </w:p>
    <w:p>
      <w:pPr>
        <w:spacing w:after="0" w:line="280" w:lineRule="exact"/>
        <w:rPr>
          <w:sz w:val="20"/>
          <w:szCs w:val="20"/>
          <w:color w:val="auto"/>
        </w:rPr>
      </w:pPr>
    </w:p>
    <w:p>
      <w:pPr>
        <w:ind w:right="320"/>
        <w:spacing w:after="0" w:line="276" w:lineRule="auto"/>
        <w:rPr>
          <w:sz w:val="20"/>
          <w:szCs w:val="20"/>
          <w:color w:val="auto"/>
        </w:rPr>
      </w:pPr>
      <w:r>
        <w:rPr>
          <w:rFonts w:ascii="Arial" w:cs="Arial" w:eastAsia="Arial" w:hAnsi="Arial"/>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/s/ RSM US LLP</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11, 2023</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34" w:right="7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71"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 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future operating results;</w:t>
      </w:r>
    </w:p>
    <w:p>
      <w:pPr>
        <w:spacing w:after="0" w:line="163" w:lineRule="exact"/>
        <w:rPr>
          <w:sz w:val="20"/>
          <w:szCs w:val="20"/>
          <w:color w:val="auto"/>
        </w:rPr>
      </w:pPr>
    </w:p>
    <w:p>
      <w:pPr>
        <w:ind w:left="540" w:right="20"/>
        <w:spacing w:after="0" w:line="276" w:lineRule="auto"/>
        <w:rPr>
          <w:sz w:val="20"/>
          <w:szCs w:val="20"/>
          <w:color w:val="auto"/>
        </w:rPr>
      </w:pPr>
      <w:r>
        <w:rPr>
          <w:rFonts w:ascii="Arial" w:cs="Arial" w:eastAsia="Arial" w:hAnsi="Arial"/>
          <w:sz w:val="13"/>
          <w:szCs w:val="13"/>
          <w:color w:val="auto"/>
        </w:rPr>
        <w:t>•our business prospects and the prospects of our prospective portfolio companies, including as a result of the pandemic caused by COVID-19 or any future worsening there of;</w:t>
      </w:r>
    </w:p>
    <w:p>
      <w:pPr>
        <w:spacing w:after="0" w:line="124" w:lineRule="exact"/>
        <w:rPr>
          <w:sz w:val="20"/>
          <w:szCs w:val="20"/>
          <w:color w:val="auto"/>
        </w:rPr>
      </w:pPr>
    </w:p>
    <w:p>
      <w:pPr>
        <w:ind w:left="540" w:right="160"/>
        <w:spacing w:after="0" w:line="276" w:lineRule="auto"/>
        <w:rPr>
          <w:sz w:val="20"/>
          <w:szCs w:val="20"/>
          <w:color w:val="auto"/>
        </w:rPr>
      </w:pPr>
      <w:r>
        <w:rPr>
          <w:rFonts w:ascii="Arial" w:cs="Arial" w:eastAsia="Arial" w:hAnsi="Arial"/>
          <w:sz w:val="13"/>
          <w:szCs w:val="13"/>
          <w:color w:val="auto"/>
        </w:rPr>
        <w:t>•changes in political, economic or industry conditions, the interest rate environment or conditions affecting the financial and capital markets that could result in changes to the value of our assets, including changes from the impact of the COVID-19 pandemic or any future worsening there of;</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impact of a protracted decline in the liquidity of credit markets on our business;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impact of investments that we expect to make;</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contractual arrangements and relationships with third parties;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ability of our prospective portfolio companies to achieve their objectives;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expected financings and investments;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adequacy of our cash resources and working capital;</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timing of cash flows, if any, from the operations of our prospective portfolio companies;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impact of price and volume fluctuations in the stock market;</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•increasing levels of inflation, and its impact on us and our portfolio companies;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impact of future legislation and regulation on our business and our portfolio companies; and</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impact of the ongoing invasion of Ukraine by Russia, United Kingdom’s withdrawal from the European Union (commonly known as “Brexit”)</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and other world economic and political issues.</w:t>
      </w:r>
    </w:p>
    <w:p>
      <w:pPr>
        <w:spacing w:after="0" w:line="155" w:lineRule="exact"/>
        <w:rPr>
          <w:sz w:val="20"/>
          <w:szCs w:val="20"/>
          <w:color w:val="auto"/>
        </w:rPr>
      </w:pPr>
    </w:p>
    <w:p>
      <w:pPr>
        <w:ind w:right="140" w:firstLine="420"/>
        <w:spacing w:after="0" w:line="263"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 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33" w:lineRule="exact"/>
        <w:rPr>
          <w:sz w:val="20"/>
          <w:szCs w:val="20"/>
          <w:color w:val="auto"/>
        </w:rPr>
      </w:pPr>
    </w:p>
    <w:p>
      <w:pPr>
        <w:jc w:val="both"/>
        <w:ind w:right="40" w:firstLine="420"/>
        <w:spacing w:after="0" w:line="259"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5" w:lineRule="exact"/>
        <w:rPr>
          <w:sz w:val="20"/>
          <w:szCs w:val="20"/>
          <w:color w:val="auto"/>
        </w:rPr>
      </w:pPr>
    </w:p>
    <w:p>
      <w:pPr>
        <w:ind w:right="160" w:firstLine="420"/>
        <w:spacing w:after="0" w:line="259" w:lineRule="auto"/>
        <w:rPr>
          <w:sz w:val="20"/>
          <w:szCs w:val="20"/>
          <w:color w:val="auto"/>
        </w:rPr>
      </w:pPr>
      <w:r>
        <w:rPr>
          <w:rFonts w:ascii="Arial" w:cs="Arial" w:eastAsia="Arial" w:hAnsi="Arial"/>
          <w:sz w:val="13"/>
          <w:szCs w:val="13"/>
          <w:color w:val="auto"/>
        </w:rPr>
        <w:t>We have based the forward-looking statements included in this Report on information available to us on the date of this Report, and we assume no obligation to update any such forward- 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35" w:lineRule="exact"/>
        <w:rPr>
          <w:sz w:val="20"/>
          <w:szCs w:val="20"/>
          <w:color w:val="auto"/>
        </w:rPr>
      </w:pPr>
    </w:p>
    <w:p>
      <w:pPr>
        <w:ind w:right="480" w:firstLine="420"/>
        <w:spacing w:after="0" w:line="276" w:lineRule="auto"/>
        <w:rPr>
          <w:sz w:val="20"/>
          <w:szCs w:val="20"/>
          <w:color w:val="auto"/>
        </w:rPr>
      </w:pPr>
      <w:r>
        <w:rPr>
          <w:rFonts w:ascii="Arial" w:cs="Arial" w:eastAsia="Arial" w:hAnsi="Arial"/>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24" w:lineRule="exact"/>
        <w:rPr>
          <w:sz w:val="20"/>
          <w:szCs w:val="20"/>
          <w:color w:val="auto"/>
        </w:rPr>
      </w:pPr>
    </w:p>
    <w:p>
      <w:pPr>
        <w:ind w:right="300" w:firstLine="420"/>
        <w:spacing w:after="0" w:line="276"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171" w:lineRule="exact"/>
        <w:rPr>
          <w:sz w:val="20"/>
          <w:szCs w:val="20"/>
          <w:color w:val="auto"/>
        </w:rPr>
      </w:pPr>
    </w:p>
    <w:p>
      <w:pPr>
        <w:ind w:right="80" w:firstLine="420"/>
        <w:spacing w:after="0" w:line="276"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38" w:name="page39"/>
    <w:bookmarkEnd w:id="38"/>
    <w:p>
      <w:pPr>
        <w:ind w:right="80" w:firstLine="420"/>
        <w:spacing w:after="0" w:line="253" w:lineRule="auto"/>
        <w:rPr>
          <w:sz w:val="20"/>
          <w:szCs w:val="20"/>
          <w:color w:val="auto"/>
        </w:rPr>
      </w:pPr>
      <w:r>
        <w:rPr>
          <w:rFonts w:ascii="Arial" w:cs="Arial" w:eastAsia="Arial" w:hAnsi="Arial"/>
          <w:sz w:val="13"/>
          <w:szCs w:val="13"/>
          <w:color w:val="auto"/>
        </w:rPr>
        <w:t>We believe middle -market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6" w:lineRule="exact"/>
        <w:rPr>
          <w:sz w:val="20"/>
          <w:szCs w:val="20"/>
          <w:color w:val="auto"/>
        </w:rPr>
      </w:pPr>
    </w:p>
    <w:p>
      <w:pPr>
        <w:ind w:right="180" w:firstLine="420"/>
        <w:spacing w:after="0" w:line="263"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Investment Corporation</w:t>
      </w:r>
    </w:p>
    <w:p>
      <w:pPr>
        <w:spacing w:after="0" w:line="171" w:lineRule="exact"/>
        <w:rPr>
          <w:sz w:val="20"/>
          <w:szCs w:val="20"/>
          <w:color w:val="auto"/>
        </w:rPr>
      </w:pPr>
    </w:p>
    <w:p>
      <w:pPr>
        <w:ind w:right="100" w:firstLine="420"/>
        <w:spacing w:after="0" w:line="263"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7" w:lineRule="exact"/>
        <w:rPr>
          <w:sz w:val="20"/>
          <w:szCs w:val="20"/>
          <w:color w:val="auto"/>
        </w:rPr>
      </w:pPr>
    </w:p>
    <w:p>
      <w:pPr>
        <w:jc w:val="both"/>
        <w:ind w:right="100" w:firstLine="420"/>
        <w:spacing w:after="0" w:line="263" w:lineRule="auto"/>
        <w:rPr>
          <w:sz w:val="20"/>
          <w:szCs w:val="20"/>
          <w:color w:val="auto"/>
        </w:rPr>
      </w:pPr>
      <w:r>
        <w:rPr>
          <w:rFonts w:ascii="Arial" w:cs="Arial" w:eastAsia="Arial" w:hAnsi="Arial"/>
          <w:sz w:val="13"/>
          <w:szCs w:val="13"/>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33" w:lineRule="exact"/>
        <w:rPr>
          <w:sz w:val="20"/>
          <w:szCs w:val="20"/>
          <w:color w:val="auto"/>
        </w:rPr>
      </w:pPr>
    </w:p>
    <w:p>
      <w:pPr>
        <w:ind w:right="120" w:firstLine="420"/>
        <w:spacing w:after="0" w:line="254" w:lineRule="auto"/>
        <w:rPr>
          <w:sz w:val="20"/>
          <w:szCs w:val="20"/>
          <w:color w:val="auto"/>
        </w:rPr>
      </w:pPr>
      <w:r>
        <w:rPr>
          <w:rFonts w:ascii="Arial" w:cs="Arial" w:eastAsia="Arial" w:hAnsi="Arial"/>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171" w:lineRule="exact"/>
        <w:rPr>
          <w:sz w:val="20"/>
          <w:szCs w:val="20"/>
          <w:color w:val="auto"/>
        </w:rPr>
      </w:pPr>
    </w:p>
    <w:p>
      <w:pPr>
        <w:ind w:firstLine="420"/>
        <w:spacing w:after="0" w:line="253"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171"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cost of calculating our net asset value, including the cost of any third-party valuation services;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cost of effecting sales and repurchases of shares of our common stock and other securities;</w:t>
      </w:r>
    </w:p>
    <w:p>
      <w:pPr>
        <w:spacing w:after="0" w:line="163" w:lineRule="exact"/>
        <w:rPr>
          <w:sz w:val="20"/>
          <w:szCs w:val="20"/>
          <w:color w:val="auto"/>
        </w:rPr>
      </w:pPr>
    </w:p>
    <w:p>
      <w:pPr>
        <w:ind w:left="540" w:right="360"/>
        <w:spacing w:after="0" w:line="276" w:lineRule="auto"/>
        <w:rPr>
          <w:sz w:val="20"/>
          <w:szCs w:val="20"/>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•expenses incurred by the Investment Adviser in performing due diligence and reviews of investments;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•transfer agent and custodial fees;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•fees and expenses associated with marketing efforts;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•federal and state registration fees and any exchange listing fees;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•federal, state, local and foreign taxes;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•independent directors’ fees and expenses;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•brokerage commissions;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•fidelity bond, directors and officers, errors and omissions liability insurance and other insurance premiums;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•direct costs such as printing, mailing, long distance telephone and staff;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8" w:right="660" w:bottom="1440" w:gutter="0" w:footer="0" w:header="0"/>
        </w:sectPr>
      </w:pPr>
    </w:p>
    <w:bookmarkStart w:id="39" w:name="page40"/>
    <w:bookmarkEnd w:id="39"/>
    <w:p>
      <w:pPr>
        <w:ind w:left="540"/>
        <w:spacing w:after="0"/>
        <w:rPr>
          <w:sz w:val="20"/>
          <w:szCs w:val="20"/>
          <w:color w:val="auto"/>
        </w:rPr>
      </w:pPr>
      <w:r>
        <w:rPr>
          <w:rFonts w:ascii="Arial" w:cs="Arial" w:eastAsia="Arial" w:hAnsi="Arial"/>
          <w:sz w:val="13"/>
          <w:szCs w:val="13"/>
          <w:color w:val="auto"/>
        </w:rPr>
        <w:t>•fees and expenses associated with independent audits and outside legal costs;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•costs associated with our reporting and compliance obligations under the 1940 Act, the 1958 Act and applicable federal and state securities laws; and</w:t>
      </w:r>
    </w:p>
    <w:p>
      <w:pPr>
        <w:spacing w:after="0" w:line="163" w:lineRule="exact"/>
        <w:rPr>
          <w:sz w:val="20"/>
          <w:szCs w:val="20"/>
          <w:color w:val="auto"/>
        </w:rPr>
      </w:pPr>
    </w:p>
    <w:p>
      <w:pPr>
        <w:ind w:left="540" w:right="80"/>
        <w:spacing w:after="0" w:line="259" w:lineRule="auto"/>
        <w:rPr>
          <w:sz w:val="20"/>
          <w:szCs w:val="20"/>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35" w:lineRule="exact"/>
        <w:rPr>
          <w:sz w:val="20"/>
          <w:szCs w:val="20"/>
          <w:color w:val="auto"/>
        </w:rPr>
      </w:pPr>
    </w:p>
    <w:p>
      <w:pPr>
        <w:ind w:right="20" w:firstLine="420"/>
        <w:spacing w:after="0" w:line="276"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171"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As of March 31, 2023, our portfolio totaled $1,132.5 million, which consisted of $648.4 million of first lien secured debt, $111.3 million of second lien secured debt, $147.9 million of subordinated debt (including $95.4 million in PSLF) and $224.9 million of preferred and common equity (including $53.4 million in PSLF). Our debt portfolio consisted of 96% variable -rate investments and 4% fixed-rate investments. As of March 31, 2023, we had one portfolio companies on non-accrual, representing 1.0% and zero of our overall portfolio on a cost and fair value basis, respectively. Overall, the portfolio had net unrealized depreciation of $32.1 million as of March 31, 2023. Our overall portfolio consisted of 135 companies with an average investment size of $8.4 million, had a weighted average yield on interest bearing debt investments of 12.1% and was invested 57% in first lien secured debt, 10% in second lien secured debt, 13% in subordinated debt (including 8% in PSLF) and 20% in preferred and common equity (including 5% in PSLF). As of March 31, 2023, all of the investments held by PSLF were first lien secured debt.</w:t>
      </w:r>
    </w:p>
    <w:p>
      <w:pPr>
        <w:spacing w:after="0" w:line="141" w:lineRule="exact"/>
        <w:rPr>
          <w:sz w:val="20"/>
          <w:szCs w:val="20"/>
          <w:color w:val="auto"/>
        </w:rPr>
      </w:pPr>
    </w:p>
    <w:p>
      <w:pPr>
        <w:ind w:firstLine="420"/>
        <w:spacing w:after="0" w:line="255" w:lineRule="auto"/>
        <w:rPr>
          <w:sz w:val="20"/>
          <w:szCs w:val="20"/>
          <w:color w:val="auto"/>
        </w:rPr>
      </w:pPr>
      <w:r>
        <w:rPr>
          <w:rFonts w:ascii="Arial" w:cs="Arial" w:eastAsia="Arial" w:hAnsi="Arial"/>
          <w:sz w:val="13"/>
          <w:szCs w:val="13"/>
          <w:color w:val="auto"/>
        </w:rPr>
        <w:t>As of September 30, 2022, our portfolio totaled $1,226.3 million and consisted of $631.0 million of first lien secured debt, $ 129.9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 accrual, representing 1% and zero percent of our overall portfolio on a cost and fair value basis, respectively. Overall, the portfolio had net unrealized depreciation of $71.0 million as of September 30, 2022. Our overall portfolio consisted of 123 companies with an average investment size of $10.1 million, had a weighted average yield on interest bearing debt investments of 10.8 % and was invested 51 % in first lien secured debt, 11 % in second lien secured debt, 12% in subordinated debt (including 7% in PSLF) and 26 % in preferred and common equity (including 4 % in PSLF).</w:t>
      </w:r>
    </w:p>
    <w:p>
      <w:pPr>
        <w:spacing w:after="0" w:line="295" w:lineRule="exact"/>
        <w:rPr>
          <w:sz w:val="20"/>
          <w:szCs w:val="20"/>
          <w:color w:val="auto"/>
        </w:rPr>
      </w:pPr>
    </w:p>
    <w:p>
      <w:pPr>
        <w:ind w:right="20" w:firstLine="420"/>
        <w:spacing w:after="0" w:line="259" w:lineRule="auto"/>
        <w:rPr>
          <w:sz w:val="20"/>
          <w:szCs w:val="20"/>
          <w:color w:val="auto"/>
        </w:rPr>
      </w:pPr>
      <w:r>
        <w:rPr>
          <w:rFonts w:ascii="Arial" w:cs="Arial" w:eastAsia="Arial" w:hAnsi="Arial"/>
          <w:sz w:val="13"/>
          <w:szCs w:val="13"/>
          <w:color w:val="auto"/>
        </w:rPr>
        <w:t>For the three months ended March 31, 2023, we invested $ 58.3 million in six new and 34 existing portfolio companies with a weighted average yield on debt investments of 11.8%. Sales and repayments of investments for the three months ended March 31, 2023 totaled $114.2 million. For the six months ended March 31, 2023, we invested $ 144.8 million in 12 new and 64 existing portfolio companies with a weighted average yield on debt investments of 11.5%. Sales and repayment for the six months ended March 31, 2023 of investments for the totaled $136.8 million.</w:t>
      </w:r>
    </w:p>
    <w:p>
      <w:pPr>
        <w:spacing w:after="0" w:line="135" w:lineRule="exact"/>
        <w:rPr>
          <w:sz w:val="20"/>
          <w:szCs w:val="20"/>
          <w:color w:val="auto"/>
        </w:rPr>
      </w:pPr>
    </w:p>
    <w:p>
      <w:pPr>
        <w:ind w:right="120" w:firstLine="420"/>
        <w:spacing w:after="0" w:line="259" w:lineRule="auto"/>
        <w:rPr>
          <w:sz w:val="20"/>
          <w:szCs w:val="20"/>
          <w:color w:val="auto"/>
        </w:rPr>
      </w:pPr>
      <w:r>
        <w:rPr>
          <w:rFonts w:ascii="Arial" w:cs="Arial" w:eastAsia="Arial" w:hAnsi="Arial"/>
          <w:sz w:val="13"/>
          <w:szCs w:val="13"/>
          <w:color w:val="auto"/>
        </w:rPr>
        <w:t>For the three months ended March 31, 2022, we invested $178.0 million in eight new and 29 existing portfolio companies with a weighted average yield on debt investments of 7.2%. Sales and repayments of investments for the three months ended March 31, 2022 totaled $405.5 million. For the six months ended March 31, 2022, we invested $473.1 million in 24 new and 59 existing portfolio companies with a weighted average yield on debt investments of 7.8% Sales and repayment of investments for the six months ended March 31, 2022 totaled $537.7 million.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PennantPark Senior Loan Fund, LLC</w:t>
      </w:r>
    </w:p>
    <w:p>
      <w:pPr>
        <w:spacing w:after="0" w:line="171" w:lineRule="exact"/>
        <w:rPr>
          <w:sz w:val="20"/>
          <w:szCs w:val="20"/>
          <w:color w:val="auto"/>
        </w:rPr>
      </w:pPr>
    </w:p>
    <w:p>
      <w:pPr>
        <w:ind w:right="20" w:firstLine="420"/>
        <w:spacing w:after="0" w:line="276" w:lineRule="auto"/>
        <w:rPr>
          <w:sz w:val="20"/>
          <w:szCs w:val="20"/>
          <w:color w:val="auto"/>
        </w:rPr>
      </w:pPr>
      <w:r>
        <w:rPr>
          <w:rFonts w:ascii="Arial" w:cs="Arial" w:eastAsia="Arial" w:hAnsi="Arial"/>
          <w:sz w:val="13"/>
          <w:szCs w:val="13"/>
          <w:color w:val="auto"/>
        </w:rPr>
        <w:t>As of March 31, 2023, PSLF’s portfolio totaled $747.6 million, consisted of 86 companies with an average investment size of $8.7 million and had a weighted average yield on debt investments of 11.3 %.</w:t>
      </w:r>
    </w:p>
    <w:p>
      <w:pPr>
        <w:spacing w:after="0" w:line="124" w:lineRule="exact"/>
        <w:rPr>
          <w:sz w:val="20"/>
          <w:szCs w:val="20"/>
          <w:color w:val="auto"/>
        </w:rPr>
      </w:pPr>
    </w:p>
    <w:p>
      <w:pPr>
        <w:ind w:right="240" w:firstLine="420"/>
        <w:spacing w:after="0" w:line="276" w:lineRule="auto"/>
        <w:rPr>
          <w:sz w:val="20"/>
          <w:szCs w:val="20"/>
          <w:color w:val="auto"/>
        </w:rPr>
      </w:pPr>
      <w:r>
        <w:rPr>
          <w:rFonts w:ascii="Arial" w:cs="Arial" w:eastAsia="Arial" w:hAnsi="Arial"/>
          <w:sz w:val="13"/>
          <w:szCs w:val="13"/>
          <w:color w:val="auto"/>
        </w:rPr>
        <w:t>As of September 30, 2022, PSLF’s portfolio totaled $730.1 million, consisted of 80 companies with an average investment size of $9.1 million and had a weighted average yield on debt investments of 9.4%.</w:t>
      </w:r>
    </w:p>
    <w:p>
      <w:pPr>
        <w:spacing w:after="0" w:line="124" w:lineRule="exact"/>
        <w:rPr>
          <w:sz w:val="20"/>
          <w:szCs w:val="20"/>
          <w:color w:val="auto"/>
        </w:rPr>
      </w:pPr>
    </w:p>
    <w:p>
      <w:pPr>
        <w:ind w:right="100" w:firstLine="420"/>
        <w:spacing w:after="0" w:line="259" w:lineRule="auto"/>
        <w:rPr>
          <w:sz w:val="20"/>
          <w:szCs w:val="20"/>
          <w:color w:val="auto"/>
        </w:rPr>
      </w:pPr>
      <w:r>
        <w:rPr>
          <w:rFonts w:ascii="Arial" w:cs="Arial" w:eastAsia="Arial" w:hAnsi="Arial"/>
          <w:sz w:val="13"/>
          <w:szCs w:val="13"/>
          <w:color w:val="auto"/>
        </w:rPr>
        <w:t>For the three months ended March 31, 2023, PSLF invested $38.5 million (of which $18.4 million were purchased from the Company) in one new and one existing portfolio companies with a weighted average yield on debt investments of 11.6%. PSLF’s sales and repayments of investments for the same period totaled $24.9 million. For the six months ended March 31, 2023, PSLF invested $55.3 (of which $18.4 million was purchased from the Company) in eight new and five existing portfolio companies with a weighted average yield on debt investments of 11.5%. PSLF's sales and repayments of investments for the same period totaled $33.9 million.</w:t>
      </w:r>
    </w:p>
    <w:p>
      <w:pPr>
        <w:spacing w:after="0" w:line="159" w:lineRule="exact"/>
        <w:rPr>
          <w:sz w:val="20"/>
          <w:szCs w:val="20"/>
          <w:color w:val="auto"/>
        </w:rPr>
      </w:pPr>
    </w:p>
    <w:p>
      <w:pPr>
        <w:ind w:right="260" w:firstLine="420"/>
        <w:spacing w:after="0" w:line="259" w:lineRule="auto"/>
        <w:rPr>
          <w:sz w:val="20"/>
          <w:szCs w:val="20"/>
          <w:color w:val="auto"/>
        </w:rPr>
      </w:pPr>
      <w:r>
        <w:rPr>
          <w:rFonts w:ascii="Arial" w:cs="Arial" w:eastAsia="Arial" w:hAnsi="Arial"/>
          <w:sz w:val="13"/>
          <w:szCs w:val="13"/>
          <w:color w:val="auto"/>
        </w:rPr>
        <w:t>For the three months ended March 31, 2022, PSLF invested $27.4 million (of which $11.5 million was purchased from the Company) in six new and two existing portfolio companies with a weighted average yield on debt investments of 7.5%. PSLF’s sales and repayments of investments for the same period totaled $2.3 million. For the six months ended March 31, 2022, PSLF invested $78.1 million (of which $59.6 million was purchased from the Company) in 15 new and two existing portfolio companies with a weighted average yield on debt investment of 7.5%. PSLF's sales and repayments of investments for the same period totaled $37.9 million.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71" w:lineRule="exact"/>
        <w:rPr>
          <w:sz w:val="20"/>
          <w:szCs w:val="20"/>
          <w:color w:val="auto"/>
        </w:rPr>
      </w:pPr>
    </w:p>
    <w:p>
      <w:pPr>
        <w:ind w:firstLine="420"/>
        <w:spacing w:after="0" w:line="253"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2022 Annual Report on Form 10-K. There have been no significant changes in our critical accounting estimates during the six months from those disclosed in our 2022 Annual Report on Form 10-K.</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8" w:right="660"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i w:val="1"/>
          <w:iCs w:val="1"/>
          <w:color w:val="auto"/>
        </w:rPr>
        <w:t>Investment Valuations</w:t>
      </w:r>
    </w:p>
    <w:p>
      <w:pPr>
        <w:spacing w:after="0" w:line="171"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297" w:lineRule="exact"/>
        <w:rPr>
          <w:sz w:val="20"/>
          <w:szCs w:val="20"/>
          <w:color w:val="auto"/>
        </w:rPr>
      </w:pPr>
    </w:p>
    <w:p>
      <w:pPr>
        <w:ind w:right="140" w:firstLine="420"/>
        <w:spacing w:after="0" w:line="276"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4" w:lineRule="exact"/>
        <w:rPr>
          <w:sz w:val="20"/>
          <w:szCs w:val="20"/>
          <w:color w:val="auto"/>
        </w:rPr>
      </w:pPr>
    </w:p>
    <w:p>
      <w:pPr>
        <w:ind w:left="540" w:right="520"/>
        <w:spacing w:after="0" w:line="276" w:lineRule="auto"/>
        <w:rPr>
          <w:sz w:val="20"/>
          <w:szCs w:val="20"/>
          <w:color w:val="auto"/>
        </w:rPr>
      </w:pPr>
      <w:r>
        <w:rPr>
          <w:rFonts w:ascii="Arial" w:cs="Arial" w:eastAsia="Arial" w:hAnsi="Arial"/>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ind w:left="540" w:right="100"/>
        <w:spacing w:after="0" w:line="263" w:lineRule="auto"/>
        <w:rPr>
          <w:sz w:val="20"/>
          <w:szCs w:val="20"/>
          <w:color w:val="auto"/>
        </w:rPr>
      </w:pPr>
      <w:r>
        <w:rPr>
          <w:rFonts w:ascii="Arial" w:cs="Arial" w:eastAsia="Arial" w:hAnsi="Arial"/>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3" w:lineRule="exact"/>
        <w:rPr>
          <w:sz w:val="20"/>
          <w:szCs w:val="20"/>
          <w:color w:val="auto"/>
        </w:rPr>
      </w:pPr>
    </w:p>
    <w:p>
      <w:pPr>
        <w:ind w:left="540" w:right="260"/>
        <w:spacing w:after="0" w:line="263" w:lineRule="auto"/>
        <w:rPr>
          <w:sz w:val="20"/>
          <w:szCs w:val="20"/>
          <w:color w:val="auto"/>
        </w:rPr>
      </w:pPr>
      <w:r>
        <w:rPr>
          <w:rFonts w:ascii="Arial" w:cs="Arial" w:eastAsia="Arial" w:hAnsi="Arial"/>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33" w:lineRule="exact"/>
        <w:rPr>
          <w:sz w:val="20"/>
          <w:szCs w:val="20"/>
          <w:color w:val="auto"/>
        </w:rPr>
      </w:pPr>
    </w:p>
    <w:p>
      <w:pPr>
        <w:ind w:left="540" w:right="300"/>
        <w:spacing w:after="0" w:line="276" w:lineRule="auto"/>
        <w:rPr>
          <w:sz w:val="20"/>
          <w:szCs w:val="20"/>
          <w:color w:val="auto"/>
        </w:rPr>
      </w:pPr>
      <w:r>
        <w:rPr>
          <w:rFonts w:ascii="Arial" w:cs="Arial" w:eastAsia="Arial" w:hAnsi="Arial"/>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4"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9" w:lineRule="exact"/>
        <w:rPr>
          <w:sz w:val="20"/>
          <w:szCs w:val="20"/>
          <w:color w:val="auto"/>
        </w:rPr>
      </w:pPr>
    </w:p>
    <w:p>
      <w:pPr>
        <w:ind w:right="100" w:firstLine="420"/>
        <w:spacing w:after="0" w:line="255"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jc w:val="both"/>
        <w:ind w:left="1600" w:right="700" w:hanging="1055"/>
        <w:spacing w:after="0" w:line="263" w:lineRule="auto"/>
        <w:tabs>
          <w:tab w:leader="none" w:pos="15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5" w:lineRule="exact"/>
        <w:rPr>
          <w:sz w:val="20"/>
          <w:szCs w:val="20"/>
          <w:color w:val="auto"/>
        </w:rPr>
      </w:pPr>
    </w:p>
    <w:p>
      <w:pPr>
        <w:ind w:left="1600" w:right="920" w:hanging="1055"/>
        <w:spacing w:after="0" w:line="276" w:lineRule="auto"/>
        <w:tabs>
          <w:tab w:leader="none" w:pos="15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3"/>
          <w:szCs w:val="13"/>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0" w:firstLine="420"/>
        <w:spacing w:after="0" w:line="263"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Truist Credit Facility, 2026 Notes, 2026-2 Notes and our SBA debentures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3" w:lineRule="exact"/>
        <w:rPr>
          <w:sz w:val="20"/>
          <w:szCs w:val="20"/>
          <w:color w:val="auto"/>
        </w:rPr>
      </w:pPr>
    </w:p>
    <w:p>
      <w:pPr>
        <w:ind w:right="100" w:firstLine="420"/>
        <w:spacing w:after="0" w:line="254" w:lineRule="auto"/>
        <w:rPr>
          <w:sz w:val="20"/>
          <w:szCs w:val="20"/>
          <w:color w:val="auto"/>
        </w:rPr>
      </w:pPr>
      <w:r>
        <w:rPr>
          <w:rFonts w:ascii="Arial" w:cs="Arial" w:eastAsia="Arial" w:hAnsi="Arial"/>
          <w:sz w:val="13"/>
          <w:szCs w:val="13"/>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 -5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41" w:lineRule="exact"/>
        <w:rPr>
          <w:sz w:val="20"/>
          <w:szCs w:val="20"/>
          <w:color w:val="auto"/>
        </w:rPr>
      </w:pPr>
    </w:p>
    <w:p>
      <w:pPr>
        <w:jc w:val="both"/>
        <w:ind w:right="120" w:firstLine="420"/>
        <w:spacing w:after="0" w:line="263" w:lineRule="auto"/>
        <w:rPr>
          <w:sz w:val="20"/>
          <w:szCs w:val="20"/>
          <w:color w:val="auto"/>
        </w:rPr>
      </w:pPr>
      <w:r>
        <w:rPr>
          <w:rFonts w:ascii="Arial" w:cs="Arial" w:eastAsia="Arial" w:hAnsi="Arial"/>
          <w:sz w:val="13"/>
          <w:szCs w:val="13"/>
          <w:color w:val="auto"/>
        </w:rPr>
        <w:t>In addition to using the above inputs to value cash equivalents, investments, our SBA debentures,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34" w:right="640" w:bottom="1440" w:gutter="0" w:footer="0" w:header="0"/>
        </w:sectPr>
      </w:pPr>
    </w:p>
    <w:bookmarkStart w:id="41" w:name="page42"/>
    <w:bookmarkEnd w:id="41"/>
    <w:p>
      <w:pPr>
        <w:ind w:firstLine="420"/>
        <w:spacing w:after="0" w:line="253"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Subtopic 825- 10,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for both the three and six months ended March 31, 2023 and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 not to apply ASC 825-10 to any other financial assets or liabilities, including the 2026 Notes, 2026 Notes-2 and SBA debentures.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42" w:name="page43"/>
    <w:bookmarkEnd w:id="42"/>
    <w:p>
      <w:pPr>
        <w:jc w:val="both"/>
        <w:ind w:right="20" w:firstLine="420"/>
        <w:spacing w:after="0" w:line="259" w:lineRule="auto"/>
        <w:rPr>
          <w:sz w:val="20"/>
          <w:szCs w:val="20"/>
          <w:color w:val="auto"/>
        </w:rPr>
      </w:pPr>
      <w:r>
        <w:rPr>
          <w:rFonts w:ascii="Arial" w:cs="Arial" w:eastAsia="Arial" w:hAnsi="Arial"/>
          <w:sz w:val="13"/>
          <w:szCs w:val="13"/>
          <w:color w:val="auto"/>
        </w:rPr>
        <w:t>For the three and six months ended March 31, 2023, the Truist Credit Facility had a net change in unrealized depreciation of $ 1.5 million and $5.9 million, respectively. For the three and six months ended March 31, 2022, our Truist Credit Facility had a net change in unrealized depreciation of $1.3 million and $0.3 million, respectively. As of March 31, 2023 and September 30, 2022, the net unrealized depreciation on the Truist Credit Facility totaled $15.2 million and $9.2 million, respectively. We use a nationally recognized independent valuation service to measure the fair value of our Truist Credit Facility in a manner consistent with the valuation process that the board of directors uses to value our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35" w:lineRule="exact"/>
        <w:rPr>
          <w:sz w:val="20"/>
          <w:szCs w:val="20"/>
          <w:color w:val="auto"/>
        </w:rPr>
      </w:pPr>
    </w:p>
    <w:p>
      <w:pPr>
        <w:ind w:right="60" w:firstLine="420"/>
        <w:spacing w:after="0" w:line="254"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171" w:lineRule="exact"/>
        <w:rPr>
          <w:sz w:val="20"/>
          <w:szCs w:val="20"/>
          <w:color w:val="auto"/>
        </w:rPr>
      </w:pPr>
    </w:p>
    <w:p>
      <w:pPr>
        <w:ind w:right="120" w:firstLine="468"/>
        <w:spacing w:after="0" w:line="259" w:lineRule="auto"/>
        <w:rPr>
          <w:sz w:val="20"/>
          <w:szCs w:val="20"/>
          <w:color w:val="auto"/>
        </w:rPr>
      </w:pPr>
      <w:r>
        <w:rPr>
          <w:rFonts w:ascii="Arial" w:cs="Arial" w:eastAsia="Arial" w:hAnsi="Arial"/>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20" w:firstLine="420"/>
        <w:spacing w:after="0" w:line="263" w:lineRule="auto"/>
        <w:rPr>
          <w:sz w:val="20"/>
          <w:szCs w:val="20"/>
          <w:color w:val="auto"/>
        </w:rPr>
      </w:pPr>
      <w:r>
        <w:rPr>
          <w:rFonts w:ascii="Arial" w:cs="Arial" w:eastAsia="Arial" w:hAnsi="Arial"/>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Payment-in-Kind, or PIK Interest</w:t>
      </w:r>
    </w:p>
    <w:p>
      <w:pPr>
        <w:spacing w:after="0" w:line="171" w:lineRule="exact"/>
        <w:rPr>
          <w:sz w:val="20"/>
          <w:szCs w:val="20"/>
          <w:color w:val="auto"/>
        </w:rPr>
      </w:pPr>
    </w:p>
    <w:p>
      <w:pPr>
        <w:ind w:right="200" w:firstLine="420"/>
        <w:spacing w:after="0" w:line="263"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171" w:lineRule="exact"/>
        <w:rPr>
          <w:sz w:val="20"/>
          <w:szCs w:val="20"/>
          <w:color w:val="auto"/>
        </w:rPr>
      </w:pPr>
    </w:p>
    <w:p>
      <w:pPr>
        <w:ind w:right="120" w:firstLine="420"/>
        <w:spacing w:after="0" w:line="256"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39" w:lineRule="exact"/>
        <w:rPr>
          <w:sz w:val="20"/>
          <w:szCs w:val="20"/>
          <w:color w:val="auto"/>
        </w:rPr>
      </w:pPr>
    </w:p>
    <w:p>
      <w:pPr>
        <w:ind w:right="20" w:firstLine="420"/>
        <w:spacing w:after="0" w:line="254"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9" w:lineRule="exact"/>
        <w:rPr>
          <w:sz w:val="20"/>
          <w:szCs w:val="20"/>
          <w:color w:val="auto"/>
        </w:rPr>
      </w:pPr>
    </w:p>
    <w:p>
      <w:pPr>
        <w:ind w:right="180" w:firstLine="420"/>
        <w:spacing w:after="0" w:line="259"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35" w:lineRule="exact"/>
        <w:rPr>
          <w:sz w:val="20"/>
          <w:szCs w:val="20"/>
          <w:color w:val="auto"/>
        </w:rPr>
      </w:pPr>
    </w:p>
    <w:p>
      <w:pPr>
        <w:ind w:right="120" w:firstLine="420"/>
        <w:spacing w:after="0" w:line="263" w:lineRule="auto"/>
        <w:rPr>
          <w:sz w:val="20"/>
          <w:szCs w:val="20"/>
          <w:color w:val="auto"/>
        </w:rPr>
      </w:pPr>
      <w:r>
        <w:rPr>
          <w:rFonts w:ascii="Arial" w:cs="Arial" w:eastAsia="Arial" w:hAnsi="Arial"/>
          <w:sz w:val="13"/>
          <w:szCs w:val="13"/>
          <w:color w:val="auto"/>
        </w:rPr>
        <w:t>For the three and six months ended March 31, 2023, we recorded a provision for taxes on net investment income of $ 0.5 million and $2.5 million respectively, pertaining to federal excise tax. For the three and six months ended March 31, 2022, we recorded a provision for taxes on net investment income of $0.2 million and $0.4 million respectively, all of which pertains to U.S. federal excise tax.</w:t>
      </w:r>
    </w:p>
    <w:p>
      <w:pPr>
        <w:spacing w:after="0" w:line="133" w:lineRule="exact"/>
        <w:rPr>
          <w:sz w:val="20"/>
          <w:szCs w:val="20"/>
          <w:color w:val="auto"/>
        </w:rPr>
      </w:pPr>
    </w:p>
    <w:p>
      <w:pPr>
        <w:ind w:firstLine="420"/>
        <w:spacing w:after="0" w:line="276" w:lineRule="auto"/>
        <w:rPr>
          <w:sz w:val="20"/>
          <w:szCs w:val="20"/>
          <w:color w:val="auto"/>
        </w:rPr>
      </w:pPr>
      <w:r>
        <w:rPr>
          <w:rFonts w:ascii="Arial" w:cs="Arial" w:eastAsia="Arial" w:hAnsi="Arial"/>
          <w:sz w:val="13"/>
          <w:szCs w:val="13"/>
          <w:color w:val="auto"/>
        </w:rPr>
        <w:t>The Taxable Subsidiary (PNNT Investment Holdings, LLC, a second-tier wholly- owned subsidiary of the Company,) is subject to U.S. federal, state and local corporate income taxes. The income tax expense and related tax liabilities of the Taxable Subsidiary are reflected in the Company’s consolidated financial statements..</w:t>
      </w:r>
    </w:p>
    <w:p>
      <w:pPr>
        <w:spacing w:after="0" w:line="124" w:lineRule="exact"/>
        <w:rPr>
          <w:sz w:val="20"/>
          <w:szCs w:val="20"/>
          <w:color w:val="auto"/>
        </w:rPr>
      </w:pPr>
    </w:p>
    <w:p>
      <w:pPr>
        <w:ind w:right="180" w:firstLine="420"/>
        <w:spacing w:after="0" w:line="259" w:lineRule="auto"/>
        <w:rPr>
          <w:sz w:val="20"/>
          <w:szCs w:val="20"/>
          <w:color w:val="auto"/>
        </w:rPr>
      </w:pPr>
      <w:r>
        <w:rPr>
          <w:rFonts w:ascii="Arial" w:cs="Arial" w:eastAsia="Arial" w:hAnsi="Arial"/>
          <w:sz w:val="13"/>
          <w:szCs w:val="13"/>
          <w:color w:val="auto"/>
        </w:rPr>
        <w:t>For the three and six months ended March 31, 2023, the Company recognized a provision for taxes of $0.7 million and $0.7 million, respectively, on net realized gain on investments by the Taxable Subsidiary. For the three and six months ended March 31, 2022, the Company recognized a provision for taxes of $ 5.1 million and $5.1 million, respectively, on net realized gain on investments by the Taxable Subsidiary. For the three and six months ended March 31, 2023, the Company recognized a provision for taxes of zero and $(0.9) million, respectively, on net unrealized gain (loss) on investments by the Taxable Subsidiary. For the three and six months ended March 31, 2022, the</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43" w:name="page44"/>
    <w:bookmarkEnd w:id="43"/>
    <w:p>
      <w:pPr>
        <w:ind w:right="40"/>
        <w:spacing w:after="0" w:line="259" w:lineRule="auto"/>
        <w:rPr>
          <w:sz w:val="20"/>
          <w:szCs w:val="20"/>
          <w:color w:val="auto"/>
        </w:rPr>
      </w:pPr>
      <w:r>
        <w:rPr>
          <w:rFonts w:ascii="Arial" w:cs="Arial" w:eastAsia="Arial" w:hAnsi="Arial"/>
          <w:sz w:val="13"/>
          <w:szCs w:val="13"/>
          <w:color w:val="auto"/>
        </w:rPr>
        <w:t>Company recognized a provision for taxes of $(5.1) million and zero, respectively, on unrealized gain(loss)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2023 and (ii) the expected tax benefit resulting from the use of loss carryforwards to offset such gains. As of March 31, 2023 and September 30, 2022, the Company recognized a provision for taxes of $(0.7) million and $7.1 million on net realized and unrealized gains on investments by the Taxable Subsidiary.</w:t>
      </w:r>
    </w:p>
    <w:p>
      <w:pPr>
        <w:spacing w:after="0" w:line="135" w:lineRule="exact"/>
        <w:rPr>
          <w:sz w:val="20"/>
          <w:szCs w:val="20"/>
          <w:color w:val="auto"/>
        </w:rPr>
      </w:pPr>
    </w:p>
    <w:p>
      <w:pPr>
        <w:ind w:right="80" w:firstLine="420"/>
        <w:spacing w:after="0" w:line="256" w:lineRule="auto"/>
        <w:rPr>
          <w:sz w:val="20"/>
          <w:szCs w:val="20"/>
          <w:color w:val="auto"/>
        </w:rPr>
      </w:pPr>
      <w:r>
        <w:rPr>
          <w:rFonts w:ascii="Arial" w:cs="Arial" w:eastAsia="Arial" w:hAnsi="Arial"/>
          <w:sz w:val="13"/>
          <w:szCs w:val="13"/>
          <w:color w:val="auto"/>
        </w:rPr>
        <w:t>During the three and six months ended March 31, 2023, the Company paid zero, respectively, in federal taxes on realized gains on the sale of investments held by the Taxable Subsidiary. During the three and six months ended March 31, 2022, the Company paid $ 4.0 million in taxes on realized gains on the sale of investments held by the Taxable Subsidiary, resulting in remaining tax liability of $ 1.1 million as of March 31, 2022, included under accrued other expenses in the consolidated statement of assets and liabilities. Due to offsetting losses in the year ended September 30, 2022, the $4.0 million is shown on the consolidated statement of assets and liabilities under prepaid expenses and other assets. The state and local tax liability of $6.9 million as of March 31, 2023 is included under accrued other expenses in the consolidated statement of assets and liabilities.</w:t>
      </w:r>
    </w:p>
    <w:p>
      <w:pPr>
        <w:spacing w:after="0" w:line="139" w:lineRule="exact"/>
        <w:rPr>
          <w:sz w:val="20"/>
          <w:szCs w:val="20"/>
          <w:color w:val="auto"/>
        </w:rPr>
      </w:pPr>
    </w:p>
    <w:p>
      <w:pPr>
        <w:ind w:right="200" w:firstLine="420"/>
        <w:spacing w:after="0" w:line="259" w:lineRule="auto"/>
        <w:rPr>
          <w:sz w:val="20"/>
          <w:szCs w:val="20"/>
          <w:color w:val="auto"/>
        </w:rPr>
      </w:pPr>
      <w:r>
        <w:rPr>
          <w:rFonts w:ascii="Arial" w:cs="Arial" w:eastAsia="Arial" w:hAnsi="Arial"/>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Taxable Subsidiary, which is subject to tax as a corporation, allows us to hold equity securities of certain portfolio companies treated as pass-through entities for U.S.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federal income tax purposes while facilitating our ability to qualify as a RIC under the Code.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Set forth below are the results of operations for the three and six months ended March 31, 2023 and 2022.</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For the three and six months ended March 31, 2023, investment income was $36.3 million and $66.3 million, respectively, which was attributable to $26.8 million and $48.6</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million from first lien secured debt, $3.7 million and $7.4 from second lien secured debt, $2.2 million and $1.1 from subordinated debt and $4.8 million from preferred and common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equity, respectively. For the three and six months ended March 31, 2022, investment income was $24.3 million and $52.7 million, respectively, which was attributable to $14.5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million and $34.6 million from first lien secured debt, $6.3 million and $10.8 million from second lien secured debt, $0.4 million and $2.3 million from subordinated debt and $3.1 million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and $4.9 million from preferred and common equity, respectively. The increase in investment income was primarily due to the increase in the cost yield of our debt portfolio</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compared to the same period in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171" w:lineRule="exact"/>
        <w:rPr>
          <w:sz w:val="20"/>
          <w:szCs w:val="20"/>
          <w:color w:val="auto"/>
        </w:rPr>
      </w:pPr>
    </w:p>
    <w:p>
      <w:pPr>
        <w:ind w:firstLine="420"/>
        <w:spacing w:after="0" w:line="255" w:lineRule="auto"/>
        <w:rPr>
          <w:sz w:val="20"/>
          <w:szCs w:val="20"/>
          <w:color w:val="auto"/>
        </w:rPr>
      </w:pPr>
      <w:r>
        <w:rPr>
          <w:rFonts w:ascii="Arial" w:cs="Arial" w:eastAsia="Arial" w:hAnsi="Arial"/>
          <w:sz w:val="13"/>
          <w:szCs w:val="13"/>
          <w:color w:val="auto"/>
        </w:rPr>
        <w:t>For the three and six months ended March 31, 2023, expenses totaled $19.7 million and $39.3 million, respectively and were comprised of; $10.6 million and $20.3 million of debt related interest and expenses, $4.0 million and $8.6 million of base management fees, $ 3.5 million and $5.7 million of incentive fees, $1.1 million and $2.2 million of general and administrative expenses and $ 0.5 million and $2.5 million of provision for excise taxes. For the three and six months ended March 31, 2022, expenses totaled $12.7 million and $28.5 million, respectively, and were comprised of $6.5 million and $13.4 million of debt related interest and expenses, $5.0 million and $10.1 million of base management fees, zero and $2.7 million of performance based incentive fees, $1.0 million and $1.9 million of general and administrative expenses and $ 0.2 million and $ 0.4 million of provision for excise taxes, respectively. The increase in expenses was primarily due to the increased financing costs of our liabilities debt compared to the same period in the prior year.</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171" w:lineRule="exact"/>
        <w:rPr>
          <w:sz w:val="20"/>
          <w:szCs w:val="20"/>
          <w:color w:val="auto"/>
        </w:rPr>
      </w:pPr>
    </w:p>
    <w:p>
      <w:pPr>
        <w:jc w:val="both"/>
        <w:ind w:right="300" w:firstLine="420"/>
        <w:spacing w:after="0" w:line="263" w:lineRule="auto"/>
        <w:rPr>
          <w:sz w:val="20"/>
          <w:szCs w:val="20"/>
          <w:color w:val="auto"/>
        </w:rPr>
      </w:pPr>
      <w:r>
        <w:rPr>
          <w:rFonts w:ascii="Arial" w:cs="Arial" w:eastAsia="Arial" w:hAnsi="Arial"/>
          <w:sz w:val="13"/>
          <w:szCs w:val="13"/>
          <w:color w:val="auto"/>
        </w:rPr>
        <w:t>For the three and six months ended March 31, 2023, net investment income totaled $16.6 million, and $27.0 million, or $0.26 per share, and $0.41 per share, respectively. For the three and six months ended March 31, 2022, net investment income totaled $11.7 million, and $24.2 million, or $0.18 per share and $0.36 per share. The increase in net investment income was primarily due to an increase in investment income partially offset by an increase in expenses compared to the same period in the prior year.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 on Investments and Debt</w:t>
      </w:r>
    </w:p>
    <w:p>
      <w:pPr>
        <w:spacing w:after="0" w:line="171" w:lineRule="exact"/>
        <w:rPr>
          <w:sz w:val="20"/>
          <w:szCs w:val="20"/>
          <w:color w:val="auto"/>
        </w:rPr>
      </w:pPr>
    </w:p>
    <w:p>
      <w:pPr>
        <w:ind w:right="40" w:firstLine="420"/>
        <w:spacing w:after="0" w:line="263" w:lineRule="auto"/>
        <w:rPr>
          <w:sz w:val="20"/>
          <w:szCs w:val="20"/>
          <w:color w:val="auto"/>
        </w:rPr>
      </w:pPr>
      <w:r>
        <w:rPr>
          <w:rFonts w:ascii="Arial" w:cs="Arial" w:eastAsia="Arial" w:hAnsi="Arial"/>
          <w:sz w:val="13"/>
          <w:szCs w:val="13"/>
          <w:color w:val="auto"/>
        </w:rPr>
        <w:t>For the three and six months ended March 31, 2023, net realized gains (losses) totaled $(148.7) million and $(144.7) million, respectively. For the three and six months ended March 31, 2022 net realized gains (losses) totaled $136.6 million and $108.9 million, respectively. The change in realized gains or losses was primarily due to changes in the market conditions of our investments and the values at which they were realized compared to the same periods in the prior year.</w:t>
      </w:r>
    </w:p>
    <w:p>
      <w:pPr>
        <w:spacing w:after="0" w:line="3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742" w:right="600"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i w:val="1"/>
          <w:iCs w:val="1"/>
          <w:color w:val="auto"/>
        </w:rPr>
        <w:t>Unrealized Appreciation or Depreciation on Investments and Debt</w:t>
      </w:r>
    </w:p>
    <w:p>
      <w:pPr>
        <w:spacing w:after="0" w:line="171" w:lineRule="exact"/>
        <w:rPr>
          <w:sz w:val="20"/>
          <w:szCs w:val="20"/>
          <w:color w:val="auto"/>
        </w:rPr>
      </w:pPr>
    </w:p>
    <w:p>
      <w:pPr>
        <w:ind w:right="140" w:firstLine="420"/>
        <w:spacing w:after="0" w:line="256" w:lineRule="auto"/>
        <w:rPr>
          <w:sz w:val="20"/>
          <w:szCs w:val="20"/>
          <w:color w:val="auto"/>
        </w:rPr>
      </w:pPr>
      <w:r>
        <w:rPr>
          <w:rFonts w:ascii="Arial" w:cs="Arial" w:eastAsia="Arial" w:hAnsi="Arial"/>
          <w:sz w:val="13"/>
          <w:szCs w:val="13"/>
          <w:color w:val="auto"/>
        </w:rPr>
        <w:t>For the three and six months ended March 31, 2023, we reported net change in unrealized appreciation (depreciatoin) on investments of $135.4 million and $43.8 million, respectively. For the three and six months ended March 31, 2022, we reported net change in unrealized appreciation (depreciation) on investments of $(151.5) million and $(104.7) million, respectively. As of March 31, 2023 and September 30, 2022, our net unrealized appreciation (depreciation) on investments totaled $(32.1) million and $(75.7) million, respectively. The net change in unrealized appreciation or depreciation on our investments compared to the same period in the prior year was primarily due to the operating performance of the portfolio companies within the portfolio and changes in the capital market conditions of our investments.</w:t>
      </w:r>
    </w:p>
    <w:p>
      <w:pPr>
        <w:spacing w:after="0" w:line="139" w:lineRule="exact"/>
        <w:rPr>
          <w:sz w:val="20"/>
          <w:szCs w:val="20"/>
          <w:color w:val="auto"/>
        </w:rPr>
      </w:pPr>
    </w:p>
    <w:p>
      <w:pPr>
        <w:ind w:right="160" w:firstLine="420"/>
        <w:spacing w:after="0" w:line="256" w:lineRule="auto"/>
        <w:rPr>
          <w:sz w:val="20"/>
          <w:szCs w:val="20"/>
          <w:color w:val="auto"/>
        </w:rPr>
      </w:pPr>
      <w:r>
        <w:rPr>
          <w:rFonts w:ascii="Arial" w:cs="Arial" w:eastAsia="Arial" w:hAnsi="Arial"/>
          <w:sz w:val="13"/>
          <w:szCs w:val="13"/>
          <w:color w:val="auto"/>
        </w:rPr>
        <w:t>For the three and six months ended March 31, 2023, our credit facility with Truist (the "Credit Facility") had a net change in unrealized (appreciation) depreciation of $1.5 million and $5.9 million, respectively. For the three and six months ended March 31, 2022, the Credit Facility had a net change in unrealized (appreciation) depreciation of $1.3 million and $ 0.3 million, respectively. As of March 31, 2023 and September 30, 2022, the net unrealized (appreciation) depreciation on the Credit Facility totaled $15.2 million and $9.2 million, respectively. The net change in unrealized appreciation or depreciation compared to the same periods in the prior year was primarily due to changes in the capital markets.</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Increasese (Decrease) in Net Assets Resulting from Operations</w:t>
      </w:r>
    </w:p>
    <w:p>
      <w:pPr>
        <w:spacing w:after="0" w:line="327" w:lineRule="exact"/>
        <w:rPr>
          <w:sz w:val="20"/>
          <w:szCs w:val="20"/>
          <w:color w:val="auto"/>
        </w:rPr>
      </w:pPr>
    </w:p>
    <w:p>
      <w:pPr>
        <w:ind w:right="140" w:firstLine="420"/>
        <w:spacing w:after="0" w:line="259" w:lineRule="auto"/>
        <w:rPr>
          <w:sz w:val="20"/>
          <w:szCs w:val="20"/>
          <w:color w:val="auto"/>
        </w:rPr>
      </w:pPr>
      <w:r>
        <w:rPr>
          <w:rFonts w:ascii="Arial" w:cs="Arial" w:eastAsia="Arial" w:hAnsi="Arial"/>
          <w:sz w:val="13"/>
          <w:szCs w:val="13"/>
          <w:color w:val="auto"/>
        </w:rPr>
        <w:t>For the three and six months ended March 31, 2023, net increase (decrease) in net assets resulting from operations totaled $4.9 million, and $(67.0) million, or $ 0.07 per share, and $(1.03) per share, respectively. For the three and six months ended March 31, 2022, net increase (decrease) in net assets resulting from operations totaled $3.2 million and $28.7 million, or $0.05 and $0.43 per share. The increase or decrease from operations compared to the same periods in the prior year was primarily due to an increase in realized loss.</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71" w:lineRule="exact"/>
        <w:rPr>
          <w:sz w:val="20"/>
          <w:szCs w:val="20"/>
          <w:color w:val="auto"/>
        </w:rPr>
      </w:pPr>
    </w:p>
    <w:p>
      <w:pPr>
        <w:ind w:right="240" w:firstLine="420"/>
        <w:spacing w:after="0" w:line="255" w:lineRule="auto"/>
        <w:rPr>
          <w:sz w:val="20"/>
          <w:szCs w:val="20"/>
          <w:color w:val="auto"/>
        </w:rPr>
      </w:pPr>
      <w:r>
        <w:rPr>
          <w:rFonts w:ascii="Arial" w:cs="Arial" w:eastAsia="Arial" w:hAnsi="Arial"/>
          <w:sz w:val="13"/>
          <w:szCs w:val="13"/>
          <w:color w:val="auto"/>
        </w:rPr>
        <w:t>Our liquidity and capital resources are derived primarily from cash flows from operations, including investment sales and repayments, and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March 31, 2023,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spacing w:after="0" w:line="139" w:lineRule="exact"/>
        <w:rPr>
          <w:sz w:val="20"/>
          <w:szCs w:val="20"/>
          <w:color w:val="auto"/>
        </w:rPr>
      </w:pPr>
    </w:p>
    <w:p>
      <w:pPr>
        <w:ind w:right="40" w:firstLine="420"/>
        <w:spacing w:after="0" w:line="259"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As of March 31, 2023 and September 30, 2022, our asset coverage ratio, as computed in accordance with the 1940 Act was 170% and 186%, respectively.</w:t>
      </w:r>
    </w:p>
    <w:p>
      <w:pPr>
        <w:spacing w:after="0" w:line="163" w:lineRule="exact"/>
        <w:rPr>
          <w:sz w:val="20"/>
          <w:szCs w:val="20"/>
          <w:color w:val="auto"/>
        </w:rPr>
      </w:pPr>
    </w:p>
    <w:p>
      <w:pPr>
        <w:ind w:right="60" w:firstLine="420"/>
        <w:spacing w:after="0" w:line="276" w:lineRule="auto"/>
        <w:rPr>
          <w:sz w:val="20"/>
          <w:szCs w:val="20"/>
          <w:color w:val="auto"/>
        </w:rPr>
      </w:pPr>
      <w:r>
        <w:rPr>
          <w:rFonts w:ascii="Arial" w:cs="Arial" w:eastAsia="Arial" w:hAnsi="Arial"/>
          <w:sz w:val="13"/>
          <w:szCs w:val="13"/>
          <w:color w:val="auto"/>
        </w:rPr>
        <w:t>For the six months ended March 31, 2023 and 2022, the annualized weighted average cost of debt inclusive of the fee on the undrawn commitment and amendment costs on the Credit Facility, was 5.8% and 4.8%,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As of March 31, 2023, we had the multi-currency Credit Facility for up to $500.0 million (increased from $465.0 million in July 2022), which may be further increased up to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$750.0 million in borrowings with certain lenders and Truist Bank (formerly SunTrust Bank), acting as administrative agent, Regions Bank, acting as an additional multicurrency</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lender, and JPMorgan Chase Bank, N.A., acting as syndication agent for the lenders. As of March 31, 2023 and September 30, 2022, we had $377.4 million and $385.9 million,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respectively, in outstanding borrowings under the Truist Credit Facility. The Truist Credit Facility had a weighted average interest rate of 7.1% and 5.3%, respectively, exclusive of the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fee on undrawn commitments, as of March 31, 2023 and September 30, 2022. The Truist Credit Facility is a revolving facility with a stated maturity date of July 29, 2027 for $475.0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million out of the total $500.0 million commitments (with the revolving period with respect to the remaining $25.0 million of commitments expiring on September 4, 2023 and the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related obligations maturing on September 4, 2024) and pricing set at 235 basis points over SOFR. As of March 31, 2023 and September 30, 2022, we had $122.6 million and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$114.1 million of unused borrowing capacity under the Truist Credit Facility, respectively, subject to leverage and borrowing base restrictions. The Truist Credit Facility is secured by</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substantially all of our assets excluding assets held by SBIC II. As of March 31, 2023, we were in compliance with the terms of the Truist Credit Facility.</w:t>
      </w:r>
    </w:p>
    <w:p>
      <w:pPr>
        <w:spacing w:after="0" w:line="155" w:lineRule="exact"/>
        <w:rPr>
          <w:sz w:val="20"/>
          <w:szCs w:val="20"/>
          <w:color w:val="auto"/>
        </w:rPr>
      </w:pPr>
    </w:p>
    <w:p>
      <w:pPr>
        <w:ind w:right="40" w:firstLine="420"/>
        <w:spacing w:after="0" w:line="263" w:lineRule="auto"/>
        <w:rPr>
          <w:sz w:val="20"/>
          <w:szCs w:val="20"/>
          <w:color w:val="auto"/>
        </w:rPr>
      </w:pPr>
      <w:r>
        <w:rPr>
          <w:rFonts w:ascii="Arial" w:cs="Arial" w:eastAsia="Arial" w:hAnsi="Arial"/>
          <w:sz w:val="13"/>
          <w:szCs w:val="13"/>
          <w:color w:val="auto"/>
        </w:rPr>
        <w:t>On November 13, 2021, the 2024 Notes were redeemed at a redemption price of $25.00 per 2024 Note, plus accrued and unpaid interest to November 13, 2021, pursuant to the indenture governing the 2024 Notes. Accordingly, as of March 31, 2023 and September 30, 2022, we had zero in aggregate principal amount of 2024 Notes outstanding, respectively. Interest on the 2024 Notes was paid quarterly on January 15, April 15, July 15 and October 15, at a rate of 5.5% per year.</w:t>
      </w:r>
    </w:p>
    <w:p>
      <w:pPr>
        <w:spacing w:after="0" w:line="97"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 xml:space="preserve">As of March 31, 2023,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103" w:lineRule="exact"/>
        <w:rPr>
          <w:sz w:val="20"/>
          <w:szCs w:val="20"/>
          <w:color w:val="auto"/>
        </w:rPr>
      </w:pPr>
    </w:p>
    <w:p>
      <w:pPr>
        <w:ind w:right="140" w:firstLine="420"/>
        <w:spacing w:after="0" w:line="256" w:lineRule="auto"/>
        <w:rPr>
          <w:sz w:val="20"/>
          <w:szCs w:val="20"/>
          <w:color w:val="auto"/>
        </w:rPr>
      </w:pPr>
      <w:r>
        <w:rPr>
          <w:rFonts w:ascii="Arial" w:cs="Arial" w:eastAsia="Arial" w:hAnsi="Arial"/>
          <w:sz w:val="13"/>
          <w:szCs w:val="13"/>
          <w:color w:val="auto"/>
        </w:rPr>
        <w:t xml:space="preserve">As of March 31, 2023, we had $165.0 million in aggregate principal amount of 2026 Notes -2 outstanding. Interest on the 2026 Notes is paid semi -annually on May 1 and November 1, at a rate of 4.0% per year, commencing May 1, 2022. The 2026 Notes-2 mature on November 1, 2026, and may be redeemed in whole or in part at our option subject to a make-whole premium if redeemed more than three months prior to maturity. The 2026 Notes-2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03" w:lineRule="exact"/>
        <w:rPr>
          <w:sz w:val="20"/>
          <w:szCs w:val="20"/>
          <w:color w:val="auto"/>
        </w:rPr>
      </w:pPr>
    </w:p>
    <w:p>
      <w:pPr>
        <w:ind w:right="100" w:firstLine="420"/>
        <w:spacing w:after="0" w:line="263" w:lineRule="auto"/>
        <w:rPr>
          <w:sz w:val="20"/>
          <w:szCs w:val="20"/>
          <w:color w:val="auto"/>
        </w:rPr>
      </w:pPr>
      <w:r>
        <w:rPr>
          <w:rFonts w:ascii="Arial" w:cs="Arial" w:eastAsia="Arial" w:hAnsi="Arial"/>
          <w:sz w:val="13"/>
          <w:szCs w:val="13"/>
          <w:color w:val="auto"/>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2026 Notes-2 and SBA debentures. Furthermore, the Truist Credit Facility availability depends on various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4" w:right="660" w:bottom="1440" w:gutter="0" w:footer="0" w:header="0"/>
        </w:sectPr>
      </w:pPr>
    </w:p>
    <w:bookmarkStart w:id="45" w:name="page46"/>
    <w:bookmarkEnd w:id="45"/>
    <w:p>
      <w:pPr>
        <w:ind w:right="60"/>
        <w:spacing w:after="0" w:line="276" w:lineRule="auto"/>
        <w:rPr>
          <w:sz w:val="20"/>
          <w:szCs w:val="20"/>
          <w:color w:val="auto"/>
        </w:rPr>
      </w:pPr>
      <w:r>
        <w:rPr>
          <w:rFonts w:ascii="Arial" w:cs="Arial" w:eastAsia="Arial" w:hAnsi="Arial"/>
          <w:sz w:val="13"/>
          <w:szCs w:val="13"/>
          <w:color w:val="auto"/>
        </w:rPr>
        <w:t>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88" w:lineRule="exact"/>
        <w:rPr>
          <w:sz w:val="20"/>
          <w:szCs w:val="20"/>
          <w:color w:val="auto"/>
        </w:rPr>
      </w:pPr>
    </w:p>
    <w:p>
      <w:pPr>
        <w:ind w:right="20" w:firstLine="420"/>
        <w:spacing w:after="0" w:line="255"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2023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03" w:lineRule="exact"/>
        <w:rPr>
          <w:sz w:val="20"/>
          <w:szCs w:val="20"/>
          <w:color w:val="auto"/>
        </w:rPr>
      </w:pPr>
    </w:p>
    <w:p>
      <w:pPr>
        <w:ind w:right="20" w:firstLine="420"/>
        <w:spacing w:after="0" w:line="254" w:lineRule="auto"/>
        <w:rPr>
          <w:sz w:val="20"/>
          <w:szCs w:val="20"/>
          <w:color w:val="auto"/>
        </w:rPr>
      </w:pPr>
      <w:r>
        <w:rPr>
          <w:rFonts w:ascii="Arial" w:cs="Arial" w:eastAsia="Arial" w:hAnsi="Arial"/>
          <w:sz w:val="13"/>
          <w:szCs w:val="13"/>
          <w:color w:val="auto"/>
        </w:rPr>
        <w:t>Under our Administration Agreement, which was most recently reapproved by our board of directors, including a majority of our directors who are not interested persons of us, in February 2023 and amended in July 2022, the Administrator furnishes us with office facilities and administrative services necessary to conduct our day-to-day operations. The Administration Agreement was amended on July 1, 2022.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105" w:lineRule="exact"/>
        <w:rPr>
          <w:sz w:val="20"/>
          <w:szCs w:val="20"/>
          <w:color w:val="auto"/>
        </w:rPr>
      </w:pPr>
    </w:p>
    <w:p>
      <w:pPr>
        <w:jc w:val="both"/>
        <w:ind w:right="480" w:firstLine="420"/>
        <w:spacing w:after="0" w:line="263"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7" w:lineRule="exact"/>
        <w:rPr>
          <w:sz w:val="20"/>
          <w:szCs w:val="20"/>
          <w:color w:val="auto"/>
        </w:rPr>
      </w:pPr>
    </w:p>
    <w:p>
      <w:pPr>
        <w:ind w:right="60" w:firstLine="420"/>
        <w:spacing w:after="0" w:line="255"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zero and $ 20.0 million as of March 31, 2023 and September 30, 2022, respectively. SBA debentures are non-recourse to us and may be prepaid at any time without penalty. The interest rate of SBA debentures is fixed at the time of issuance, often referred to as pooling, at a market- 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39" w:lineRule="exact"/>
        <w:rPr>
          <w:sz w:val="20"/>
          <w:szCs w:val="20"/>
          <w:color w:val="auto"/>
        </w:rPr>
      </w:pPr>
    </w:p>
    <w:p>
      <w:pPr>
        <w:ind w:right="100" w:firstLine="420"/>
        <w:spacing w:after="0" w:line="256" w:lineRule="auto"/>
        <w:rPr>
          <w:sz w:val="20"/>
          <w:szCs w:val="20"/>
          <w:color w:val="auto"/>
        </w:rPr>
      </w:pPr>
      <w:r>
        <w:rPr>
          <w:rFonts w:ascii="Arial" w:cs="Arial" w:eastAsia="Arial" w:hAnsi="Arial"/>
          <w:sz w:val="13"/>
          <w:szCs w:val="13"/>
          <w:color w:val="auto"/>
        </w:rPr>
        <w:t>As of both March 31, 2023 and September 30, 2022, SBIC II had an initial $150.0 million in debt commitments, all of which were drawn. During the three and six months ended March 31, 2023, there were $20.0 million and $20.0 million of SBA debentures were repaid, respectively. During the three and six months ended March 31, 2022, there was $36.0 million and $36.0 million in SBA debentures were repaid, respectively. The SBA debentures’ upfront fees of 3.4% consist of a commitment fee of 1.0% and an issuance discount of 2.4%, which are being amortized. As of March 31, 2023 and September 30, 2022, the unamortized fees on the SBA debentures was zero and $0.3 million, respectively. We repaid the remaining $20.0 million SBA debentures during the three months ended March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00" w:type="dxa"/>
            <w:vAlign w:val="bottom"/>
            <w:gridSpan w:val="2"/>
          </w:tcPr>
          <w:p>
            <w:pPr>
              <w:ind w:left="400"/>
              <w:spacing w:after="0"/>
              <w:rPr>
                <w:sz w:val="20"/>
                <w:szCs w:val="20"/>
                <w:color w:val="auto"/>
              </w:rPr>
            </w:pPr>
            <w:r>
              <w:rPr>
                <w:rFonts w:ascii="Arial" w:cs="Arial" w:eastAsia="Arial" w:hAnsi="Arial"/>
                <w:sz w:val="13"/>
                <w:szCs w:val="13"/>
                <w:color w:val="auto"/>
              </w:rPr>
              <w:t>Our fixed-rate SBA debentures were as follows:</w:t>
            </w:r>
          </w:p>
        </w:tc>
        <w:tc>
          <w:tcPr>
            <w:tcW w:w="1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00" w:type="dxa"/>
            <w:vAlign w:val="bottom"/>
            <w:vMerge w:val="restart"/>
          </w:tcPr>
          <w:p>
            <w:pPr>
              <w:jc w:val="right"/>
              <w:ind w:right="514"/>
              <w:spacing w:after="0"/>
              <w:rPr>
                <w:sz w:val="20"/>
                <w:szCs w:val="20"/>
                <w:color w:val="auto"/>
              </w:rPr>
            </w:pPr>
            <w:r>
              <w:rPr>
                <w:rFonts w:ascii="Arial" w:cs="Arial" w:eastAsia="Arial" w:hAnsi="Arial"/>
                <w:sz w:val="13"/>
                <w:szCs w:val="13"/>
                <w:b w:val="1"/>
                <w:bCs w:val="1"/>
                <w:color w:val="auto"/>
              </w:rPr>
              <w:t xml:space="preserve">Fixed All-in Coupon Rate </w:t>
            </w:r>
            <w:r>
              <w:rPr>
                <w:rFonts w:ascii="Arial" w:cs="Arial" w:eastAsia="Arial" w:hAnsi="Arial"/>
                <w:sz w:val="16"/>
                <w:szCs w:val="16"/>
                <w:b w:val="1"/>
                <w:bCs w:val="1"/>
                <w:color w:val="auto"/>
                <w:vertAlign w:val="superscript"/>
              </w:rPr>
              <w:t>(1)</w:t>
            </w:r>
          </w:p>
        </w:tc>
        <w:tc>
          <w:tcPr>
            <w:tcW w:w="340" w:type="dxa"/>
            <w:vAlign w:val="bottom"/>
          </w:tcPr>
          <w:p>
            <w:pPr>
              <w:spacing w:after="0"/>
              <w:rPr>
                <w:sz w:val="24"/>
                <w:szCs w:val="24"/>
                <w:color w:val="auto"/>
              </w:rPr>
            </w:pPr>
          </w:p>
        </w:tc>
        <w:tc>
          <w:tcPr>
            <w:tcW w:w="1980" w:type="dxa"/>
            <w:vAlign w:val="bottom"/>
          </w:tcPr>
          <w:p>
            <w:pPr>
              <w:jc w:val="center"/>
              <w:ind w:right="114"/>
              <w:spacing w:after="0"/>
              <w:rPr>
                <w:sz w:val="20"/>
                <w:szCs w:val="20"/>
                <w:color w:val="auto"/>
              </w:rPr>
            </w:pPr>
            <w:r>
              <w:rPr>
                <w:rFonts w:ascii="Arial" w:cs="Arial" w:eastAsia="Arial" w:hAnsi="Arial"/>
                <w:sz w:val="13"/>
                <w:szCs w:val="13"/>
                <w:b w:val="1"/>
                <w:bCs w:val="1"/>
                <w:color w:val="auto"/>
              </w:rPr>
              <w:t>As of September 30, 2022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gridSpan w:val="2"/>
          </w:tcPr>
          <w:p>
            <w:pPr>
              <w:ind w:left="1100"/>
              <w:spacing w:after="0"/>
              <w:rPr>
                <w:sz w:val="20"/>
                <w:szCs w:val="20"/>
                <w:color w:val="auto"/>
              </w:rPr>
            </w:pPr>
            <w:r>
              <w:rPr>
                <w:rFonts w:ascii="Arial" w:cs="Arial" w:eastAsia="Arial" w:hAnsi="Arial"/>
                <w:sz w:val="13"/>
                <w:szCs w:val="13"/>
                <w:b w:val="1"/>
                <w:bCs w:val="1"/>
                <w:color w:val="auto"/>
              </w:rPr>
              <w:t>Issuance Dates</w:t>
            </w:r>
          </w:p>
        </w:tc>
        <w:tc>
          <w:tcPr>
            <w:tcW w:w="1920" w:type="dxa"/>
            <w:vAlign w:val="bottom"/>
          </w:tcPr>
          <w:p>
            <w:pPr>
              <w:ind w:left="820"/>
              <w:spacing w:after="0"/>
              <w:rPr>
                <w:sz w:val="20"/>
                <w:szCs w:val="20"/>
                <w:color w:val="auto"/>
              </w:rPr>
            </w:pPr>
            <w:r>
              <w:rPr>
                <w:rFonts w:ascii="Arial" w:cs="Arial" w:eastAsia="Arial" w:hAnsi="Arial"/>
                <w:sz w:val="13"/>
                <w:szCs w:val="13"/>
                <w:b w:val="1"/>
                <w:bCs w:val="1"/>
                <w:color w:val="auto"/>
              </w:rPr>
              <w:t>Maturity</w:t>
            </w:r>
          </w:p>
        </w:tc>
        <w:tc>
          <w:tcPr>
            <w:tcW w:w="2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jc w:val="center"/>
              <w:ind w:right="134"/>
              <w:spacing w:after="0"/>
              <w:rPr>
                <w:sz w:val="20"/>
                <w:szCs w:val="20"/>
                <w:color w:val="auto"/>
              </w:rPr>
            </w:pPr>
            <w:r>
              <w:rPr>
                <w:rFonts w:ascii="Arial" w:cs="Arial" w:eastAsia="Arial" w:hAnsi="Arial"/>
                <w:sz w:val="13"/>
                <w:szCs w:val="13"/>
                <w:b w:val="1"/>
                <w:bCs w:val="1"/>
                <w:color w:val="auto"/>
              </w:rPr>
              <w:t>Principal Balance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gridSpan w:val="2"/>
          </w:tcPr>
          <w:p>
            <w:pPr>
              <w:spacing w:after="0"/>
              <w:rPr>
                <w:sz w:val="20"/>
                <w:szCs w:val="20"/>
                <w:color w:val="auto"/>
              </w:rPr>
            </w:pPr>
            <w:r>
              <w:rPr>
                <w:rFonts w:ascii="Arial" w:cs="Arial" w:eastAsia="Arial" w:hAnsi="Arial"/>
                <w:sz w:val="13"/>
                <w:szCs w:val="13"/>
                <w:color w:val="auto"/>
              </w:rPr>
              <w:t>September 20, 2017</w:t>
            </w:r>
          </w:p>
        </w:tc>
        <w:tc>
          <w:tcPr>
            <w:tcW w:w="1920" w:type="dxa"/>
            <w:vAlign w:val="bottom"/>
          </w:tcPr>
          <w:p>
            <w:pPr>
              <w:ind w:left="120"/>
              <w:spacing w:after="0"/>
              <w:rPr>
                <w:sz w:val="20"/>
                <w:szCs w:val="20"/>
                <w:color w:val="auto"/>
              </w:rPr>
            </w:pPr>
            <w:r>
              <w:rPr>
                <w:rFonts w:ascii="Arial" w:cs="Arial" w:eastAsia="Arial" w:hAnsi="Arial"/>
                <w:sz w:val="13"/>
                <w:szCs w:val="13"/>
                <w:color w:val="auto"/>
              </w:rPr>
              <w:t>September 1, 2027</w:t>
            </w:r>
          </w:p>
        </w:tc>
        <w:tc>
          <w:tcPr>
            <w:tcW w:w="2900" w:type="dxa"/>
            <w:vAlign w:val="bottom"/>
          </w:tcPr>
          <w:p>
            <w:pPr>
              <w:jc w:val="right"/>
              <w:ind w:right="74"/>
              <w:spacing w:after="0"/>
              <w:rPr>
                <w:sz w:val="20"/>
                <w:szCs w:val="20"/>
                <w:color w:val="auto"/>
              </w:rPr>
            </w:pPr>
            <w:r>
              <w:rPr>
                <w:rFonts w:ascii="Arial" w:cs="Arial" w:eastAsia="Arial" w:hAnsi="Arial"/>
                <w:sz w:val="13"/>
                <w:szCs w:val="13"/>
                <w:color w:val="auto"/>
              </w:rPr>
              <w:t>2.9 %</w:t>
            </w:r>
          </w:p>
        </w:tc>
        <w:tc>
          <w:tcPr>
            <w:tcW w:w="3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980" w:type="dxa"/>
            <w:vAlign w:val="bottom"/>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66"/>
        </w:trPr>
        <w:tc>
          <w:tcPr>
            <w:tcW w:w="3320" w:type="dxa"/>
            <w:vAlign w:val="bottom"/>
            <w:gridSpan w:val="3"/>
          </w:tcPr>
          <w:p>
            <w:pPr>
              <w:spacing w:after="0"/>
              <w:rPr>
                <w:sz w:val="14"/>
                <w:szCs w:val="14"/>
                <w:color w:val="auto"/>
              </w:rPr>
            </w:pPr>
          </w:p>
        </w:tc>
        <w:tc>
          <w:tcPr>
            <w:tcW w:w="1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Excluding 3.4% of upfront</w:t>
            </w:r>
          </w:p>
        </w:tc>
        <w:tc>
          <w:tcPr>
            <w:tcW w:w="1540" w:type="dxa"/>
            <w:vAlign w:val="bottom"/>
          </w:tcPr>
          <w:p>
            <w:pPr>
              <w:spacing w:after="0"/>
              <w:rPr>
                <w:sz w:val="20"/>
                <w:szCs w:val="20"/>
                <w:color w:val="auto"/>
              </w:rPr>
            </w:pPr>
            <w:r>
              <w:rPr>
                <w:rFonts w:ascii="Arial" w:cs="Arial" w:eastAsia="Arial" w:hAnsi="Arial"/>
                <w:sz w:val="13"/>
                <w:szCs w:val="13"/>
                <w:color w:val="auto"/>
              </w:rPr>
              <w:t>fees.</w:t>
            </w:r>
          </w:p>
        </w:tc>
        <w:tc>
          <w:tcPr>
            <w:tcW w:w="1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right="60" w:firstLine="420"/>
        <w:spacing w:after="0" w:line="256" w:lineRule="auto"/>
        <w:rPr>
          <w:sz w:val="20"/>
          <w:szCs w:val="20"/>
          <w:color w:val="auto"/>
        </w:rPr>
      </w:pPr>
      <w:r>
        <w:rPr>
          <w:rFonts w:ascii="Arial" w:cs="Arial" w:eastAsia="Arial" w:hAnsi="Arial"/>
          <w:sz w:val="13"/>
          <w:szCs w:val="13"/>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2023, SBIC II was in compliance with their regulatory requirements.</w:t>
      </w:r>
    </w:p>
    <w:p>
      <w:pPr>
        <w:spacing w:after="0" w:line="139"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required 150% asset coverage ratio is met after such borrowing. As of March 31, 2023 and September 30, 2022,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39" w:lineRule="exact"/>
        <w:rPr>
          <w:sz w:val="20"/>
          <w:szCs w:val="20"/>
          <w:color w:val="auto"/>
        </w:rPr>
      </w:pPr>
    </w:p>
    <w:p>
      <w:pPr>
        <w:ind w:right="520" w:firstLine="420"/>
        <w:spacing w:after="0" w:line="276" w:lineRule="auto"/>
        <w:rPr>
          <w:sz w:val="20"/>
          <w:szCs w:val="20"/>
          <w:color w:val="auto"/>
        </w:rPr>
      </w:pPr>
      <w:r>
        <w:rPr>
          <w:rFonts w:ascii="Arial" w:cs="Arial" w:eastAsia="Arial" w:hAnsi="Arial"/>
          <w:sz w:val="13"/>
          <w:szCs w:val="13"/>
          <w:color w:val="auto"/>
        </w:rPr>
        <w:t>As of March 31, 2023 and September 30, 2022, we had cash and cash equivalents of $63.1 million and $52.7 million, respectively, available for investing and general corporate purposes. We believe our liquidity and capital resources are sufficient to allows us to effectively operate our business.</w:t>
      </w:r>
    </w:p>
    <w:p>
      <w:pPr>
        <w:spacing w:after="0" w:line="124" w:lineRule="exact"/>
        <w:rPr>
          <w:sz w:val="20"/>
          <w:szCs w:val="20"/>
          <w:color w:val="auto"/>
        </w:rPr>
      </w:pPr>
    </w:p>
    <w:p>
      <w:pPr>
        <w:ind w:right="520" w:firstLine="420"/>
        <w:spacing w:after="0" w:line="276" w:lineRule="auto"/>
        <w:rPr>
          <w:sz w:val="20"/>
          <w:szCs w:val="20"/>
          <w:color w:val="auto"/>
        </w:rPr>
      </w:pPr>
      <w:r>
        <w:rPr>
          <w:rFonts w:ascii="Arial" w:cs="Arial" w:eastAsia="Arial" w:hAnsi="Arial"/>
          <w:sz w:val="13"/>
          <w:szCs w:val="13"/>
          <w:color w:val="auto"/>
        </w:rPr>
        <w:t>For the six months ended March 31, 2023, our operating activities provided cash of $59.3 million and our financing activities used cash of $49.0 million. Our operating activities used cash primarily due to our investment activities and our financing activities used cash primarily due to repayments under the Truist Credit Facility.</w:t>
      </w:r>
    </w:p>
    <w:p>
      <w:pPr>
        <w:spacing w:after="0" w:line="200" w:lineRule="exact"/>
        <w:rPr>
          <w:sz w:val="20"/>
          <w:szCs w:val="20"/>
          <w:color w:val="auto"/>
        </w:rPr>
      </w:pPr>
    </w:p>
    <w:p>
      <w:pPr>
        <w:spacing w:after="0" w:line="236" w:lineRule="exact"/>
        <w:rPr>
          <w:sz w:val="20"/>
          <w:szCs w:val="20"/>
          <w:color w:val="auto"/>
        </w:rPr>
      </w:pPr>
    </w:p>
    <w:p>
      <w:pPr>
        <w:ind w:right="520" w:firstLine="366"/>
        <w:spacing w:after="0" w:line="276" w:lineRule="auto"/>
        <w:rPr>
          <w:sz w:val="20"/>
          <w:szCs w:val="20"/>
          <w:color w:val="auto"/>
        </w:rPr>
      </w:pPr>
      <w:r>
        <w:rPr>
          <w:rFonts w:ascii="Arial" w:cs="Arial" w:eastAsia="Arial" w:hAnsi="Arial"/>
          <w:sz w:val="13"/>
          <w:szCs w:val="13"/>
          <w:color w:val="auto"/>
        </w:rPr>
        <w:t>For the six months ended March 31, 2022, our operating activities provided cash of $89.8 million, and our financing activities used cash of $83.9 million. Our operating activities provided cash primarily from proceeds from our investment activities and our financing activities used cash primarily due to fund under the Truist Credit Facility.</w:t>
      </w: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PennantPark Senior Loan Fund, LLC</w:t>
      </w:r>
    </w:p>
    <w:p>
      <w:pPr>
        <w:spacing w:after="0" w:line="171" w:lineRule="exact"/>
        <w:rPr>
          <w:sz w:val="20"/>
          <w:szCs w:val="20"/>
          <w:color w:val="auto"/>
        </w:rPr>
      </w:pPr>
    </w:p>
    <w:p>
      <w:pPr>
        <w:ind w:right="40" w:firstLine="420"/>
        <w:spacing w:after="0" w:line="255" w:lineRule="auto"/>
        <w:rPr>
          <w:sz w:val="20"/>
          <w:szCs w:val="20"/>
          <w:color w:val="auto"/>
        </w:rPr>
      </w:pPr>
      <w:r>
        <w:rPr>
          <w:rFonts w:ascii="Arial" w:cs="Arial" w:eastAsia="Arial" w:hAnsi="Arial"/>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March 31, 2023 and September 30, 2022, PSLF had total assets of $ 793.0 million and $781.3 million, respectively and its investment portfolio consisted of debt investments in 86 and 80 portfolio companies, respectively. As of March 31, 2023, at fair value, the largest investment in a single portfolio company in PSLF was $19.8 million and the five largest investments totaled $97.6 million. As of September 30, 2022, at fair value, the largest investment in a single portfolio company in PSLF was $19.9 million and the five largest investments totaled $98.5 million. PSLF invests in portfolio companies in the same industries in which we may directly invest.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62" w:right="660" w:bottom="1440" w:gutter="0" w:footer="0" w:header="0"/>
        </w:sectPr>
      </w:pPr>
    </w:p>
    <w:bookmarkStart w:id="46" w:name="page47"/>
    <w:bookmarkEnd w:id="46"/>
    <w:p>
      <w:pPr>
        <w:ind w:right="120" w:firstLine="420"/>
        <w:spacing w:after="0" w:line="259" w:lineRule="auto"/>
        <w:rPr>
          <w:sz w:val="20"/>
          <w:szCs w:val="20"/>
          <w:color w:val="auto"/>
        </w:rPr>
      </w:pPr>
      <w:r>
        <w:rPr>
          <w:rFonts w:ascii="Arial" w:cs="Arial" w:eastAsia="Arial" w:hAnsi="Arial"/>
          <w:sz w:val="13"/>
          <w:szCs w:val="13"/>
          <w:color w:val="auto"/>
        </w:rPr>
        <w:t>We and Pantheon provide capital to PSLF in the form of subordinated notes and equity interests. As of March 31, 2023 and September 30, 2022, we and Pantheon owned 60.5% and 39.5%, respectively, of each of the outstanding subordinated notes and equity interests of PSLF. As of March 31, 2023 and September 30, 2022 our investment in PSLF consisted of subordinated notes of $95.4 million (additional $20.5 million unfunded) and $88.0 million (additional $27.9 million unfunded), respectively, and equity interests of $57.5 million (additional $13.3 million unfunded) and $54.8 million (additional $18.3 million unfunded), respectively.</w:t>
      </w:r>
    </w:p>
    <w:p>
      <w:pPr>
        <w:spacing w:after="0" w:line="135" w:lineRule="exact"/>
        <w:rPr>
          <w:sz w:val="20"/>
          <w:szCs w:val="20"/>
          <w:color w:val="auto"/>
        </w:rPr>
      </w:pPr>
    </w:p>
    <w:p>
      <w:pPr>
        <w:ind w:right="140" w:firstLine="420"/>
        <w:spacing w:after="0" w:line="255" w:lineRule="auto"/>
        <w:rPr>
          <w:sz w:val="20"/>
          <w:szCs w:val="20"/>
          <w:color w:val="auto"/>
        </w:rPr>
      </w:pPr>
      <w:r>
        <w:rPr>
          <w:rFonts w:ascii="Arial" w:cs="Arial" w:eastAsia="Arial" w:hAnsi="Arial"/>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9" w:lineRule="exact"/>
        <w:rPr>
          <w:sz w:val="20"/>
          <w:szCs w:val="20"/>
          <w:color w:val="auto"/>
        </w:rPr>
      </w:pPr>
    </w:p>
    <w:p>
      <w:pPr>
        <w:ind w:right="180" w:firstLine="420"/>
        <w:spacing w:after="0" w:line="263" w:lineRule="auto"/>
        <w:rPr>
          <w:sz w:val="20"/>
          <w:szCs w:val="20"/>
          <w:color w:val="auto"/>
        </w:rPr>
      </w:pPr>
      <w:r>
        <w:rPr>
          <w:rFonts w:ascii="Arial" w:cs="Arial" w:eastAsia="Arial" w:hAnsi="Arial"/>
          <w:sz w:val="13"/>
          <w:szCs w:val="13"/>
          <w:color w:val="auto"/>
        </w:rPr>
        <w:t>Additionally, PSLF, through its wholly -owned subsidiary, or PSLF Subsidiary, has entered into a $325.0 million (increased from $225.0 million on September 2, 2022) senior secured revolving credit facility, or the PSLF Credit Facility, with BNP Paribas, which bears interest at SOFR (or an alternative risk-free interest rate index) plus 260 basis points during the investment period and is subject to leverage and borrowing base restrictions.</w:t>
      </w:r>
    </w:p>
    <w:p>
      <w:pPr>
        <w:spacing w:after="0" w:line="133" w:lineRule="exact"/>
        <w:rPr>
          <w:sz w:val="20"/>
          <w:szCs w:val="20"/>
          <w:color w:val="auto"/>
        </w:rPr>
      </w:pPr>
    </w:p>
    <w:p>
      <w:pPr>
        <w:ind w:right="140" w:firstLine="420"/>
        <w:spacing w:after="0" w:line="255" w:lineRule="auto"/>
        <w:rPr>
          <w:sz w:val="20"/>
          <w:szCs w:val="20"/>
          <w:color w:val="auto"/>
        </w:rPr>
      </w:pPr>
      <w:r>
        <w:rPr>
          <w:rFonts w:ascii="Arial" w:cs="Arial" w:eastAsia="Arial" w:hAnsi="Arial"/>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Below is a summary of PSLF’s portfolio at fair value: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60" w:type="dxa"/>
            <w:vAlign w:val="bottom"/>
          </w:tcPr>
          <w:p>
            <w:pPr>
              <w:ind w:left="20"/>
              <w:spacing w:after="0"/>
              <w:rPr>
                <w:sz w:val="20"/>
                <w:szCs w:val="20"/>
                <w:color w:val="auto"/>
              </w:rPr>
            </w:pPr>
            <w:r>
              <w:rPr>
                <w:rFonts w:ascii="Arial" w:cs="Arial" w:eastAsia="Arial" w:hAnsi="Arial"/>
                <w:sz w:val="13"/>
                <w:szCs w:val="13"/>
                <w:color w:val="auto"/>
              </w:rPr>
              <w:t>($ in thousands)</w:t>
            </w:r>
          </w:p>
        </w:tc>
        <w:tc>
          <w:tcPr>
            <w:tcW w:w="1940" w:type="dxa"/>
            <w:vAlign w:val="bottom"/>
          </w:tcPr>
          <w:p>
            <w:pPr>
              <w:spacing w:after="0"/>
              <w:rPr>
                <w:sz w:val="15"/>
                <w:szCs w:val="15"/>
                <w:color w:val="auto"/>
              </w:rPr>
            </w:pPr>
          </w:p>
        </w:tc>
        <w:tc>
          <w:tcPr>
            <w:tcW w:w="1520" w:type="dxa"/>
            <w:vAlign w:val="bottom"/>
          </w:tcPr>
          <w:p>
            <w:pPr>
              <w:jc w:val="right"/>
              <w:ind w:right="414"/>
              <w:spacing w:after="0"/>
              <w:rPr>
                <w:sz w:val="20"/>
                <w:szCs w:val="20"/>
                <w:color w:val="auto"/>
              </w:rPr>
            </w:pPr>
            <w:r>
              <w:rPr>
                <w:rFonts w:ascii="Arial" w:cs="Arial" w:eastAsia="Arial" w:hAnsi="Arial"/>
                <w:sz w:val="13"/>
                <w:szCs w:val="13"/>
                <w:b w:val="1"/>
                <w:bCs w:val="1"/>
                <w:color w:val="auto"/>
              </w:rPr>
              <w:t>March 31, 2023</w:t>
            </w:r>
          </w:p>
        </w:tc>
        <w:tc>
          <w:tcPr>
            <w:tcW w:w="18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September 30, 2022</w:t>
            </w:r>
          </w:p>
        </w:tc>
      </w:tr>
      <w:tr>
        <w:trPr>
          <w:trHeight w:val="180"/>
        </w:trPr>
        <w:tc>
          <w:tcPr>
            <w:tcW w:w="5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investments</w:t>
            </w:r>
          </w:p>
        </w:tc>
        <w:tc>
          <w:tcPr>
            <w:tcW w:w="194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747,561</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730,108</w:t>
            </w:r>
          </w:p>
        </w:tc>
        <w:tc>
          <w:tcPr>
            <w:tcW w:w="40" w:type="dxa"/>
            <w:vAlign w:val="bottom"/>
          </w:tcPr>
          <w:p>
            <w:pPr>
              <w:spacing w:after="0"/>
              <w:rPr>
                <w:sz w:val="15"/>
                <w:szCs w:val="15"/>
                <w:color w:val="auto"/>
              </w:rPr>
            </w:pPr>
          </w:p>
        </w:tc>
      </w:tr>
      <w:tr>
        <w:trPr>
          <w:trHeight w:val="175"/>
        </w:trPr>
        <w:tc>
          <w:tcPr>
            <w:tcW w:w="5460" w:type="dxa"/>
            <w:vAlign w:val="bottom"/>
          </w:tcPr>
          <w:p>
            <w:pPr>
              <w:ind w:left="20"/>
              <w:spacing w:after="0"/>
              <w:rPr>
                <w:sz w:val="20"/>
                <w:szCs w:val="20"/>
                <w:color w:val="auto"/>
              </w:rPr>
            </w:pPr>
            <w:r>
              <w:rPr>
                <w:rFonts w:ascii="Arial" w:cs="Arial" w:eastAsia="Arial" w:hAnsi="Arial"/>
                <w:sz w:val="13"/>
                <w:szCs w:val="13"/>
                <w:color w:val="auto"/>
              </w:rPr>
              <w:t>Weighted average cost yield on income producing investments</w:t>
            </w:r>
          </w:p>
        </w:tc>
        <w:tc>
          <w:tcPr>
            <w:tcW w:w="1940" w:type="dxa"/>
            <w:vAlign w:val="bottom"/>
          </w:tcPr>
          <w:p>
            <w:pPr>
              <w:spacing w:after="0"/>
              <w:rPr>
                <w:sz w:val="15"/>
                <w:szCs w:val="15"/>
                <w:color w:val="auto"/>
              </w:rPr>
            </w:pPr>
          </w:p>
        </w:tc>
        <w:tc>
          <w:tcPr>
            <w:tcW w:w="1520" w:type="dxa"/>
            <w:vAlign w:val="bottom"/>
          </w:tcPr>
          <w:p>
            <w:pPr>
              <w:jc w:val="right"/>
              <w:ind w:right="14"/>
              <w:spacing w:after="0"/>
              <w:rPr>
                <w:sz w:val="20"/>
                <w:szCs w:val="20"/>
                <w:color w:val="auto"/>
              </w:rPr>
            </w:pPr>
            <w:r>
              <w:rPr>
                <w:rFonts w:ascii="Arial" w:cs="Arial" w:eastAsia="Arial" w:hAnsi="Arial"/>
                <w:sz w:val="13"/>
                <w:szCs w:val="13"/>
                <w:color w:val="auto"/>
              </w:rPr>
              <w:t>11.3 %</w:t>
            </w:r>
          </w:p>
        </w:tc>
        <w:tc>
          <w:tcPr>
            <w:tcW w:w="1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9.4 %</w:t>
            </w:r>
          </w:p>
        </w:tc>
      </w:tr>
      <w:tr>
        <w:trPr>
          <w:trHeight w:val="185"/>
        </w:trPr>
        <w:tc>
          <w:tcPr>
            <w:tcW w:w="5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Number of portfolio companies in PSLF</w:t>
            </w:r>
          </w:p>
        </w:tc>
        <w:tc>
          <w:tcPr>
            <w:tcW w:w="1940" w:type="dxa"/>
            <w:vAlign w:val="bottom"/>
            <w:shd w:val="clear" w:color="auto" w:fill="CCECFF"/>
          </w:tcPr>
          <w:p>
            <w:pPr>
              <w:spacing w:after="0"/>
              <w:rPr>
                <w:sz w:val="16"/>
                <w:szCs w:val="16"/>
                <w:color w:val="auto"/>
              </w:rPr>
            </w:pPr>
          </w:p>
        </w:tc>
        <w:tc>
          <w:tcPr>
            <w:tcW w:w="152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86</w:t>
            </w:r>
          </w:p>
        </w:tc>
        <w:tc>
          <w:tcPr>
            <w:tcW w:w="180" w:type="dxa"/>
            <w:vAlign w:val="bottom"/>
            <w:shd w:val="clear" w:color="auto" w:fill="CCECFF"/>
          </w:tcPr>
          <w:p>
            <w:pPr>
              <w:spacing w:after="0"/>
              <w:rPr>
                <w:sz w:val="16"/>
                <w:szCs w:val="16"/>
                <w:color w:val="auto"/>
              </w:rPr>
            </w:pP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80</w:t>
            </w:r>
          </w:p>
        </w:tc>
        <w:tc>
          <w:tcPr>
            <w:tcW w:w="40" w:type="dxa"/>
            <w:vAlign w:val="bottom"/>
          </w:tcPr>
          <w:p>
            <w:pPr>
              <w:spacing w:after="0"/>
              <w:rPr>
                <w:sz w:val="16"/>
                <w:szCs w:val="16"/>
                <w:color w:val="auto"/>
              </w:rPr>
            </w:pPr>
          </w:p>
        </w:tc>
      </w:tr>
      <w:tr>
        <w:trPr>
          <w:trHeight w:val="175"/>
        </w:trPr>
        <w:tc>
          <w:tcPr>
            <w:tcW w:w="5460" w:type="dxa"/>
            <w:vAlign w:val="bottom"/>
          </w:tcPr>
          <w:p>
            <w:pPr>
              <w:ind w:left="20"/>
              <w:spacing w:after="0"/>
              <w:rPr>
                <w:sz w:val="20"/>
                <w:szCs w:val="20"/>
                <w:color w:val="auto"/>
              </w:rPr>
            </w:pPr>
            <w:r>
              <w:rPr>
                <w:rFonts w:ascii="Arial" w:cs="Arial" w:eastAsia="Arial" w:hAnsi="Arial"/>
                <w:sz w:val="13"/>
                <w:szCs w:val="13"/>
                <w:color w:val="auto"/>
              </w:rPr>
              <w:t>Largest portfolio company investment at fair value</w:t>
            </w:r>
          </w:p>
        </w:tc>
        <w:tc>
          <w:tcPr>
            <w:tcW w:w="1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4"/>
              <w:spacing w:after="0"/>
              <w:rPr>
                <w:sz w:val="20"/>
                <w:szCs w:val="20"/>
                <w:color w:val="auto"/>
              </w:rPr>
            </w:pPr>
            <w:r>
              <w:rPr>
                <w:rFonts w:ascii="Arial" w:cs="Arial" w:eastAsia="Arial" w:hAnsi="Arial"/>
                <w:sz w:val="13"/>
                <w:szCs w:val="13"/>
                <w:color w:val="auto"/>
              </w:rPr>
              <w:t>19,750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34"/>
              <w:spacing w:after="0"/>
              <w:rPr>
                <w:sz w:val="20"/>
                <w:szCs w:val="20"/>
                <w:color w:val="auto"/>
              </w:rPr>
            </w:pPr>
            <w:r>
              <w:rPr>
                <w:rFonts w:ascii="Arial" w:cs="Arial" w:eastAsia="Arial" w:hAnsi="Arial"/>
                <w:sz w:val="13"/>
                <w:szCs w:val="13"/>
                <w:color w:val="auto"/>
              </w:rPr>
              <w:t>19,906</w:t>
            </w:r>
          </w:p>
        </w:tc>
        <w:tc>
          <w:tcPr>
            <w:tcW w:w="40" w:type="dxa"/>
            <w:vAlign w:val="bottom"/>
          </w:tcPr>
          <w:p>
            <w:pPr>
              <w:spacing w:after="0"/>
              <w:rPr>
                <w:sz w:val="15"/>
                <w:szCs w:val="15"/>
                <w:color w:val="auto"/>
              </w:rPr>
            </w:pPr>
          </w:p>
        </w:tc>
      </w:tr>
      <w:tr>
        <w:trPr>
          <w:trHeight w:val="185"/>
        </w:trPr>
        <w:tc>
          <w:tcPr>
            <w:tcW w:w="546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of five largest portfolio company investments at fair value</w:t>
            </w:r>
          </w:p>
        </w:tc>
        <w:tc>
          <w:tcPr>
            <w:tcW w:w="194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97,638</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98,502</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47" w:name="page48"/>
    <w:bookmarkEnd w:id="47"/>
    <w:p>
      <w:pPr>
        <w:ind w:left="420"/>
        <w:spacing w:after="0"/>
        <w:rPr>
          <w:sz w:val="20"/>
          <w:szCs w:val="20"/>
          <w:color w:val="auto"/>
        </w:rPr>
      </w:pPr>
      <w:r>
        <w:rPr>
          <w:rFonts w:ascii="Arial" w:cs="Arial" w:eastAsia="Arial" w:hAnsi="Arial"/>
          <w:sz w:val="13"/>
          <w:szCs w:val="13"/>
          <w:color w:val="auto"/>
        </w:rPr>
        <w:t>Below is a listing of PSLF’s individual investments as of March 31, 2023 ($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jc w:val="center"/>
              <w:ind w:right="52"/>
              <w:spacing w:after="0"/>
              <w:rPr>
                <w:sz w:val="20"/>
                <w:szCs w:val="20"/>
                <w:color w:val="auto"/>
              </w:rPr>
            </w:pPr>
            <w:r>
              <w:rPr>
                <w:rFonts w:ascii="Arial" w:cs="Arial" w:eastAsia="Arial" w:hAnsi="Arial"/>
                <w:sz w:val="10"/>
                <w:szCs w:val="10"/>
                <w:b w:val="1"/>
                <w:bCs w:val="1"/>
                <w:color w:val="auto"/>
                <w:w w:val="95"/>
              </w:rPr>
              <w:t>Basis Point</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98"/>
              </w:rPr>
              <w:t>Spread Above</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Maturity</w:t>
            </w:r>
          </w:p>
        </w:tc>
        <w:tc>
          <w:tcPr>
            <w:tcW w:w="2360" w:type="dxa"/>
            <w:vAlign w:val="bottom"/>
          </w:tcPr>
          <w:p>
            <w:pPr>
              <w:jc w:val="center"/>
              <w:ind w:right="12"/>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600" w:type="dxa"/>
            <w:vAlign w:val="bottom"/>
          </w:tcPr>
          <w:p>
            <w:pPr>
              <w:jc w:val="right"/>
              <w:ind w:right="252"/>
              <w:spacing w:after="0"/>
              <w:rPr>
                <w:sz w:val="20"/>
                <w:szCs w:val="20"/>
                <w:color w:val="auto"/>
              </w:rPr>
            </w:pPr>
            <w:r>
              <w:rPr>
                <w:rFonts w:ascii="Arial" w:cs="Arial" w:eastAsia="Arial" w:hAnsi="Arial"/>
                <w:sz w:val="10"/>
                <w:szCs w:val="10"/>
                <w:b w:val="1"/>
                <w:bCs w:val="1"/>
                <w:color w:val="auto"/>
              </w:rPr>
              <w:t>Par</w:t>
            </w:r>
          </w:p>
        </w:tc>
        <w:tc>
          <w:tcPr>
            <w:tcW w:w="720" w:type="dxa"/>
            <w:vAlign w:val="bottom"/>
          </w:tcPr>
          <w:p>
            <w:pPr>
              <w:jc w:val="right"/>
              <w:ind w:right="212"/>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2"/>
                <w:szCs w:val="12"/>
                <w:color w:val="auto"/>
              </w:rPr>
            </w:pPr>
          </w:p>
        </w:tc>
        <w:tc>
          <w:tcPr>
            <w:tcW w:w="700" w:type="dxa"/>
            <w:vAlign w:val="bottom"/>
          </w:tcPr>
          <w:p>
            <w:pPr>
              <w:jc w:val="right"/>
              <w:ind w:right="112"/>
              <w:spacing w:after="0"/>
              <w:rPr>
                <w:sz w:val="20"/>
                <w:szCs w:val="20"/>
                <w:color w:val="auto"/>
              </w:rPr>
            </w:pPr>
            <w:r>
              <w:rPr>
                <w:rFonts w:ascii="Arial" w:cs="Arial" w:eastAsia="Arial" w:hAnsi="Arial"/>
                <w:sz w:val="10"/>
                <w:szCs w:val="10"/>
                <w:b w:val="1"/>
                <w:bCs w:val="1"/>
                <w:color w:val="auto"/>
                <w:w w:val="90"/>
              </w:rPr>
              <w:t>Fair Value</w:t>
            </w:r>
            <w:r>
              <w:rPr>
                <w:rFonts w:ascii="Arial" w:cs="Arial" w:eastAsia="Arial" w:hAnsi="Arial"/>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- 847.4%</w:t>
            </w:r>
          </w:p>
        </w:tc>
        <w:tc>
          <w:tcPr>
            <w:tcW w:w="9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A1 Garage Merger Sub,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12/22/2028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15,000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   14,726</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14,775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Ad.net Acquisition,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5/7/2026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4,913</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4,913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4,876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Alpine Acquisition Corp II</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11/30/2026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Containers, Packaging and Glass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10.45 %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14,912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14,574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14,316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Altamira Technologies,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7/24/2025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10.83 %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846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840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846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Amsive Holding Corporation (f/k/a Vision Purchaser Corporation)</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6/10/2025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11.30 %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14,031</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13,919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13,820</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Anteriad, LLC (f/k/a MeritDirect,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5/23/2024</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10.55 %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14,761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14,707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14,318</w:t>
            </w:r>
          </w:p>
        </w:tc>
        <w:tc>
          <w:tcPr>
            <w:tcW w:w="0" w:type="dxa"/>
            <w:vAlign w:val="bottom"/>
          </w:tcPr>
          <w:p>
            <w:pPr>
              <w:spacing w:after="0"/>
              <w:rPr>
                <w:sz w:val="1"/>
                <w:szCs w:val="1"/>
                <w:color w:val="auto"/>
              </w:rPr>
            </w:pPr>
          </w:p>
        </w:tc>
      </w:tr>
      <w:tr>
        <w:trPr>
          <w:trHeight w:val="140"/>
        </w:trPr>
        <w:tc>
          <w:tcPr>
            <w:tcW w:w="30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Any Hour Services</w:t>
            </w:r>
          </w:p>
        </w:tc>
        <w:tc>
          <w:tcPr>
            <w:tcW w:w="960" w:type="dxa"/>
            <w:vAlign w:val="bottom"/>
            <w:vMerge w:val="restart"/>
            <w:shd w:val="clear" w:color="auto" w:fill="CCECFF"/>
          </w:tcPr>
          <w:p>
            <w:pPr>
              <w:jc w:val="center"/>
              <w:ind w:left="92"/>
              <w:spacing w:after="0"/>
              <w:rPr>
                <w:sz w:val="20"/>
                <w:szCs w:val="20"/>
                <w:color w:val="auto"/>
              </w:rPr>
            </w:pPr>
            <w:r>
              <w:rPr>
                <w:rFonts w:ascii="Arial" w:cs="Arial" w:eastAsia="Arial" w:hAnsi="Arial"/>
                <w:sz w:val="10"/>
                <w:szCs w:val="10"/>
                <w:color w:val="auto"/>
                <w:w w:val="94"/>
              </w:rPr>
              <w:t>7/21/2027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10.53 %</w:t>
            </w:r>
          </w:p>
        </w:tc>
        <w:tc>
          <w:tcPr>
            <w:tcW w:w="980" w:type="dxa"/>
            <w:vAlign w:val="bottom"/>
            <w:vMerge w:val="restart"/>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9,877</w:t>
            </w:r>
          </w:p>
        </w:tc>
        <w:tc>
          <w:tcPr>
            <w:tcW w:w="7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9,870</w:t>
            </w:r>
          </w:p>
        </w:tc>
        <w:tc>
          <w:tcPr>
            <w:tcW w:w="16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9,605</w:t>
            </w:r>
          </w:p>
        </w:tc>
        <w:tc>
          <w:tcPr>
            <w:tcW w:w="0" w:type="dxa"/>
            <w:vAlign w:val="bottom"/>
          </w:tcPr>
          <w:p>
            <w:pPr>
              <w:spacing w:after="0"/>
              <w:rPr>
                <w:sz w:val="1"/>
                <w:szCs w:val="1"/>
                <w:color w:val="auto"/>
              </w:rPr>
            </w:pPr>
          </w:p>
        </w:tc>
      </w:tr>
      <w:tr>
        <w:trPr>
          <w:trHeight w:val="104"/>
        </w:trPr>
        <w:tc>
          <w:tcPr>
            <w:tcW w:w="3060" w:type="dxa"/>
            <w:vAlign w:val="bottom"/>
            <w:vMerge w:val="continue"/>
            <w:shd w:val="clear" w:color="auto" w:fill="CCECFF"/>
          </w:tcPr>
          <w:p>
            <w:pPr>
              <w:spacing w:after="0"/>
              <w:rPr>
                <w:sz w:val="9"/>
                <w:szCs w:val="9"/>
                <w:color w:val="auto"/>
              </w:rPr>
            </w:pPr>
          </w:p>
        </w:tc>
        <w:tc>
          <w:tcPr>
            <w:tcW w:w="960" w:type="dxa"/>
            <w:vAlign w:val="bottom"/>
            <w:vMerge w:val="continue"/>
            <w:shd w:val="clear" w:color="auto" w:fill="CCECFF"/>
          </w:tcPr>
          <w:p>
            <w:pPr>
              <w:spacing w:after="0"/>
              <w:rPr>
                <w:sz w:val="9"/>
                <w:szCs w:val="9"/>
                <w:color w:val="auto"/>
              </w:rPr>
            </w:pPr>
          </w:p>
        </w:tc>
        <w:tc>
          <w:tcPr>
            <w:tcW w:w="2360" w:type="dxa"/>
            <w:vAlign w:val="bottom"/>
            <w:shd w:val="clear" w:color="auto" w:fill="CCECFF"/>
          </w:tcPr>
          <w:p>
            <w:pPr>
              <w:spacing w:after="0"/>
              <w:rPr>
                <w:sz w:val="9"/>
                <w:szCs w:val="9"/>
                <w:color w:val="auto"/>
              </w:rPr>
            </w:pPr>
          </w:p>
        </w:tc>
        <w:tc>
          <w:tcPr>
            <w:tcW w:w="1020" w:type="dxa"/>
            <w:vAlign w:val="bottom"/>
            <w:vMerge w:val="continue"/>
            <w:shd w:val="clear" w:color="auto" w:fill="CCECFF"/>
          </w:tcPr>
          <w:p>
            <w:pPr>
              <w:spacing w:after="0"/>
              <w:rPr>
                <w:sz w:val="9"/>
                <w:szCs w:val="9"/>
                <w:color w:val="auto"/>
              </w:rPr>
            </w:pPr>
          </w:p>
        </w:tc>
        <w:tc>
          <w:tcPr>
            <w:tcW w:w="980" w:type="dxa"/>
            <w:vAlign w:val="bottom"/>
            <w:vMerge w:val="continue"/>
            <w:shd w:val="clear" w:color="auto" w:fill="CCECFF"/>
          </w:tcPr>
          <w:p>
            <w:pPr>
              <w:spacing w:after="0"/>
              <w:rPr>
                <w:sz w:val="9"/>
                <w:szCs w:val="9"/>
                <w:color w:val="auto"/>
              </w:rPr>
            </w:pPr>
          </w:p>
        </w:tc>
        <w:tc>
          <w:tcPr>
            <w:tcW w:w="600" w:type="dxa"/>
            <w:vAlign w:val="bottom"/>
            <w:vMerge w:val="continue"/>
            <w:shd w:val="clear" w:color="auto" w:fill="CCECFF"/>
          </w:tcPr>
          <w:p>
            <w:pPr>
              <w:spacing w:after="0"/>
              <w:rPr>
                <w:sz w:val="9"/>
                <w:szCs w:val="9"/>
                <w:color w:val="auto"/>
              </w:rPr>
            </w:pPr>
          </w:p>
        </w:tc>
        <w:tc>
          <w:tcPr>
            <w:tcW w:w="720" w:type="dxa"/>
            <w:vAlign w:val="bottom"/>
            <w:vMerge w:val="continue"/>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0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Apex Service Partners,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7/31/2025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9.46 %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6,441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6,388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6,408</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B</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7/31/2025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9.77 %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3,324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3,303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3,308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Apex Service Partners, LLC - Term Loan 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7/31/2025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9.84 %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7,550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7,550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7,512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Applied Technical Services,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12/29/2026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Environmental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8,774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8,687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8,598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Arcfield Acquisition Corp.</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3/7/2028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10.62 %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11,880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11,681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11,642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Beta Plus Technologies,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7/1/2029</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9.32 %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14,963</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14,706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13,167</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Blackhawk Industrial Distribution,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9/17/2024</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9.50 %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17,908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17,742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17,505</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Broder Bros., Co.</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12/4/2025</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9,810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9,810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9,810</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Burgess Point Purchaser Corporation</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9/26/2029</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SOFR+525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898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837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853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6/14/2028</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17,369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17,069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17,195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CF512,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8/20/2026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10.96 %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2,962</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2,940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2,903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Connatix Buyer,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7/13/2027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8,855</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8,842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8,523</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Dr. Squatch,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8/31/2027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Personal and Non-Durable 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10.48 %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L+475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6,403</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6,396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6,307</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DRI Holding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12/21/2028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10.09 %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4,404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3,953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3,914</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DRS Holdings III,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11/3/2025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10.90 %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14,591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14,532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14,168</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Duraco Specialty Tapes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6/30/2024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Manufacturing / Basic Industries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8,098</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8,002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7,920</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ECL Entertainment,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5/1/2028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Hotels, Motels, Inns and Gaming</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12.42 %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4,535</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4,535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4,492</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color w:val="auto"/>
              </w:rPr>
              <w:t>ECM Industries, LLC</w:t>
            </w:r>
          </w:p>
        </w:tc>
        <w:tc>
          <w:tcPr>
            <w:tcW w:w="960" w:type="dxa"/>
            <w:vAlign w:val="bottom"/>
            <w:tcBorders>
              <w:bottom w:val="single" w:sz="8" w:color="CCECFF"/>
            </w:tcBorders>
            <w:shd w:val="clear" w:color="auto" w:fill="CCECFF"/>
          </w:tcPr>
          <w:p>
            <w:pPr>
              <w:jc w:val="center"/>
              <w:ind w:left="112"/>
              <w:spacing w:after="0"/>
              <w:rPr>
                <w:sz w:val="20"/>
                <w:szCs w:val="20"/>
                <w:color w:val="auto"/>
              </w:rPr>
            </w:pPr>
            <w:r>
              <w:rPr>
                <w:rFonts w:ascii="Arial" w:cs="Arial" w:eastAsia="Arial" w:hAnsi="Arial"/>
                <w:sz w:val="10"/>
                <w:szCs w:val="10"/>
                <w:color w:val="auto"/>
                <w:w w:val="95"/>
              </w:rPr>
              <w:t>12/23/2025</w:t>
            </w:r>
          </w:p>
        </w:tc>
        <w:tc>
          <w:tcPr>
            <w:tcW w:w="2360" w:type="dxa"/>
            <w:vAlign w:val="bottom"/>
            <w:tcBorders>
              <w:bottom w:val="single" w:sz="8" w:color="CCECFF"/>
            </w:tcBorders>
            <w:shd w:val="clear" w:color="auto" w:fill="CCECFF"/>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2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9.45 %</w:t>
            </w:r>
          </w:p>
        </w:tc>
        <w:tc>
          <w:tcPr>
            <w:tcW w:w="980" w:type="dxa"/>
            <w:vAlign w:val="bottom"/>
            <w:tcBorders>
              <w:bottom w:val="single" w:sz="8" w:color="CCECFF"/>
            </w:tcBorders>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2,801</w:t>
            </w:r>
          </w:p>
        </w:tc>
        <w:tc>
          <w:tcPr>
            <w:tcW w:w="72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2,749</w:t>
            </w:r>
          </w:p>
        </w:tc>
        <w:tc>
          <w:tcPr>
            <w:tcW w:w="16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2,682</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EDS Buyer,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1/10/2029</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SOFR+625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6,250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6,172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6,094</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Electro Rent Corporation</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1/17/2024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10.27 %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3,732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3,606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3,632</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Exigo Intermediate II,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3/15/2027</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9,900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9,778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9,702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Fairbanks Morse Defense</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6/17/2028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6M L+475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794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751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756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3/16/2026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Banking, Finance, Insurance &amp; Real Estate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11.23 %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7,305</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7,283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6,949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8/10/2027</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10.66 %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1,964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1,933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1,945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12/31/2026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Insurance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10.39 %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6,827</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6,827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6,691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Holdco Sands Intermediate,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11/23/2028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L+800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19,817</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19,467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19,619</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HV Watterson Holdings,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12/17/2026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11.41 %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15,179</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14,991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14,769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HW Holdco,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12/10/2024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L+700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14,250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14,143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14,036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Icon Partners III, LP</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5/11/2028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Auto Sector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9.32 %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L+475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2,316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2,008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1,627</w:t>
            </w:r>
          </w:p>
        </w:tc>
        <w:tc>
          <w:tcPr>
            <w:tcW w:w="0" w:type="dxa"/>
            <w:vAlign w:val="bottom"/>
          </w:tcPr>
          <w:p>
            <w:pPr>
              <w:spacing w:after="0"/>
              <w:rPr>
                <w:sz w:val="1"/>
                <w:szCs w:val="1"/>
                <w:color w:val="auto"/>
              </w:rPr>
            </w:pPr>
          </w:p>
        </w:tc>
      </w:tr>
      <w:tr>
        <w:trPr>
          <w:trHeight w:val="140"/>
        </w:trPr>
        <w:tc>
          <w:tcPr>
            <w:tcW w:w="30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IDC Infusion Services, Inc.</w:t>
            </w:r>
          </w:p>
        </w:tc>
        <w:tc>
          <w:tcPr>
            <w:tcW w:w="960" w:type="dxa"/>
            <w:vAlign w:val="bottom"/>
            <w:vMerge w:val="restart"/>
            <w:shd w:val="clear" w:color="auto" w:fill="CCECFF"/>
          </w:tcPr>
          <w:p>
            <w:pPr>
              <w:jc w:val="center"/>
              <w:ind w:left="112"/>
              <w:spacing w:after="0"/>
              <w:rPr>
                <w:sz w:val="20"/>
                <w:szCs w:val="20"/>
                <w:color w:val="auto"/>
              </w:rPr>
            </w:pPr>
            <w:r>
              <w:rPr>
                <w:rFonts w:ascii="Arial" w:cs="Arial" w:eastAsia="Arial" w:hAnsi="Arial"/>
                <w:sz w:val="10"/>
                <w:szCs w:val="10"/>
                <w:color w:val="auto"/>
                <w:w w:val="95"/>
              </w:rPr>
              <w:t>12/30/2026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11.55 %</w:t>
            </w:r>
          </w:p>
        </w:tc>
        <w:tc>
          <w:tcPr>
            <w:tcW w:w="980" w:type="dxa"/>
            <w:vAlign w:val="bottom"/>
            <w:vMerge w:val="restart"/>
            <w:shd w:val="clear" w:color="auto" w:fill="CCECFF"/>
          </w:tcPr>
          <w:p>
            <w:pPr>
              <w:jc w:val="right"/>
              <w:ind w:right="112"/>
              <w:spacing w:after="0"/>
              <w:rPr>
                <w:sz w:val="20"/>
                <w:szCs w:val="20"/>
                <w:color w:val="auto"/>
              </w:rPr>
            </w:pPr>
            <w:r>
              <w:rPr>
                <w:rFonts w:ascii="Arial" w:cs="Arial" w:eastAsia="Arial" w:hAnsi="Arial"/>
                <w:sz w:val="10"/>
                <w:szCs w:val="10"/>
                <w:color w:val="auto"/>
              </w:rPr>
              <w:t>3M L+750</w:t>
            </w:r>
          </w:p>
        </w:tc>
        <w:tc>
          <w:tcPr>
            <w:tcW w:w="60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17,313</w:t>
            </w:r>
          </w:p>
        </w:tc>
        <w:tc>
          <w:tcPr>
            <w:tcW w:w="7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17,090</w:t>
            </w:r>
          </w:p>
        </w:tc>
        <w:tc>
          <w:tcPr>
            <w:tcW w:w="16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16,707</w:t>
            </w:r>
          </w:p>
        </w:tc>
        <w:tc>
          <w:tcPr>
            <w:tcW w:w="0" w:type="dxa"/>
            <w:vAlign w:val="bottom"/>
          </w:tcPr>
          <w:p>
            <w:pPr>
              <w:spacing w:after="0"/>
              <w:rPr>
                <w:sz w:val="1"/>
                <w:szCs w:val="1"/>
                <w:color w:val="auto"/>
              </w:rPr>
            </w:pPr>
          </w:p>
        </w:tc>
      </w:tr>
      <w:tr>
        <w:trPr>
          <w:trHeight w:val="80"/>
        </w:trPr>
        <w:tc>
          <w:tcPr>
            <w:tcW w:w="3060" w:type="dxa"/>
            <w:vAlign w:val="bottom"/>
            <w:vMerge w:val="continue"/>
            <w:shd w:val="clear" w:color="auto" w:fill="CCECFF"/>
          </w:tcPr>
          <w:p>
            <w:pPr>
              <w:spacing w:after="0"/>
              <w:rPr>
                <w:sz w:val="6"/>
                <w:szCs w:val="6"/>
                <w:color w:val="auto"/>
              </w:rPr>
            </w:pPr>
          </w:p>
        </w:tc>
        <w:tc>
          <w:tcPr>
            <w:tcW w:w="960" w:type="dxa"/>
            <w:vAlign w:val="bottom"/>
            <w:vMerge w:val="continue"/>
            <w:shd w:val="clear" w:color="auto" w:fill="CCECFF"/>
          </w:tcPr>
          <w:p>
            <w:pPr>
              <w:spacing w:after="0"/>
              <w:rPr>
                <w:sz w:val="6"/>
                <w:szCs w:val="6"/>
                <w:color w:val="auto"/>
              </w:rPr>
            </w:pPr>
          </w:p>
        </w:tc>
        <w:tc>
          <w:tcPr>
            <w:tcW w:w="2360" w:type="dxa"/>
            <w:vAlign w:val="bottom"/>
            <w:shd w:val="clear" w:color="auto" w:fill="CCECFF"/>
          </w:tcPr>
          <w:p>
            <w:pPr>
              <w:spacing w:after="0"/>
              <w:rPr>
                <w:sz w:val="6"/>
                <w:szCs w:val="6"/>
                <w:color w:val="auto"/>
              </w:rPr>
            </w:pPr>
          </w:p>
        </w:tc>
        <w:tc>
          <w:tcPr>
            <w:tcW w:w="1020" w:type="dxa"/>
            <w:vAlign w:val="bottom"/>
            <w:vMerge w:val="continue"/>
            <w:shd w:val="clear" w:color="auto" w:fill="CCECFF"/>
          </w:tcPr>
          <w:p>
            <w:pPr>
              <w:spacing w:after="0"/>
              <w:rPr>
                <w:sz w:val="6"/>
                <w:szCs w:val="6"/>
                <w:color w:val="auto"/>
              </w:rPr>
            </w:pPr>
          </w:p>
        </w:tc>
        <w:tc>
          <w:tcPr>
            <w:tcW w:w="980" w:type="dxa"/>
            <w:vAlign w:val="bottom"/>
            <w:vMerge w:val="continue"/>
            <w:shd w:val="clear" w:color="auto" w:fill="CCECFF"/>
          </w:tcPr>
          <w:p>
            <w:pPr>
              <w:spacing w:after="0"/>
              <w:rPr>
                <w:sz w:val="6"/>
                <w:szCs w:val="6"/>
                <w:color w:val="auto"/>
              </w:rPr>
            </w:pPr>
          </w:p>
        </w:tc>
        <w:tc>
          <w:tcPr>
            <w:tcW w:w="600" w:type="dxa"/>
            <w:vAlign w:val="bottom"/>
            <w:vMerge w:val="continue"/>
            <w:shd w:val="clear" w:color="auto" w:fill="CCECFF"/>
          </w:tcPr>
          <w:p>
            <w:pPr>
              <w:spacing w:after="0"/>
              <w:rPr>
                <w:sz w:val="6"/>
                <w:szCs w:val="6"/>
                <w:color w:val="auto"/>
              </w:rPr>
            </w:pPr>
          </w:p>
        </w:tc>
        <w:tc>
          <w:tcPr>
            <w:tcW w:w="720" w:type="dxa"/>
            <w:vAlign w:val="bottom"/>
            <w:vMerge w:val="continue"/>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IG Investments Holdings,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9/22/2028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4,451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4,372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4,384</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11/15/2027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10.37 %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5,594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5,503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5,426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12/7/2023</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11.91 %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19,837</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19,589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19,441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Infinity Home Services Holdco,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12/28/2028</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11.73 %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11,109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10,910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10,886</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Infolinks Media Buyco,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11/1/2026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10.66 %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6,396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6,396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6,396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Integrity Marketing Acquisition,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8/27/2025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Insurance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11.00 %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19,950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19,881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19,750</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K2 Pure Solutions NoCal, L.P.</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12/20/2023</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12.91 %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SOFR+800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13,418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13,351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13,418</w:t>
            </w: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Leisure, Amusement, Motion Pictures,</w:t>
            </w:r>
          </w:p>
        </w:tc>
        <w:tc>
          <w:tcPr>
            <w:tcW w:w="10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10/31/2024</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3"/>
              </w:rPr>
              <w:t>Entertainment</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SOFR+603</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2,579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2,573</w:t>
            </w: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2,543</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Lash OpCo,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2/18/2027</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11.17 %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L+650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19,824</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19,642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19,428</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Lightspeed Buyer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2/3/2026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L+475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12,282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12,089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11,975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LJ Avalon Holdings,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1/31/2030</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7"/>
              </w:rPr>
              <w:t>Environmental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11.33 %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6,350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6,236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6,223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MAG DS Corp.</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4/1/2027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5,540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5,139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5,042</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Magenta Buyer,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7/31/2028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6"/>
              </w:rPr>
              <w:t>Software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9.58 %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3,804</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3,551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3,123</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Mars Acquisition Holdings Corp.</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5/14/2026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10.23 %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7,884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7,835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7,805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MBS Holdings,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4/16/2027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7,369</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7,295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7,295</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Meadowlark Acquirer, LLC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12/10/2027</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10.41 %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2,968</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2,916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2,938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Municipal Emergency Services,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9/28/2027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10.55 %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4,133</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4,076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3,959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NBH Group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8/19/2026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7,467</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7,399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7,467</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Owl Acquisition,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2/4/2028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4"/>
              </w:rPr>
              <w:t>Education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3,805</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3,702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3,710</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Ox Two, LLC (New Issue)</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5/18/2026</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12.41 %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L+650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4,937</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4,893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4,789</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11/9/2027</w:t>
            </w:r>
          </w:p>
        </w:tc>
        <w:tc>
          <w:tcPr>
            <w:tcW w:w="236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11.34 %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8,591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8,459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8,204</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PlayPower,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5/8/2026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L+525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2,565</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2,485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2,309</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11/19/2026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11.21 %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3,331</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3,278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3,281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 - Unfunded Term Loan</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11/19/2026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0.00 %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Radius Aerospace, Inc.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3/31/2025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10.80 %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12,730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12,650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12,476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Rancho Health MSO, Inc.</w:t>
            </w:r>
          </w:p>
        </w:tc>
        <w:tc>
          <w:tcPr>
            <w:tcW w:w="960" w:type="dxa"/>
            <w:vAlign w:val="bottom"/>
            <w:shd w:val="clear" w:color="auto" w:fill="CCECFF"/>
          </w:tcPr>
          <w:p>
            <w:pPr>
              <w:jc w:val="center"/>
              <w:ind w:left="112"/>
              <w:spacing w:after="0"/>
              <w:rPr>
                <w:sz w:val="20"/>
                <w:szCs w:val="20"/>
                <w:color w:val="auto"/>
              </w:rPr>
            </w:pPr>
            <w:r>
              <w:rPr>
                <w:rFonts w:ascii="Arial" w:cs="Arial" w:eastAsia="Arial" w:hAnsi="Arial"/>
                <w:sz w:val="10"/>
                <w:szCs w:val="10"/>
                <w:color w:val="auto"/>
                <w:w w:val="95"/>
              </w:rPr>
              <w:t>12/18/2025</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9.42 %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1M L+450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5,154</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5,154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5,154</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2/28/2028</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10.78 %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SOFR+600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4,950</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4,885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4,721</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1/29/2026</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10.98 %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L+700</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9,800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9,408</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Research Now Group, LLC and Dynata, LLC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12/20/2024</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10.31 %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L+550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14,504</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14,424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10,996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Riverpoint Medical,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6/20/2025</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3,192</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3,175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3,144</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Riverside Assessments, LLC</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4"/>
              </w:rPr>
              <w:t>3/10/2025</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4"/>
              </w:rPr>
              <w:t>Education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10.48 %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SOFR+575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9,908</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9,846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9,759</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7"/>
              </w:rPr>
              <w:t>1/3/2025</w:t>
            </w:r>
          </w:p>
        </w:tc>
        <w:tc>
          <w:tcPr>
            <w:tcW w:w="236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L+625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6,859</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6,797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6,825</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12/20/2024</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12.26 %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SOFR+300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4,857</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4,857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4,772</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Buyer, LLC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6/13/2029</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11.05 %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14,925</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14,734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14,552</w:t>
            </w: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0"/>
                <w:szCs w:val="10"/>
                <w:color w:val="auto"/>
              </w:rPr>
              <w:t>Signature Systems Holding Company</w:t>
            </w:r>
          </w:p>
        </w:tc>
        <w:tc>
          <w:tcPr>
            <w:tcW w:w="960" w:type="dxa"/>
            <w:vAlign w:val="bottom"/>
          </w:tcPr>
          <w:p>
            <w:pPr>
              <w:jc w:val="center"/>
              <w:ind w:left="92"/>
              <w:spacing w:after="0"/>
              <w:rPr>
                <w:sz w:val="20"/>
                <w:szCs w:val="20"/>
                <w:color w:val="auto"/>
              </w:rPr>
            </w:pPr>
            <w:r>
              <w:rPr>
                <w:rFonts w:ascii="Arial" w:cs="Arial" w:eastAsia="Arial" w:hAnsi="Arial"/>
                <w:sz w:val="10"/>
                <w:szCs w:val="10"/>
                <w:color w:val="auto"/>
                <w:w w:val="97"/>
              </w:rPr>
              <w:t>5/3/2024</w:t>
            </w:r>
          </w:p>
        </w:tc>
        <w:tc>
          <w:tcPr>
            <w:tcW w:w="23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11.55 %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1M L+450</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11,576</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11,531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11,576</w:t>
            </w: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Solutionreach, Inc.</w:t>
            </w:r>
          </w:p>
        </w:tc>
        <w:tc>
          <w:tcPr>
            <w:tcW w:w="960" w:type="dxa"/>
            <w:vAlign w:val="bottom"/>
            <w:shd w:val="clear" w:color="auto" w:fill="CCECFF"/>
          </w:tcPr>
          <w:p>
            <w:pPr>
              <w:jc w:val="center"/>
              <w:ind w:left="92"/>
              <w:spacing w:after="0"/>
              <w:rPr>
                <w:sz w:val="20"/>
                <w:szCs w:val="20"/>
                <w:color w:val="auto"/>
              </w:rPr>
            </w:pPr>
            <w:r>
              <w:rPr>
                <w:rFonts w:ascii="Arial" w:cs="Arial" w:eastAsia="Arial" w:hAnsi="Arial"/>
                <w:sz w:val="10"/>
                <w:szCs w:val="10"/>
                <w:color w:val="auto"/>
                <w:w w:val="94"/>
              </w:rPr>
              <w:t>1/17/2024</w:t>
            </w:r>
          </w:p>
        </w:tc>
        <w:tc>
          <w:tcPr>
            <w:tcW w:w="23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Communications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6M L+675</w:t>
            </w:r>
          </w:p>
        </w:tc>
        <w:tc>
          <w:tcPr>
            <w:tcW w:w="6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11,320</w:t>
            </w:r>
          </w:p>
        </w:tc>
        <w:tc>
          <w:tcPr>
            <w:tcW w:w="7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11,299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10,777</w:t>
            </w:r>
          </w:p>
        </w:tc>
        <w:tc>
          <w:tcPr>
            <w:tcW w:w="0" w:type="dxa"/>
            <w:vAlign w:val="bottom"/>
          </w:tcPr>
          <w:p>
            <w:pPr>
              <w:spacing w:after="0"/>
              <w:rPr>
                <w:sz w:val="1"/>
                <w:szCs w:val="1"/>
                <w:color w:val="auto"/>
              </w:rPr>
            </w:pPr>
          </w:p>
        </w:tc>
      </w:tr>
      <w:tr>
        <w:trPr>
          <w:trHeight w:val="136"/>
        </w:trPr>
        <w:tc>
          <w:tcPr>
            <w:tcW w:w="3060" w:type="dxa"/>
            <w:vAlign w:val="bottom"/>
          </w:tcPr>
          <w:p>
            <w:pPr>
              <w:ind w:left="20"/>
              <w:spacing w:after="0"/>
              <w:rPr>
                <w:sz w:val="20"/>
                <w:szCs w:val="20"/>
                <w:color w:val="auto"/>
              </w:rPr>
            </w:pPr>
            <w:r>
              <w:rPr>
                <w:rFonts w:ascii="Arial" w:cs="Arial" w:eastAsia="Arial" w:hAnsi="Arial"/>
                <w:sz w:val="10"/>
                <w:szCs w:val="10"/>
                <w:color w:val="auto"/>
              </w:rPr>
              <w:t>STV Group Incorporated</w:t>
            </w:r>
          </w:p>
        </w:tc>
        <w:tc>
          <w:tcPr>
            <w:tcW w:w="960" w:type="dxa"/>
            <w:vAlign w:val="bottom"/>
          </w:tcPr>
          <w:p>
            <w:pPr>
              <w:jc w:val="center"/>
              <w:ind w:left="112"/>
              <w:spacing w:after="0"/>
              <w:rPr>
                <w:sz w:val="20"/>
                <w:szCs w:val="20"/>
                <w:color w:val="auto"/>
              </w:rPr>
            </w:pPr>
            <w:r>
              <w:rPr>
                <w:rFonts w:ascii="Arial" w:cs="Arial" w:eastAsia="Arial" w:hAnsi="Arial"/>
                <w:sz w:val="10"/>
                <w:szCs w:val="10"/>
                <w:color w:val="auto"/>
                <w:w w:val="95"/>
              </w:rPr>
              <w:t>12/11/2026</w:t>
            </w:r>
          </w:p>
        </w:tc>
        <w:tc>
          <w:tcPr>
            <w:tcW w:w="2360" w:type="dxa"/>
            <w:vAlign w:val="bottom"/>
          </w:tcPr>
          <w:p>
            <w:pPr>
              <w:jc w:val="center"/>
              <w:ind w:right="12"/>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SOFR+525</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12,099</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12,039</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12,038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20"/>
        </w:trPr>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jc w:val="center"/>
              <w:ind w:right="52"/>
              <w:spacing w:after="0"/>
              <w:rPr>
                <w:sz w:val="20"/>
                <w:szCs w:val="20"/>
                <w:color w:val="auto"/>
              </w:rPr>
            </w:pPr>
            <w:r>
              <w:rPr>
                <w:rFonts w:ascii="Arial" w:cs="Arial" w:eastAsia="Arial" w:hAnsi="Arial"/>
                <w:sz w:val="10"/>
                <w:szCs w:val="10"/>
                <w:b w:val="1"/>
                <w:bCs w:val="1"/>
                <w:color w:val="auto"/>
                <w:w w:val="95"/>
              </w:rPr>
              <w:t>Basis Point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6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98"/>
              </w:rPr>
              <w:t>Spread Above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6"/>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20" w:type="dxa"/>
            <w:vAlign w:val="bottom"/>
          </w:tcPr>
          <w:p>
            <w:pPr>
              <w:ind w:left="280"/>
              <w:spacing w:after="0"/>
              <w:rPr>
                <w:sz w:val="20"/>
                <w:szCs w:val="20"/>
                <w:color w:val="auto"/>
              </w:rPr>
            </w:pPr>
            <w:r>
              <w:rPr>
                <w:rFonts w:ascii="Arial" w:cs="Arial" w:eastAsia="Arial" w:hAnsi="Arial"/>
                <w:sz w:val="10"/>
                <w:szCs w:val="10"/>
                <w:b w:val="1"/>
                <w:bCs w:val="1"/>
                <w:color w:val="auto"/>
              </w:rPr>
              <w:t>Maturity</w:t>
            </w:r>
          </w:p>
        </w:tc>
        <w:tc>
          <w:tcPr>
            <w:tcW w:w="2280" w:type="dxa"/>
            <w:vAlign w:val="bottom"/>
          </w:tcPr>
          <w:p>
            <w:pPr>
              <w:jc w:val="center"/>
              <w:ind w:right="12"/>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980" w:type="dxa"/>
            <w:vAlign w:val="bottom"/>
          </w:tcPr>
          <w:p>
            <w:pPr>
              <w:jc w:val="center"/>
              <w:ind w:right="72"/>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8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Par</w:t>
            </w:r>
          </w:p>
        </w:tc>
        <w:tc>
          <w:tcPr>
            <w:tcW w:w="420" w:type="dxa"/>
            <w:vAlign w:val="bottom"/>
          </w:tcPr>
          <w:p>
            <w:pPr>
              <w:jc w:val="right"/>
              <w:ind w:right="112"/>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0"/>
              </w:rPr>
              <w:t>Fair Value</w:t>
            </w:r>
            <w:r>
              <w:rPr>
                <w:rFonts w:ascii="Arial" w:cs="Arial" w:eastAsia="Arial" w:hAnsi="Arial"/>
                <w:sz w:val="12"/>
                <w:szCs w:val="12"/>
                <w:b w:val="1"/>
                <w:bCs w:val="1"/>
                <w:color w:val="auto"/>
                <w:w w:val="90"/>
                <w:vertAlign w:val="superscript"/>
              </w:rPr>
              <w:t>(2)</w:t>
            </w:r>
          </w:p>
        </w:tc>
      </w:tr>
      <w:tr>
        <w:trPr>
          <w:trHeight w:val="113"/>
        </w:trPr>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4"/>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Summit Behavioral Healthcare,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11/24/2028</w:t>
            </w:r>
          </w:p>
        </w:tc>
        <w:tc>
          <w:tcPr>
            <w:tcW w:w="22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9.71 %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L+475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3,590</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3,396</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3,465</w:t>
            </w:r>
          </w:p>
        </w:tc>
        <w:tc>
          <w:tcPr>
            <w:tcW w:w="80" w:type="dxa"/>
            <w:vAlign w:val="bottom"/>
            <w:shd w:val="clear" w:color="auto" w:fill="CCECFF"/>
          </w:tcPr>
          <w:p>
            <w:pPr>
              <w:spacing w:after="0"/>
              <w:rPr>
                <w:sz w:val="12"/>
                <w:szCs w:val="12"/>
                <w:color w:val="auto"/>
              </w:rPr>
            </w:pPr>
          </w:p>
        </w:tc>
      </w:tr>
      <w:tr>
        <w:trPr>
          <w:trHeight w:val="135"/>
        </w:trPr>
        <w:tc>
          <w:tcPr>
            <w:tcW w:w="3140" w:type="dxa"/>
            <w:vAlign w:val="bottom"/>
          </w:tcPr>
          <w:p>
            <w:pPr>
              <w:ind w:left="20"/>
              <w:spacing w:after="0"/>
              <w:rPr>
                <w:sz w:val="20"/>
                <w:szCs w:val="20"/>
                <w:color w:val="auto"/>
              </w:rPr>
            </w:pPr>
            <w:r>
              <w:rPr>
                <w:rFonts w:ascii="Arial" w:cs="Arial" w:eastAsia="Arial" w:hAnsi="Arial"/>
                <w:sz w:val="10"/>
                <w:szCs w:val="10"/>
                <w:color w:val="auto"/>
              </w:rPr>
              <w:t>System Planning and Analysis, Inc. (f/k/a Management Consulting &amp;</w:t>
            </w: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3140" w:type="dxa"/>
            <w:vAlign w:val="bottom"/>
          </w:tcPr>
          <w:p>
            <w:pPr>
              <w:ind w:left="20"/>
              <w:spacing w:after="0"/>
              <w:rPr>
                <w:sz w:val="20"/>
                <w:szCs w:val="20"/>
                <w:color w:val="auto"/>
              </w:rPr>
            </w:pPr>
            <w:r>
              <w:rPr>
                <w:rFonts w:ascii="Arial" w:cs="Arial" w:eastAsia="Arial" w:hAnsi="Arial"/>
                <w:sz w:val="10"/>
                <w:szCs w:val="10"/>
                <w:color w:val="auto"/>
              </w:rPr>
              <w:t>Research, LLC)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8/16/2027</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10.69 %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SOFR+575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16,047</w:t>
            </w:r>
          </w:p>
        </w:tc>
        <w:tc>
          <w:tcPr>
            <w:tcW w:w="1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15,742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15,806</w:t>
            </w:r>
          </w:p>
        </w:tc>
        <w:tc>
          <w:tcPr>
            <w:tcW w:w="80" w:type="dxa"/>
            <w:vAlign w:val="bottom"/>
          </w:tcPr>
          <w:p>
            <w:pPr>
              <w:spacing w:after="0"/>
              <w:rPr>
                <w:sz w:val="10"/>
                <w:szCs w:val="10"/>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Team Services Group,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11/24/2028</w:t>
            </w:r>
          </w:p>
        </w:tc>
        <w:tc>
          <w:tcPr>
            <w:tcW w:w="22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SOFR+500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696</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667</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676</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Teneo Holdings LLC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7/18/2025</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6"/>
              </w:rPr>
              <w:t>Financial Services</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SOFR+525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2,951</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2,941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2,911</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Aegis Technologies Group,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10/31/2025</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11.50 %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11,152</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11,065</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10,928</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The Bluebird Group LLC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7/27/2026</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12.15 %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L+650</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5,446</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5,488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5,370</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Vertex Companies,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8/30/2027</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10.16 %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SOFR+525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4,508</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4,467</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4,414</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11/24/2025</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6"/>
              </w:rPr>
              <w:t>Food</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9.24 %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L+525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5,508</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5,385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5,403</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TVC Enterprises,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3/26/2026</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Transportation</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10.59 %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L+600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17,019</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16,899</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16,763</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TWS Acquisition Corporation</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6/16/2025</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4"/>
              </w:rPr>
              <w:t>Education</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11.39 %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L+625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7,949</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7,924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7,949</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Tyto Athene,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4/3/2028</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10.24 %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SOFR+550</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12,003</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11,888</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10,887</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UBEO, LLC</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4/3/2024</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5"/>
              </w:rPr>
              <w:t>Printing and Publishing</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9.48 %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3M L+450</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4,650</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4,639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4,580</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Unique Indoor Comfort,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5/24/2027</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Home and Office Furnishings, Housewares</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10.30 %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L+525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9,925</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9,805</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9,865</w:t>
            </w:r>
          </w:p>
        </w:tc>
        <w:tc>
          <w:tcPr>
            <w:tcW w:w="80" w:type="dxa"/>
            <w:vAlign w:val="bottom"/>
            <w:shd w:val="clear" w:color="auto" w:fill="CCECFF"/>
          </w:tcPr>
          <w:p>
            <w:pPr>
              <w:spacing w:after="0"/>
              <w:rPr>
                <w:sz w:val="12"/>
                <w:szCs w:val="12"/>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2/27/2026</w:t>
            </w:r>
          </w:p>
        </w:tc>
        <w:tc>
          <w:tcPr>
            <w:tcW w:w="2280" w:type="dxa"/>
            <w:vAlign w:val="bottom"/>
          </w:tcPr>
          <w:p>
            <w:pPr>
              <w:jc w:val="center"/>
              <w:ind w:right="12"/>
              <w:spacing w:after="0"/>
              <w:rPr>
                <w:sz w:val="20"/>
                <w:szCs w:val="20"/>
                <w:color w:val="auto"/>
              </w:rPr>
            </w:pPr>
            <w:r>
              <w:rPr>
                <w:rFonts w:ascii="Arial" w:cs="Arial" w:eastAsia="Arial" w:hAnsi="Arial"/>
                <w:sz w:val="10"/>
                <w:szCs w:val="10"/>
                <w:color w:val="auto"/>
                <w:w w:val="93"/>
              </w:rPr>
              <w:t>Electronics</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10.80 %</w:t>
            </w:r>
          </w:p>
        </w:tc>
        <w:tc>
          <w:tcPr>
            <w:tcW w:w="980" w:type="dxa"/>
            <w:vAlign w:val="bottom"/>
          </w:tcPr>
          <w:p>
            <w:pPr>
              <w:jc w:val="right"/>
              <w:ind w:right="112"/>
              <w:spacing w:after="0"/>
              <w:rPr>
                <w:sz w:val="20"/>
                <w:szCs w:val="20"/>
                <w:color w:val="auto"/>
              </w:rPr>
            </w:pPr>
            <w:r>
              <w:rPr>
                <w:rFonts w:ascii="Arial" w:cs="Arial" w:eastAsia="Arial" w:hAnsi="Arial"/>
                <w:sz w:val="10"/>
                <w:szCs w:val="10"/>
                <w:color w:val="auto"/>
              </w:rPr>
              <w:t>SOFR+575</w:t>
            </w:r>
          </w:p>
        </w:tc>
        <w:tc>
          <w:tcPr>
            <w:tcW w:w="680" w:type="dxa"/>
            <w:vAlign w:val="bottom"/>
          </w:tcPr>
          <w:p>
            <w:pPr>
              <w:jc w:val="right"/>
              <w:ind w:right="152"/>
              <w:spacing w:after="0"/>
              <w:rPr>
                <w:sz w:val="20"/>
                <w:szCs w:val="20"/>
                <w:color w:val="auto"/>
              </w:rPr>
            </w:pPr>
            <w:r>
              <w:rPr>
                <w:rFonts w:ascii="Arial" w:cs="Arial" w:eastAsia="Arial" w:hAnsi="Arial"/>
                <w:sz w:val="10"/>
                <w:szCs w:val="10"/>
                <w:color w:val="auto"/>
              </w:rPr>
              <w:t>11,449</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11,378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11,163</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3/1/2024</w:t>
            </w:r>
          </w:p>
        </w:tc>
        <w:tc>
          <w:tcPr>
            <w:tcW w:w="22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6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12.14 %</w:t>
            </w:r>
          </w:p>
        </w:tc>
        <w:tc>
          <w:tcPr>
            <w:tcW w:w="98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3M L+725</w:t>
            </w:r>
          </w:p>
        </w:tc>
        <w:tc>
          <w:tcPr>
            <w:tcW w:w="68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19,848</w:t>
            </w: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19,636</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19,401</w:t>
            </w:r>
          </w:p>
        </w:tc>
        <w:tc>
          <w:tcPr>
            <w:tcW w:w="80" w:type="dxa"/>
            <w:vAlign w:val="bottom"/>
            <w:shd w:val="clear" w:color="auto" w:fill="CCECFF"/>
          </w:tcPr>
          <w:p>
            <w:pPr>
              <w:spacing w:after="0"/>
              <w:rPr>
                <w:sz w:val="12"/>
                <w:szCs w:val="12"/>
                <w:color w:val="auto"/>
              </w:rPr>
            </w:pPr>
          </w:p>
        </w:tc>
      </w:tr>
      <w:tr>
        <w:trPr>
          <w:trHeight w:val="144"/>
        </w:trPr>
        <w:tc>
          <w:tcPr>
            <w:tcW w:w="3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761,289</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747,561</w:t>
            </w:r>
          </w:p>
        </w:tc>
        <w:tc>
          <w:tcPr>
            <w:tcW w:w="80" w:type="dxa"/>
            <w:vAlign w:val="bottom"/>
            <w:shd w:val="clear" w:color="auto" w:fill="CCECFF"/>
          </w:tcPr>
          <w:p>
            <w:pPr>
              <w:spacing w:after="0"/>
              <w:rPr>
                <w:sz w:val="12"/>
                <w:szCs w:val="12"/>
                <w:color w:val="auto"/>
              </w:rPr>
            </w:pPr>
          </w:p>
        </w:tc>
      </w:tr>
      <w:tr>
        <w:trPr>
          <w:trHeight w:val="144"/>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Total Investments - 847.4%</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0"/>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Cash and Cash Equivalents - 46.9%</w:t>
            </w:r>
          </w:p>
        </w:tc>
        <w:tc>
          <w:tcPr>
            <w:tcW w:w="920" w:type="dxa"/>
            <w:vAlign w:val="bottom"/>
            <w:shd w:val="clear" w:color="auto" w:fill="CCECFF"/>
          </w:tcPr>
          <w:p>
            <w:pPr>
              <w:spacing w:after="0"/>
              <w:rPr>
                <w:sz w:val="15"/>
                <w:szCs w:val="15"/>
                <w:color w:val="auto"/>
              </w:rPr>
            </w:pPr>
          </w:p>
        </w:tc>
        <w:tc>
          <w:tcPr>
            <w:tcW w:w="22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40"/>
        </w:trPr>
        <w:tc>
          <w:tcPr>
            <w:tcW w:w="3140" w:type="dxa"/>
            <w:vAlign w:val="bottom"/>
          </w:tcPr>
          <w:p>
            <w:pPr>
              <w:ind w:left="20"/>
              <w:spacing w:after="0"/>
              <w:rPr>
                <w:sz w:val="20"/>
                <w:szCs w:val="20"/>
                <w:color w:val="auto"/>
              </w:rPr>
            </w:pPr>
            <w:r>
              <w:rPr>
                <w:rFonts w:ascii="Arial" w:cs="Arial" w:eastAsia="Arial" w:hAnsi="Arial"/>
                <w:sz w:val="10"/>
                <w:szCs w:val="10"/>
                <w:color w:val="auto"/>
              </w:rPr>
              <w:t>BlackRock Federal FD Institutional 30</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41,361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41,361</w:t>
            </w:r>
          </w:p>
        </w:tc>
        <w:tc>
          <w:tcPr>
            <w:tcW w:w="80" w:type="dxa"/>
            <w:vAlign w:val="bottom"/>
          </w:tcPr>
          <w:p>
            <w:pPr>
              <w:spacing w:after="0"/>
              <w:rPr>
                <w:sz w:val="12"/>
                <w:szCs w:val="12"/>
                <w:color w:val="auto"/>
              </w:rPr>
            </w:pPr>
          </w:p>
        </w:tc>
      </w:tr>
      <w:tr>
        <w:trPr>
          <w:trHeight w:val="148"/>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92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41,361</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41,361</w:t>
            </w:r>
          </w:p>
        </w:tc>
        <w:tc>
          <w:tcPr>
            <w:tcW w:w="80" w:type="dxa"/>
            <w:vAlign w:val="bottom"/>
            <w:shd w:val="clear" w:color="auto" w:fill="CCECFF"/>
          </w:tcPr>
          <w:p>
            <w:pPr>
              <w:spacing w:after="0"/>
              <w:rPr>
                <w:sz w:val="12"/>
                <w:szCs w:val="12"/>
                <w:color w:val="auto"/>
              </w:rPr>
            </w:pPr>
          </w:p>
        </w:tc>
      </w:tr>
      <w:tr>
        <w:trPr>
          <w:trHeight w:val="144"/>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Total Investments and Cash Equivalents - 894.2%</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802,650</w:t>
            </w: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788,922</w:t>
            </w:r>
          </w:p>
        </w:tc>
        <w:tc>
          <w:tcPr>
            <w:tcW w:w="80" w:type="dxa"/>
            <w:vAlign w:val="bottom"/>
          </w:tcPr>
          <w:p>
            <w:pPr>
              <w:spacing w:after="0"/>
              <w:rPr>
                <w:sz w:val="12"/>
                <w:szCs w:val="12"/>
                <w:color w:val="auto"/>
              </w:rPr>
            </w:pPr>
          </w:p>
        </w:tc>
      </w:tr>
      <w:tr>
        <w:trPr>
          <w:trHeight w:val="20"/>
        </w:trPr>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31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Liabilities in Excess of Other Assets — (794.2)%</w:t>
            </w:r>
          </w:p>
        </w:tc>
        <w:tc>
          <w:tcPr>
            <w:tcW w:w="920" w:type="dxa"/>
            <w:vAlign w:val="bottom"/>
            <w:shd w:val="clear" w:color="auto" w:fill="CCECFF"/>
          </w:tcPr>
          <w:p>
            <w:pPr>
              <w:spacing w:after="0"/>
              <w:rPr>
                <w:sz w:val="10"/>
                <w:szCs w:val="10"/>
                <w:color w:val="auto"/>
              </w:rPr>
            </w:pPr>
          </w:p>
        </w:tc>
        <w:tc>
          <w:tcPr>
            <w:tcW w:w="2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(700,700 )</w:t>
            </w:r>
          </w:p>
        </w:tc>
      </w:tr>
      <w:tr>
        <w:trPr>
          <w:trHeight w:val="144"/>
        </w:trPr>
        <w:tc>
          <w:tcPr>
            <w:tcW w:w="3140" w:type="dxa"/>
            <w:vAlign w:val="bottom"/>
          </w:tcPr>
          <w:p>
            <w:pPr>
              <w:ind w:left="20"/>
              <w:spacing w:after="0"/>
              <w:rPr>
                <w:sz w:val="20"/>
                <w:szCs w:val="20"/>
                <w:color w:val="auto"/>
              </w:rPr>
            </w:pPr>
            <w:r>
              <w:rPr>
                <w:rFonts w:ascii="Arial" w:cs="Arial" w:eastAsia="Arial" w:hAnsi="Arial"/>
                <w:sz w:val="10"/>
                <w:szCs w:val="10"/>
                <w:b w:val="1"/>
                <w:bCs w:val="1"/>
                <w:color w:val="auto"/>
              </w:rPr>
              <w:t>Members' Equity—100.0%</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88,222</w:t>
            </w:r>
          </w:p>
        </w:tc>
        <w:tc>
          <w:tcPr>
            <w:tcW w:w="80" w:type="dxa"/>
            <w:vAlign w:val="bottom"/>
          </w:tcPr>
          <w:p>
            <w:pPr>
              <w:spacing w:after="0"/>
              <w:rPr>
                <w:sz w:val="12"/>
                <w:szCs w:val="12"/>
                <w:color w:val="auto"/>
              </w:rPr>
            </w:pPr>
          </w:p>
        </w:tc>
      </w:tr>
      <w:tr>
        <w:trPr>
          <w:trHeight w:val="20"/>
        </w:trPr>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both"/>
        <w:ind w:right="40"/>
        <w:spacing w:after="0" w:line="231"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18"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PSLF’s accounting policy.</w:t>
      </w:r>
    </w:p>
    <w:p>
      <w:pPr>
        <w:spacing w:after="0"/>
        <w:rPr>
          <w:sz w:val="20"/>
          <w:szCs w:val="20"/>
          <w:color w:val="auto"/>
        </w:rPr>
      </w:pPr>
      <w:r>
        <w:rPr>
          <w:rFonts w:ascii="Arial" w:cs="Arial" w:eastAsia="Arial" w:hAnsi="Arial"/>
          <w:sz w:val="19"/>
          <w:szCs w:val="19"/>
          <w:color w:val="auto"/>
          <w:vertAlign w:val="superscript"/>
        </w:rPr>
        <w:t>(3)</w:t>
      </w:r>
      <w:r>
        <w:rPr>
          <w:rFonts w:ascii="Arial" w:cs="Arial" w:eastAsia="Arial" w:hAnsi="Arial"/>
          <w:sz w:val="10"/>
          <w:szCs w:val="10"/>
          <w:color w:val="auto"/>
        </w:rPr>
        <w:t xml:space="preserve"> 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40" w:orient="portrait"/>
          <w:cols w:equalWidth="0" w:num="1">
            <w:col w:w="10560"/>
          </w:cols>
          <w:pgMar w:left="660" w:top="783" w:right="680" w:bottom="1440" w:gutter="0" w:footer="0" w:header="0"/>
        </w:sectPr>
      </w:pPr>
    </w:p>
    <w:bookmarkStart w:id="49" w:name="page50"/>
    <w:bookmarkEnd w:id="49"/>
    <w:p>
      <w:pPr>
        <w:ind w:left="420"/>
        <w:spacing w:after="0"/>
        <w:rPr>
          <w:sz w:val="20"/>
          <w:szCs w:val="20"/>
          <w:color w:val="auto"/>
        </w:rPr>
      </w:pPr>
      <w:r>
        <w:rPr>
          <w:rFonts w:ascii="Arial" w:cs="Arial" w:eastAsia="Arial" w:hAnsi="Arial"/>
          <w:sz w:val="13"/>
          <w:szCs w:val="13"/>
          <w:color w:val="auto"/>
        </w:rPr>
        <w:t>Below is a listing of PSLF’s individual investments as of September 30, 2022 ($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Basis Point</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Spread Above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20" w:type="dxa"/>
            <w:vAlign w:val="bottom"/>
          </w:tcPr>
          <w:p>
            <w:pPr>
              <w:ind w:left="340"/>
              <w:spacing w:after="0"/>
              <w:rPr>
                <w:sz w:val="20"/>
                <w:szCs w:val="20"/>
                <w:color w:val="auto"/>
              </w:rPr>
            </w:pPr>
            <w:r>
              <w:rPr>
                <w:rFonts w:ascii="Arial" w:cs="Arial" w:eastAsia="Arial" w:hAnsi="Arial"/>
                <w:sz w:val="10"/>
                <w:szCs w:val="10"/>
                <w:b w:val="1"/>
                <w:bCs w:val="1"/>
                <w:color w:val="auto"/>
              </w:rPr>
              <w:t>Maturity</w:t>
            </w:r>
          </w:p>
        </w:tc>
        <w:tc>
          <w:tcPr>
            <w:tcW w:w="242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540" w:type="dxa"/>
            <w:vAlign w:val="bottom"/>
          </w:tcPr>
          <w:p>
            <w:pPr>
              <w:jc w:val="right"/>
              <w:ind w:right="172"/>
              <w:spacing w:after="0"/>
              <w:rPr>
                <w:sz w:val="20"/>
                <w:szCs w:val="20"/>
                <w:color w:val="auto"/>
              </w:rPr>
            </w:pPr>
            <w:r>
              <w:rPr>
                <w:rFonts w:ascii="Arial" w:cs="Arial" w:eastAsia="Arial" w:hAnsi="Arial"/>
                <w:sz w:val="10"/>
                <w:szCs w:val="10"/>
                <w:b w:val="1"/>
                <w:bCs w:val="1"/>
                <w:color w:val="auto"/>
              </w:rPr>
              <w:t>Par</w:t>
            </w:r>
          </w:p>
        </w:tc>
        <w:tc>
          <w:tcPr>
            <w:tcW w:w="220" w:type="dxa"/>
            <w:vAlign w:val="bottom"/>
          </w:tcPr>
          <w:p>
            <w:pPr>
              <w:spacing w:after="0"/>
              <w:rPr>
                <w:sz w:val="12"/>
                <w:szCs w:val="12"/>
                <w:color w:val="auto"/>
              </w:rPr>
            </w:pPr>
          </w:p>
        </w:tc>
        <w:tc>
          <w:tcPr>
            <w:tcW w:w="520" w:type="dxa"/>
            <w:vAlign w:val="bottom"/>
          </w:tcPr>
          <w:p>
            <w:pPr>
              <w:jc w:val="right"/>
              <w:ind w:right="212"/>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2"/>
                <w:szCs w:val="12"/>
                <w:color w:val="auto"/>
              </w:rPr>
            </w:pPr>
          </w:p>
        </w:tc>
        <w:tc>
          <w:tcPr>
            <w:tcW w:w="720" w:type="dxa"/>
            <w:vAlign w:val="bottom"/>
          </w:tcPr>
          <w:p>
            <w:pPr>
              <w:jc w:val="right"/>
              <w:ind w:right="112"/>
              <w:spacing w:after="0"/>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c>
          <w:tcPr>
            <w:tcW w:w="0" w:type="dxa"/>
            <w:vAlign w:val="bottom"/>
          </w:tcPr>
          <w:p>
            <w:pPr>
              <w:spacing w:after="0"/>
              <w:rPr>
                <w:sz w:val="1"/>
                <w:szCs w:val="1"/>
                <w:color w:val="auto"/>
              </w:rPr>
            </w:pPr>
          </w:p>
        </w:tc>
      </w:tr>
      <w:tr>
        <w:trPr>
          <w:trHeight w:val="135"/>
        </w:trPr>
        <w:tc>
          <w:tcPr>
            <w:tcW w:w="312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- 864.4%</w:t>
            </w: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Ad.net Acquisition,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05/06/26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  4,938</w:t>
            </w:r>
          </w:p>
        </w:tc>
        <w:tc>
          <w:tcPr>
            <w:tcW w:w="2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4,938</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4,901</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Alpine Acquisition Corp II</w:t>
            </w:r>
          </w:p>
        </w:tc>
        <w:tc>
          <w:tcPr>
            <w:tcW w:w="920" w:type="dxa"/>
            <w:vAlign w:val="bottom"/>
          </w:tcPr>
          <w:p>
            <w:pPr>
              <w:ind w:left="340"/>
              <w:spacing w:after="0"/>
              <w:rPr>
                <w:sz w:val="20"/>
                <w:szCs w:val="20"/>
                <w:color w:val="auto"/>
              </w:rPr>
            </w:pPr>
            <w:r>
              <w:rPr>
                <w:rFonts w:ascii="Arial" w:cs="Arial" w:eastAsia="Arial" w:hAnsi="Arial"/>
                <w:sz w:val="10"/>
                <w:szCs w:val="10"/>
                <w:color w:val="auto"/>
              </w:rPr>
              <w:t>11/30/26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Containers, Packaging and Glass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8.69 %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L+800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9,975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9,785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9,576</w:t>
            </w:r>
          </w:p>
        </w:tc>
        <w:tc>
          <w:tcPr>
            <w:tcW w:w="0" w:type="dxa"/>
            <w:vAlign w:val="bottom"/>
          </w:tcPr>
          <w:p>
            <w:pPr>
              <w:spacing w:after="0"/>
              <w:rPr>
                <w:sz w:val="1"/>
                <w:szCs w:val="1"/>
                <w:color w:val="auto"/>
              </w:rPr>
            </w:pPr>
          </w:p>
        </w:tc>
      </w:tr>
      <w:tr>
        <w:trPr>
          <w:trHeight w:val="140"/>
        </w:trPr>
        <w:tc>
          <w:tcPr>
            <w:tcW w:w="312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Altamira Technologies, LLC</w:t>
            </w:r>
          </w:p>
        </w:tc>
        <w:tc>
          <w:tcPr>
            <w:tcW w:w="920" w:type="dxa"/>
            <w:vAlign w:val="bottom"/>
            <w:vMerge w:val="restart"/>
            <w:shd w:val="clear" w:color="auto" w:fill="CCECFF"/>
          </w:tcPr>
          <w:p>
            <w:pPr>
              <w:ind w:left="340"/>
              <w:spacing w:after="0"/>
              <w:rPr>
                <w:sz w:val="20"/>
                <w:szCs w:val="20"/>
                <w:color w:val="auto"/>
              </w:rPr>
            </w:pPr>
            <w:r>
              <w:rPr>
                <w:rFonts w:ascii="Arial" w:cs="Arial" w:eastAsia="Arial" w:hAnsi="Arial"/>
                <w:sz w:val="10"/>
                <w:szCs w:val="10"/>
                <w:color w:val="auto"/>
              </w:rPr>
              <w:t>07/24/25</w:t>
            </w:r>
          </w:p>
        </w:tc>
        <w:tc>
          <w:tcPr>
            <w:tcW w:w="2420" w:type="dxa"/>
            <w:vAlign w:val="bottom"/>
            <w:vMerge w:val="restart"/>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10.81 %</w:t>
            </w:r>
          </w:p>
        </w:tc>
        <w:tc>
          <w:tcPr>
            <w:tcW w:w="920" w:type="dxa"/>
            <w:vAlign w:val="bottom"/>
            <w:vMerge w:val="restart"/>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871</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841</w:t>
            </w:r>
          </w:p>
        </w:tc>
        <w:tc>
          <w:tcPr>
            <w:tcW w:w="0" w:type="dxa"/>
            <w:vAlign w:val="bottom"/>
          </w:tcPr>
          <w:p>
            <w:pPr>
              <w:spacing w:after="0"/>
              <w:rPr>
                <w:sz w:val="1"/>
                <w:szCs w:val="1"/>
                <w:color w:val="auto"/>
              </w:rPr>
            </w:pPr>
          </w:p>
        </w:tc>
      </w:tr>
      <w:tr>
        <w:trPr>
          <w:trHeight w:val="104"/>
        </w:trPr>
        <w:tc>
          <w:tcPr>
            <w:tcW w:w="3120" w:type="dxa"/>
            <w:vAlign w:val="bottom"/>
            <w:vMerge w:val="continue"/>
            <w:shd w:val="clear" w:color="auto" w:fill="CCECFF"/>
          </w:tcPr>
          <w:p>
            <w:pPr>
              <w:spacing w:after="0"/>
              <w:rPr>
                <w:sz w:val="9"/>
                <w:szCs w:val="9"/>
                <w:color w:val="auto"/>
              </w:rPr>
            </w:pPr>
          </w:p>
        </w:tc>
        <w:tc>
          <w:tcPr>
            <w:tcW w:w="920" w:type="dxa"/>
            <w:vAlign w:val="bottom"/>
            <w:vMerge w:val="continue"/>
            <w:shd w:val="clear" w:color="auto" w:fill="CCECFF"/>
          </w:tcPr>
          <w:p>
            <w:pPr>
              <w:spacing w:after="0"/>
              <w:rPr>
                <w:sz w:val="9"/>
                <w:szCs w:val="9"/>
                <w:color w:val="auto"/>
              </w:rPr>
            </w:pPr>
          </w:p>
        </w:tc>
        <w:tc>
          <w:tcPr>
            <w:tcW w:w="2420" w:type="dxa"/>
            <w:vAlign w:val="bottom"/>
            <w:vMerge w:val="continue"/>
            <w:shd w:val="clear" w:color="auto" w:fill="CCECFF"/>
          </w:tcPr>
          <w:p>
            <w:pPr>
              <w:spacing w:after="0"/>
              <w:rPr>
                <w:sz w:val="9"/>
                <w:szCs w:val="9"/>
                <w:color w:val="auto"/>
              </w:rPr>
            </w:pPr>
          </w:p>
        </w:tc>
        <w:tc>
          <w:tcPr>
            <w:tcW w:w="1020" w:type="dxa"/>
            <w:vAlign w:val="bottom"/>
            <w:vMerge w:val="continue"/>
            <w:shd w:val="clear" w:color="auto" w:fill="CCECFF"/>
          </w:tcPr>
          <w:p>
            <w:pPr>
              <w:spacing w:after="0"/>
              <w:rPr>
                <w:sz w:val="9"/>
                <w:szCs w:val="9"/>
                <w:color w:val="auto"/>
              </w:rPr>
            </w:pPr>
          </w:p>
        </w:tc>
        <w:tc>
          <w:tcPr>
            <w:tcW w:w="920" w:type="dxa"/>
            <w:vAlign w:val="bottom"/>
            <w:vMerge w:val="continue"/>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19,90</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American Insulated Glass, LLC</w:t>
            </w:r>
          </w:p>
        </w:tc>
        <w:tc>
          <w:tcPr>
            <w:tcW w:w="920" w:type="dxa"/>
            <w:vAlign w:val="bottom"/>
          </w:tcPr>
          <w:p>
            <w:pPr>
              <w:ind w:left="340"/>
              <w:spacing w:after="0"/>
              <w:rPr>
                <w:sz w:val="20"/>
                <w:szCs w:val="20"/>
                <w:color w:val="auto"/>
              </w:rPr>
            </w:pPr>
            <w:r>
              <w:rPr>
                <w:rFonts w:ascii="Arial" w:cs="Arial" w:eastAsia="Arial" w:hAnsi="Arial"/>
                <w:sz w:val="10"/>
                <w:szCs w:val="10"/>
                <w:color w:val="auto"/>
              </w:rPr>
              <w:t>12/21/23</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Building Materials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7.79 %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19,868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19,906</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14,10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Amsive Holding Corporation (f/k/a Vision Purchaser Corporation)</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06/10/25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13,968</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13,892</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15,16</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Anteriad, LLC (f/k/a MeritDirect, LLC)</w:t>
            </w:r>
          </w:p>
        </w:tc>
        <w:tc>
          <w:tcPr>
            <w:tcW w:w="920" w:type="dxa"/>
            <w:vAlign w:val="bottom"/>
          </w:tcPr>
          <w:p>
            <w:pPr>
              <w:ind w:left="340"/>
              <w:spacing w:after="0"/>
              <w:rPr>
                <w:sz w:val="20"/>
                <w:szCs w:val="20"/>
                <w:color w:val="auto"/>
              </w:rPr>
            </w:pPr>
            <w:r>
              <w:rPr>
                <w:rFonts w:ascii="Arial" w:cs="Arial" w:eastAsia="Arial" w:hAnsi="Arial"/>
                <w:sz w:val="10"/>
                <w:szCs w:val="10"/>
                <w:color w:val="auto"/>
              </w:rPr>
              <w:t>05/23/24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15,084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15,168</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Any Hour Services</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07/21/27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7.98 %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9,942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9,934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9,743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Apex Service Partners, LLC</w:t>
            </w:r>
          </w:p>
        </w:tc>
        <w:tc>
          <w:tcPr>
            <w:tcW w:w="920" w:type="dxa"/>
            <w:vAlign w:val="bottom"/>
          </w:tcPr>
          <w:p>
            <w:pPr>
              <w:ind w:left="340"/>
              <w:spacing w:after="0"/>
              <w:rPr>
                <w:sz w:val="20"/>
                <w:szCs w:val="20"/>
                <w:color w:val="auto"/>
              </w:rPr>
            </w:pPr>
            <w:r>
              <w:rPr>
                <w:rFonts w:ascii="Arial" w:cs="Arial" w:eastAsia="Arial" w:hAnsi="Arial"/>
                <w:sz w:val="10"/>
                <w:szCs w:val="10"/>
                <w:color w:val="auto"/>
              </w:rPr>
              <w:t>07/31/25</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6.25 %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6,569</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6,502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6,536</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B</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07/31/25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6.55 %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3,323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3,298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3,307</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Apex Service Partners, LLC - Term Loan C</w:t>
            </w:r>
          </w:p>
        </w:tc>
        <w:tc>
          <w:tcPr>
            <w:tcW w:w="920" w:type="dxa"/>
            <w:vAlign w:val="bottom"/>
          </w:tcPr>
          <w:p>
            <w:pPr>
              <w:ind w:left="340"/>
              <w:spacing w:after="0"/>
              <w:rPr>
                <w:sz w:val="20"/>
                <w:szCs w:val="20"/>
                <w:color w:val="auto"/>
              </w:rPr>
            </w:pPr>
            <w:r>
              <w:rPr>
                <w:rFonts w:ascii="Arial" w:cs="Arial" w:eastAsia="Arial" w:hAnsi="Arial"/>
                <w:sz w:val="10"/>
                <w:szCs w:val="10"/>
                <w:color w:val="auto"/>
              </w:rPr>
              <w:t>07/31/25</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6.50 %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7,607</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7,608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7,569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Applied Technical Services,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12/29/26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Environmental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8,822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8,725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8,602</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11,94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Arcfield Acquisition Corp.</w:t>
            </w:r>
          </w:p>
        </w:tc>
        <w:tc>
          <w:tcPr>
            <w:tcW w:w="920" w:type="dxa"/>
            <w:vAlign w:val="bottom"/>
          </w:tcPr>
          <w:p>
            <w:pPr>
              <w:ind w:left="340"/>
              <w:spacing w:after="0"/>
              <w:rPr>
                <w:sz w:val="20"/>
                <w:szCs w:val="20"/>
                <w:color w:val="auto"/>
              </w:rPr>
            </w:pPr>
            <w:r>
              <w:rPr>
                <w:rFonts w:ascii="Arial" w:cs="Arial" w:eastAsia="Arial" w:hAnsi="Arial"/>
                <w:sz w:val="10"/>
                <w:szCs w:val="10"/>
                <w:color w:val="auto"/>
              </w:rPr>
              <w:t>03/07/28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8.99 %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11,721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11,701</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Beta Plus Technologies,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07/01/29</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7.56 %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L+525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14,700</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14,700</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17,99</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Blackhawk Industrial Distribution, Inc.</w:t>
            </w:r>
          </w:p>
        </w:tc>
        <w:tc>
          <w:tcPr>
            <w:tcW w:w="920" w:type="dxa"/>
            <w:vAlign w:val="bottom"/>
          </w:tcPr>
          <w:p>
            <w:pPr>
              <w:ind w:left="340"/>
              <w:spacing w:after="0"/>
              <w:rPr>
                <w:sz w:val="20"/>
                <w:szCs w:val="20"/>
                <w:color w:val="auto"/>
              </w:rPr>
            </w:pPr>
            <w:r>
              <w:rPr>
                <w:rFonts w:ascii="Arial" w:cs="Arial" w:eastAsia="Arial" w:hAnsi="Arial"/>
                <w:sz w:val="10"/>
                <w:szCs w:val="10"/>
                <w:color w:val="auto"/>
              </w:rPr>
              <w:t>09/17/24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8.57 %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17,772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17,596</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Broder Bros., Co.</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12/02/22</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7.39 %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9,937</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9,937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9,937</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17,45</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Cartessa Aesthetics, LLC</w:t>
            </w:r>
          </w:p>
        </w:tc>
        <w:tc>
          <w:tcPr>
            <w:tcW w:w="920" w:type="dxa"/>
            <w:vAlign w:val="bottom"/>
          </w:tcPr>
          <w:p>
            <w:pPr>
              <w:ind w:left="340"/>
              <w:spacing w:after="0"/>
              <w:rPr>
                <w:sz w:val="20"/>
                <w:szCs w:val="20"/>
                <w:color w:val="auto"/>
              </w:rPr>
            </w:pPr>
            <w:r>
              <w:rPr>
                <w:rFonts w:ascii="Arial" w:cs="Arial" w:eastAsia="Arial" w:hAnsi="Arial"/>
                <w:sz w:val="10"/>
                <w:szCs w:val="10"/>
                <w:color w:val="auto"/>
              </w:rPr>
              <w:t>05/13/28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9.55 %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17,131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17,194</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CF512,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08/20/26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9.08 %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2,985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2,958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2,940</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Connatix Buyer, Inc.</w:t>
            </w:r>
          </w:p>
        </w:tc>
        <w:tc>
          <w:tcPr>
            <w:tcW w:w="920" w:type="dxa"/>
            <w:vAlign w:val="bottom"/>
          </w:tcPr>
          <w:p>
            <w:pPr>
              <w:ind w:left="340"/>
              <w:spacing w:after="0"/>
              <w:rPr>
                <w:sz w:val="20"/>
                <w:szCs w:val="20"/>
                <w:color w:val="auto"/>
              </w:rPr>
            </w:pPr>
            <w:r>
              <w:rPr>
                <w:rFonts w:ascii="Arial" w:cs="Arial" w:eastAsia="Arial" w:hAnsi="Arial"/>
                <w:sz w:val="10"/>
                <w:szCs w:val="10"/>
                <w:color w:val="auto"/>
              </w:rPr>
              <w:t>07/13/27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8.42 %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9,045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9,029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8,819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 Squatch,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08/31/27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and Non-Durable 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L+475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6,435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6,427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6,339</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DRI Holding Inc.</w:t>
            </w:r>
          </w:p>
        </w:tc>
        <w:tc>
          <w:tcPr>
            <w:tcW w:w="920" w:type="dxa"/>
            <w:vAlign w:val="bottom"/>
          </w:tcPr>
          <w:p>
            <w:pPr>
              <w:ind w:left="340"/>
              <w:spacing w:after="0"/>
              <w:rPr>
                <w:sz w:val="20"/>
                <w:szCs w:val="20"/>
                <w:color w:val="auto"/>
              </w:rPr>
            </w:pPr>
            <w:r>
              <w:rPr>
                <w:rFonts w:ascii="Arial" w:cs="Arial" w:eastAsia="Arial" w:hAnsi="Arial"/>
                <w:sz w:val="10"/>
                <w:szCs w:val="10"/>
                <w:color w:val="auto"/>
              </w:rPr>
              <w:t>12/21/28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8.37 %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2,776</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2,526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2,490</w:t>
            </w:r>
          </w:p>
        </w:tc>
        <w:tc>
          <w:tcPr>
            <w:tcW w:w="0" w:type="dxa"/>
            <w:vAlign w:val="bottom"/>
          </w:tcPr>
          <w:p>
            <w:pPr>
              <w:spacing w:after="0"/>
              <w:rPr>
                <w:sz w:val="1"/>
                <w:szCs w:val="1"/>
                <w:color w:val="auto"/>
              </w:rPr>
            </w:pPr>
          </w:p>
        </w:tc>
      </w:tr>
      <w:tr>
        <w:trPr>
          <w:trHeight w:val="139"/>
        </w:trPr>
        <w:tc>
          <w:tcPr>
            <w:tcW w:w="312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DRS Holdings III, Inc.</w:t>
            </w: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15,14</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20" w:type="dxa"/>
            <w:vAlign w:val="bottom"/>
            <w:tcBorders>
              <w:bottom w:val="single" w:sz="8" w:color="CCECFF"/>
            </w:tcBorders>
            <w:vMerge w:val="continue"/>
            <w:shd w:val="clear" w:color="auto" w:fill="CCECFF"/>
          </w:tcPr>
          <w:p>
            <w:pPr>
              <w:spacing w:after="0"/>
              <w:rPr>
                <w:sz w:val="9"/>
                <w:szCs w:val="9"/>
                <w:color w:val="auto"/>
              </w:rPr>
            </w:pPr>
          </w:p>
        </w:tc>
        <w:tc>
          <w:tcPr>
            <w:tcW w:w="920" w:type="dxa"/>
            <w:vAlign w:val="bottom"/>
            <w:tcBorders>
              <w:bottom w:val="single" w:sz="8" w:color="CCECFF"/>
            </w:tcBorders>
            <w:shd w:val="clear" w:color="auto" w:fill="CCECFF"/>
          </w:tcPr>
          <w:p>
            <w:pPr>
              <w:ind w:left="340"/>
              <w:spacing w:after="0" w:line="109" w:lineRule="exact"/>
              <w:rPr>
                <w:sz w:val="20"/>
                <w:szCs w:val="20"/>
                <w:color w:val="auto"/>
              </w:rPr>
            </w:pPr>
            <w:r>
              <w:rPr>
                <w:rFonts w:ascii="Arial" w:cs="Arial" w:eastAsia="Arial" w:hAnsi="Arial"/>
                <w:sz w:val="10"/>
                <w:szCs w:val="10"/>
                <w:color w:val="auto"/>
              </w:rPr>
              <w:t>11/03/25</w:t>
            </w:r>
          </w:p>
        </w:tc>
        <w:tc>
          <w:tcPr>
            <w:tcW w:w="2420" w:type="dxa"/>
            <w:vAlign w:val="bottom"/>
            <w:tcBorders>
              <w:bottom w:val="single" w:sz="8" w:color="CCECFF"/>
            </w:tcBorders>
            <w:shd w:val="clear" w:color="auto" w:fill="CCECFF"/>
          </w:tcPr>
          <w:p>
            <w:pPr>
              <w:jc w:val="center"/>
              <w:spacing w:after="0" w:line="109" w:lineRule="exact"/>
              <w:rPr>
                <w:sz w:val="20"/>
                <w:szCs w:val="20"/>
                <w:color w:val="auto"/>
              </w:rPr>
            </w:pPr>
            <w:r>
              <w:rPr>
                <w:rFonts w:ascii="Arial" w:cs="Arial" w:eastAsia="Arial" w:hAnsi="Arial"/>
                <w:sz w:val="10"/>
                <w:szCs w:val="10"/>
                <w:color w:val="auto"/>
                <w:w w:val="97"/>
              </w:rPr>
              <w:t>Consumer Products</w:t>
            </w:r>
          </w:p>
        </w:tc>
        <w:tc>
          <w:tcPr>
            <w:tcW w:w="1020" w:type="dxa"/>
            <w:vAlign w:val="bottom"/>
            <w:tcBorders>
              <w:bottom w:val="single" w:sz="8" w:color="CCECFF"/>
            </w:tcBorders>
            <w:shd w:val="clear" w:color="auto" w:fill="CCECFF"/>
          </w:tcPr>
          <w:p>
            <w:pPr>
              <w:jc w:val="right"/>
              <w:ind w:right="72"/>
              <w:spacing w:after="0" w:line="109" w:lineRule="exact"/>
              <w:rPr>
                <w:sz w:val="20"/>
                <w:szCs w:val="20"/>
                <w:color w:val="auto"/>
              </w:rPr>
            </w:pPr>
            <w:r>
              <w:rPr>
                <w:rFonts w:ascii="Arial" w:cs="Arial" w:eastAsia="Arial" w:hAnsi="Arial"/>
                <w:sz w:val="10"/>
                <w:szCs w:val="10"/>
                <w:color w:val="auto"/>
              </w:rPr>
              <w:t>8.87 %</w:t>
            </w:r>
          </w:p>
        </w:tc>
        <w:tc>
          <w:tcPr>
            <w:tcW w:w="920" w:type="dxa"/>
            <w:vAlign w:val="bottom"/>
            <w:tcBorders>
              <w:bottom w:val="single" w:sz="8" w:color="CCECFF"/>
            </w:tcBorders>
            <w:shd w:val="clear" w:color="auto" w:fill="CCECFF"/>
          </w:tcPr>
          <w:p>
            <w:pPr>
              <w:jc w:val="right"/>
              <w:ind w:right="12"/>
              <w:spacing w:after="0" w:line="109" w:lineRule="exact"/>
              <w:rPr>
                <w:sz w:val="20"/>
                <w:szCs w:val="20"/>
                <w:color w:val="auto"/>
              </w:rPr>
            </w:pPr>
            <w:r>
              <w:rPr>
                <w:rFonts w:ascii="Arial" w:cs="Arial" w:eastAsia="Arial" w:hAnsi="Arial"/>
                <w:sz w:val="10"/>
                <w:szCs w:val="10"/>
                <w:color w:val="auto"/>
              </w:rPr>
              <w:t>3M L+600</w:t>
            </w:r>
          </w:p>
        </w:tc>
        <w:tc>
          <w:tcPr>
            <w:tcW w:w="540" w:type="dxa"/>
            <w:vAlign w:val="bottom"/>
            <w:tcBorders>
              <w:bottom w:val="single" w:sz="8" w:color="CCECFF"/>
            </w:tcBorders>
            <w:shd w:val="clear" w:color="auto" w:fill="CCECFF"/>
          </w:tcPr>
          <w:p>
            <w:pPr>
              <w:jc w:val="right"/>
              <w:ind w:right="52"/>
              <w:spacing w:after="0" w:line="109" w:lineRule="exact"/>
              <w:rPr>
                <w:sz w:val="20"/>
                <w:szCs w:val="20"/>
                <w:color w:val="auto"/>
              </w:rPr>
            </w:pPr>
            <w:r>
              <w:rPr>
                <w:rFonts w:ascii="Arial" w:cs="Arial" w:eastAsia="Arial" w:hAnsi="Arial"/>
                <w:sz w:val="10"/>
                <w:szCs w:val="10"/>
                <w:color w:val="auto"/>
              </w:rPr>
              <w:t>2</w:t>
            </w:r>
          </w:p>
        </w:tc>
        <w:tc>
          <w:tcPr>
            <w:tcW w:w="220" w:type="dxa"/>
            <w:vAlign w:val="bottom"/>
            <w:tcBorders>
              <w:bottom w:val="single" w:sz="8" w:color="CCECFF"/>
            </w:tcBorders>
            <w:shd w:val="clear" w:color="auto" w:fill="CCECFF"/>
          </w:tcPr>
          <w:p>
            <w:pPr>
              <w:spacing w:after="0"/>
              <w:rPr>
                <w:sz w:val="9"/>
                <w:szCs w:val="9"/>
                <w:color w:val="auto"/>
              </w:rPr>
            </w:pPr>
          </w:p>
        </w:tc>
        <w:tc>
          <w:tcPr>
            <w:tcW w:w="520" w:type="dxa"/>
            <w:vAlign w:val="bottom"/>
            <w:tcBorders>
              <w:bottom w:val="single" w:sz="8" w:color="CCECFF"/>
            </w:tcBorders>
            <w:shd w:val="clear" w:color="auto" w:fill="CCECFF"/>
          </w:tcPr>
          <w:p>
            <w:pPr>
              <w:jc w:val="right"/>
              <w:ind w:right="52"/>
              <w:spacing w:after="0" w:line="109" w:lineRule="exact"/>
              <w:rPr>
                <w:sz w:val="20"/>
                <w:szCs w:val="20"/>
                <w:color w:val="auto"/>
              </w:rPr>
            </w:pPr>
            <w:r>
              <w:rPr>
                <w:rFonts w:ascii="Arial" w:cs="Arial" w:eastAsia="Arial" w:hAnsi="Arial"/>
                <w:sz w:val="10"/>
                <w:szCs w:val="10"/>
                <w:color w:val="auto"/>
              </w:rPr>
              <w:t>15,063</w:t>
            </w:r>
          </w:p>
        </w:tc>
        <w:tc>
          <w:tcPr>
            <w:tcW w:w="160" w:type="dxa"/>
            <w:vAlign w:val="bottom"/>
            <w:tcBorders>
              <w:bottom w:val="single" w:sz="8" w:color="CCECFF"/>
            </w:tcBorders>
            <w:shd w:val="clear" w:color="auto" w:fill="CCECFF"/>
          </w:tcPr>
          <w:p>
            <w:pPr>
              <w:spacing w:after="0"/>
              <w:rPr>
                <w:sz w:val="9"/>
                <w:szCs w:val="9"/>
                <w:color w:val="auto"/>
              </w:rPr>
            </w:pPr>
          </w:p>
        </w:tc>
        <w:tc>
          <w:tcPr>
            <w:tcW w:w="720" w:type="dxa"/>
            <w:vAlign w:val="bottom"/>
            <w:tcBorders>
              <w:bottom w:val="single" w:sz="8" w:color="CCECFF"/>
            </w:tcBorders>
            <w:shd w:val="clear" w:color="auto" w:fill="CCECFF"/>
          </w:tcPr>
          <w:p>
            <w:pPr>
              <w:jc w:val="right"/>
              <w:ind w:right="52"/>
              <w:spacing w:after="0" w:line="109" w:lineRule="exact"/>
              <w:rPr>
                <w:sz w:val="20"/>
                <w:szCs w:val="20"/>
                <w:color w:val="auto"/>
              </w:rPr>
            </w:pPr>
            <w:r>
              <w:rPr>
                <w:rFonts w:ascii="Arial" w:cs="Arial" w:eastAsia="Arial" w:hAnsi="Arial"/>
                <w:sz w:val="10"/>
                <w:szCs w:val="10"/>
                <w:color w:val="auto"/>
              </w:rPr>
              <w:t>14,658</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Duraco Specialty Tapes LLC</w:t>
            </w:r>
          </w:p>
        </w:tc>
        <w:tc>
          <w:tcPr>
            <w:tcW w:w="920" w:type="dxa"/>
            <w:vAlign w:val="bottom"/>
          </w:tcPr>
          <w:p>
            <w:pPr>
              <w:ind w:left="340"/>
              <w:spacing w:after="0"/>
              <w:rPr>
                <w:sz w:val="20"/>
                <w:szCs w:val="20"/>
                <w:color w:val="auto"/>
              </w:rPr>
            </w:pPr>
            <w:r>
              <w:rPr>
                <w:rFonts w:ascii="Arial" w:cs="Arial" w:eastAsia="Arial" w:hAnsi="Arial"/>
                <w:sz w:val="10"/>
                <w:szCs w:val="10"/>
                <w:color w:val="auto"/>
              </w:rPr>
              <w:t>06/30/24</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Manufacturing / Basic Industries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8.62 %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8,139</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8,008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7,944</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05/01/28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Hotels, Motels, Inns and Gaming</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10.62 %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4,558</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4,558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4,489</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ECM Industries, LLC</w:t>
            </w:r>
          </w:p>
        </w:tc>
        <w:tc>
          <w:tcPr>
            <w:tcW w:w="920" w:type="dxa"/>
            <w:vAlign w:val="bottom"/>
          </w:tcPr>
          <w:p>
            <w:pPr>
              <w:ind w:left="340"/>
              <w:spacing w:after="0"/>
              <w:rPr>
                <w:sz w:val="20"/>
                <w:szCs w:val="20"/>
                <w:color w:val="auto"/>
              </w:rPr>
            </w:pPr>
            <w:r>
              <w:rPr>
                <w:rFonts w:ascii="Arial" w:cs="Arial" w:eastAsia="Arial" w:hAnsi="Arial"/>
                <w:sz w:val="10"/>
                <w:szCs w:val="10"/>
                <w:color w:val="auto"/>
              </w:rPr>
              <w:t>12/23/25</w:t>
            </w:r>
          </w:p>
        </w:tc>
        <w:tc>
          <w:tcPr>
            <w:tcW w:w="2420" w:type="dxa"/>
            <w:vAlign w:val="bottom"/>
          </w:tcPr>
          <w:p>
            <w:pPr>
              <w:jc w:val="center"/>
              <w:spacing w:after="0"/>
              <w:rPr>
                <w:sz w:val="20"/>
                <w:szCs w:val="20"/>
                <w:color w:val="auto"/>
              </w:rPr>
            </w:pPr>
            <w:r>
              <w:rPr>
                <w:rFonts w:ascii="Arial" w:cs="Arial" w:eastAsia="Arial" w:hAnsi="Arial"/>
                <w:sz w:val="10"/>
                <w:szCs w:val="10"/>
                <w:color w:val="auto"/>
                <w:w w:val="93"/>
              </w:rPr>
              <w:t>Electronics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6.32 %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2,823</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2,761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2,689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Exigo Intermediate II,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03/15/27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9,817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9,726</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Fairbanks Morse Defense</w:t>
            </w:r>
          </w:p>
        </w:tc>
        <w:tc>
          <w:tcPr>
            <w:tcW w:w="920" w:type="dxa"/>
            <w:vAlign w:val="bottom"/>
          </w:tcPr>
          <w:p>
            <w:pPr>
              <w:ind w:left="340"/>
              <w:spacing w:after="0"/>
              <w:rPr>
                <w:sz w:val="20"/>
                <w:szCs w:val="20"/>
                <w:color w:val="auto"/>
              </w:rPr>
            </w:pPr>
            <w:r>
              <w:rPr>
                <w:rFonts w:ascii="Arial" w:cs="Arial" w:eastAsia="Arial" w:hAnsi="Arial"/>
                <w:sz w:val="10"/>
                <w:szCs w:val="10"/>
                <w:color w:val="auto"/>
              </w:rPr>
              <w:t>06/17/28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7.63 %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6M L+475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800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754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740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Global Holdings InterCo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03/16/26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Banking, Finance, Insurance &amp; Real Estate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8.74 %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7,343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7,013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Graffiti Buyer, Inc.</w:t>
            </w:r>
          </w:p>
        </w:tc>
        <w:tc>
          <w:tcPr>
            <w:tcW w:w="920" w:type="dxa"/>
            <w:vAlign w:val="bottom"/>
          </w:tcPr>
          <w:p>
            <w:pPr>
              <w:ind w:left="340"/>
              <w:spacing w:after="0"/>
              <w:rPr>
                <w:sz w:val="20"/>
                <w:szCs w:val="20"/>
                <w:color w:val="auto"/>
              </w:rPr>
            </w:pPr>
            <w:r>
              <w:rPr>
                <w:rFonts w:ascii="Arial" w:cs="Arial" w:eastAsia="Arial" w:hAnsi="Arial"/>
                <w:sz w:val="10"/>
                <w:szCs w:val="10"/>
                <w:color w:val="auto"/>
              </w:rPr>
              <w:t>08/10/27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8.00 %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1,974</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1,939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1,895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Hancock Roofing and Construction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12/31/26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6,835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6,835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6,733</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19,91</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Holdco Sands Intermediate, LLC</w:t>
            </w:r>
          </w:p>
        </w:tc>
        <w:tc>
          <w:tcPr>
            <w:tcW w:w="920" w:type="dxa"/>
            <w:vAlign w:val="bottom"/>
          </w:tcPr>
          <w:p>
            <w:pPr>
              <w:ind w:left="340"/>
              <w:spacing w:after="0"/>
              <w:rPr>
                <w:sz w:val="20"/>
                <w:szCs w:val="20"/>
                <w:color w:val="auto"/>
              </w:rPr>
            </w:pPr>
            <w:r>
              <w:rPr>
                <w:rFonts w:ascii="Arial" w:cs="Arial" w:eastAsia="Arial" w:hAnsi="Arial"/>
                <w:sz w:val="10"/>
                <w:szCs w:val="10"/>
                <w:color w:val="auto"/>
              </w:rPr>
              <w:t>11/23/28</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L+800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19,535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19,516</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15,25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12/17/26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15,045</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14,721</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14,43</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12/10/24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6.00 %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L+700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14,303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14,257</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Icon Partners III, LP</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05/11/28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Auto Sector</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L+475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2,333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2,001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1,705</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17,40</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IDC Infusion Services, Inc.</w:t>
            </w:r>
          </w:p>
        </w:tc>
        <w:tc>
          <w:tcPr>
            <w:tcW w:w="920" w:type="dxa"/>
            <w:vAlign w:val="bottom"/>
          </w:tcPr>
          <w:p>
            <w:pPr>
              <w:ind w:left="340"/>
              <w:spacing w:after="0"/>
              <w:rPr>
                <w:sz w:val="20"/>
                <w:szCs w:val="20"/>
                <w:color w:val="auto"/>
              </w:rPr>
            </w:pPr>
            <w:r>
              <w:rPr>
                <w:rFonts w:ascii="Arial" w:cs="Arial" w:eastAsia="Arial" w:hAnsi="Arial"/>
                <w:sz w:val="10"/>
                <w:szCs w:val="10"/>
                <w:color w:val="auto"/>
              </w:rPr>
              <w:t>12/30/26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10.20 %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L+750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17,154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16,617</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IG Investments Holdings,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09/22/28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4,473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4,388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4,428</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Imagine Acquisitionco,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11/15/27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6.91 %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L+625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5,636</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5,534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5,495</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Inception Fertility Ventures,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12/07/23</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9.96 %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0</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19,545</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19,800</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Infolinks Media Buyco,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11/01/26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9.42 %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6,428</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6,428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6,428</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19,95</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Integrity Marketing Acquisition,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08/27/25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9.21 %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19,866</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19,754</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14,43</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K2 Pure Solutions NoCal, L.P.</w:t>
            </w:r>
          </w:p>
        </w:tc>
        <w:tc>
          <w:tcPr>
            <w:tcW w:w="920" w:type="dxa"/>
            <w:vAlign w:val="bottom"/>
          </w:tcPr>
          <w:p>
            <w:pPr>
              <w:ind w:left="340"/>
              <w:spacing w:after="0"/>
              <w:rPr>
                <w:sz w:val="20"/>
                <w:szCs w:val="20"/>
                <w:color w:val="auto"/>
              </w:rPr>
            </w:pPr>
            <w:r>
              <w:rPr>
                <w:rFonts w:ascii="Arial" w:cs="Arial" w:eastAsia="Arial" w:hAnsi="Arial"/>
                <w:sz w:val="10"/>
                <w:szCs w:val="10"/>
                <w:color w:val="auto"/>
              </w:rPr>
              <w:t>12/20/23</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14,316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14,438</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Amusement, Motion Pictures,</w:t>
            </w: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10/31/24</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Entertainment</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2,137</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2,129</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2,088</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19,92</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Lash OpCo, LLC</w:t>
            </w:r>
          </w:p>
        </w:tc>
        <w:tc>
          <w:tcPr>
            <w:tcW w:w="920" w:type="dxa"/>
            <w:vAlign w:val="bottom"/>
          </w:tcPr>
          <w:p>
            <w:pPr>
              <w:ind w:left="340"/>
              <w:spacing w:after="0"/>
              <w:rPr>
                <w:sz w:val="20"/>
                <w:szCs w:val="20"/>
                <w:color w:val="auto"/>
              </w:rPr>
            </w:pPr>
            <w:r>
              <w:rPr>
                <w:rFonts w:ascii="Arial" w:cs="Arial" w:eastAsia="Arial" w:hAnsi="Arial"/>
                <w:sz w:val="10"/>
                <w:szCs w:val="10"/>
                <w:color w:val="auto"/>
              </w:rPr>
              <w:t>02/18/27</w:t>
            </w:r>
          </w:p>
        </w:tc>
        <w:tc>
          <w:tcPr>
            <w:tcW w:w="2420" w:type="dxa"/>
            <w:vAlign w:val="bottom"/>
          </w:tcPr>
          <w:p>
            <w:pPr>
              <w:jc w:val="center"/>
              <w:spacing w:after="0"/>
              <w:rPr>
                <w:sz w:val="20"/>
                <w:szCs w:val="20"/>
                <w:color w:val="auto"/>
              </w:rPr>
            </w:pPr>
            <w:r>
              <w:rPr>
                <w:rFonts w:ascii="Arial" w:cs="Arial" w:eastAsia="Arial" w:hAnsi="Arial"/>
                <w:sz w:val="10"/>
                <w:szCs w:val="10"/>
                <w:color w:val="auto"/>
                <w:w w:val="97"/>
              </w:rPr>
              <w:t>Consumer Products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11.17 %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L+650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19,708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19,526</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12,34</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Lightspeed Buyer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02/03/26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L+475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12,119</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11,944</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MAG DS Corp.</w:t>
            </w:r>
          </w:p>
        </w:tc>
        <w:tc>
          <w:tcPr>
            <w:tcW w:w="920" w:type="dxa"/>
            <w:vAlign w:val="bottom"/>
          </w:tcPr>
          <w:p>
            <w:pPr>
              <w:ind w:left="340"/>
              <w:spacing w:after="0"/>
              <w:rPr>
                <w:sz w:val="20"/>
                <w:szCs w:val="20"/>
                <w:color w:val="auto"/>
              </w:rPr>
            </w:pPr>
            <w:r>
              <w:rPr>
                <w:rFonts w:ascii="Arial" w:cs="Arial" w:eastAsia="Arial" w:hAnsi="Arial"/>
                <w:sz w:val="10"/>
                <w:szCs w:val="10"/>
                <w:color w:val="auto"/>
              </w:rPr>
              <w:t>04/01/27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5,570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5,128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5,069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Magenta Buyer,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07/31/28</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Software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3,140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2,946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2,826</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Mars Acquisition Holdings Corp.</w:t>
            </w:r>
          </w:p>
        </w:tc>
        <w:tc>
          <w:tcPr>
            <w:tcW w:w="920" w:type="dxa"/>
            <w:vAlign w:val="bottom"/>
          </w:tcPr>
          <w:p>
            <w:pPr>
              <w:ind w:left="340"/>
              <w:spacing w:after="0"/>
              <w:rPr>
                <w:sz w:val="20"/>
                <w:szCs w:val="20"/>
                <w:color w:val="auto"/>
              </w:rPr>
            </w:pPr>
            <w:r>
              <w:rPr>
                <w:rFonts w:ascii="Arial" w:cs="Arial" w:eastAsia="Arial" w:hAnsi="Arial"/>
                <w:sz w:val="10"/>
                <w:szCs w:val="10"/>
                <w:color w:val="auto"/>
              </w:rPr>
              <w:t>05/14/26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8.62 %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L+625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7,920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7,861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7,880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MBS Holdings,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04/16/27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8.56 %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7,406</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7,326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7,332</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Meadowlark Acquirer, LLC</w:t>
            </w:r>
          </w:p>
        </w:tc>
        <w:tc>
          <w:tcPr>
            <w:tcW w:w="920" w:type="dxa"/>
            <w:vAlign w:val="bottom"/>
          </w:tcPr>
          <w:p>
            <w:pPr>
              <w:ind w:left="340"/>
              <w:spacing w:after="0"/>
              <w:rPr>
                <w:sz w:val="20"/>
                <w:szCs w:val="20"/>
                <w:color w:val="auto"/>
              </w:rPr>
            </w:pPr>
            <w:r>
              <w:rPr>
                <w:rFonts w:ascii="Arial" w:cs="Arial" w:eastAsia="Arial" w:hAnsi="Arial"/>
                <w:sz w:val="10"/>
                <w:szCs w:val="10"/>
                <w:color w:val="auto"/>
              </w:rPr>
              <w:t>12/10/27</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2,983</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2,926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2,953</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09/28/27</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7.25 %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4,164</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4,102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3,923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NBH Group LLC</w:t>
            </w:r>
          </w:p>
        </w:tc>
        <w:tc>
          <w:tcPr>
            <w:tcW w:w="920" w:type="dxa"/>
            <w:vAlign w:val="bottom"/>
          </w:tcPr>
          <w:p>
            <w:pPr>
              <w:ind w:left="340"/>
              <w:spacing w:after="0"/>
              <w:rPr>
                <w:sz w:val="20"/>
                <w:szCs w:val="20"/>
                <w:color w:val="auto"/>
              </w:rPr>
            </w:pPr>
            <w:r>
              <w:rPr>
                <w:rFonts w:ascii="Arial" w:cs="Arial" w:eastAsia="Arial" w:hAnsi="Arial"/>
                <w:sz w:val="10"/>
                <w:szCs w:val="10"/>
                <w:color w:val="auto"/>
              </w:rPr>
              <w:t>08/19/26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7.80 %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7,505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7,426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7,505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OIS Management Services,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07/09/26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5,257</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5,210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5,257</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Owl Acquisition, LLC</w:t>
            </w:r>
          </w:p>
        </w:tc>
        <w:tc>
          <w:tcPr>
            <w:tcW w:w="920" w:type="dxa"/>
            <w:vAlign w:val="bottom"/>
          </w:tcPr>
          <w:p>
            <w:pPr>
              <w:ind w:left="340"/>
              <w:spacing w:after="0"/>
              <w:rPr>
                <w:sz w:val="20"/>
                <w:szCs w:val="20"/>
                <w:color w:val="auto"/>
              </w:rPr>
            </w:pPr>
            <w:r>
              <w:rPr>
                <w:rFonts w:ascii="Arial" w:cs="Arial" w:eastAsia="Arial" w:hAnsi="Arial"/>
                <w:sz w:val="10"/>
                <w:szCs w:val="10"/>
                <w:color w:val="auto"/>
              </w:rPr>
              <w:t>02/04/28</w:t>
            </w:r>
          </w:p>
        </w:tc>
        <w:tc>
          <w:tcPr>
            <w:tcW w:w="2420" w:type="dxa"/>
            <w:vAlign w:val="bottom"/>
          </w:tcPr>
          <w:p>
            <w:pPr>
              <w:jc w:val="center"/>
              <w:spacing w:after="0"/>
              <w:rPr>
                <w:sz w:val="20"/>
                <w:szCs w:val="20"/>
                <w:color w:val="auto"/>
              </w:rPr>
            </w:pPr>
            <w:r>
              <w:rPr>
                <w:rFonts w:ascii="Arial" w:cs="Arial" w:eastAsia="Arial" w:hAnsi="Arial"/>
                <w:sz w:val="10"/>
                <w:szCs w:val="10"/>
                <w:color w:val="auto"/>
                <w:w w:val="94"/>
              </w:rPr>
              <w:t>Education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8.41 %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3,990</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3,874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3,890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Ox Two, LLC (New Issue)</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05/18/26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Distribution</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8.32 %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L+650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4,962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4,911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4,863</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920" w:type="dxa"/>
            <w:vAlign w:val="bottom"/>
          </w:tcPr>
          <w:p>
            <w:pPr>
              <w:ind w:left="340"/>
              <w:spacing w:after="0"/>
              <w:rPr>
                <w:sz w:val="20"/>
                <w:szCs w:val="20"/>
                <w:color w:val="auto"/>
              </w:rPr>
            </w:pPr>
            <w:r>
              <w:rPr>
                <w:rFonts w:ascii="Arial" w:cs="Arial" w:eastAsia="Arial" w:hAnsi="Arial"/>
                <w:sz w:val="10"/>
                <w:szCs w:val="10"/>
                <w:color w:val="auto"/>
              </w:rPr>
              <w:t>11/09/27</w:t>
            </w:r>
          </w:p>
        </w:tc>
        <w:tc>
          <w:tcPr>
            <w:tcW w:w="242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9.62 %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8,634</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8,489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8,419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PlayPower,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05/08/26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9.17 %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L+525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2,580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2,487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2,309</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920" w:type="dxa"/>
            <w:vAlign w:val="bottom"/>
          </w:tcPr>
          <w:p>
            <w:pPr>
              <w:ind w:left="340"/>
              <w:spacing w:after="0"/>
              <w:rPr>
                <w:sz w:val="20"/>
                <w:szCs w:val="20"/>
                <w:color w:val="auto"/>
              </w:rPr>
            </w:pPr>
            <w:r>
              <w:rPr>
                <w:rFonts w:ascii="Arial" w:cs="Arial" w:eastAsia="Arial" w:hAnsi="Arial"/>
                <w:sz w:val="10"/>
                <w:szCs w:val="10"/>
                <w:color w:val="auto"/>
              </w:rPr>
              <w:t>11/19/26</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9.92 %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3,403</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3,342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3,335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 - Unfunded Term Loan</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11/19/26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0.00 %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L+625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12,75</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Radius Aerospace, Inc.</w:t>
            </w:r>
          </w:p>
        </w:tc>
        <w:tc>
          <w:tcPr>
            <w:tcW w:w="920" w:type="dxa"/>
            <w:vAlign w:val="bottom"/>
          </w:tcPr>
          <w:p>
            <w:pPr>
              <w:ind w:left="340"/>
              <w:spacing w:after="0"/>
              <w:rPr>
                <w:sz w:val="20"/>
                <w:szCs w:val="20"/>
                <w:color w:val="auto"/>
              </w:rPr>
            </w:pPr>
            <w:r>
              <w:rPr>
                <w:rFonts w:ascii="Arial" w:cs="Arial" w:eastAsia="Arial" w:hAnsi="Arial"/>
                <w:sz w:val="10"/>
                <w:szCs w:val="10"/>
                <w:color w:val="auto"/>
              </w:rPr>
              <w:t>03/31/25</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9.46 %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L+600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12,657</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12,566</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Rancho Health MSO,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12/18/25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7.75 %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1M L+450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5,180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5,180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5,180</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920" w:type="dxa"/>
            <w:vAlign w:val="bottom"/>
          </w:tcPr>
          <w:p>
            <w:pPr>
              <w:ind w:left="340"/>
              <w:spacing w:after="0"/>
              <w:rPr>
                <w:sz w:val="20"/>
                <w:szCs w:val="20"/>
                <w:color w:val="auto"/>
              </w:rPr>
            </w:pPr>
            <w:r>
              <w:rPr>
                <w:rFonts w:ascii="Arial" w:cs="Arial" w:eastAsia="Arial" w:hAnsi="Arial"/>
                <w:sz w:val="10"/>
                <w:szCs w:val="10"/>
                <w:color w:val="auto"/>
              </w:rPr>
              <w:t>02/28/28</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9.13 %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SOFR+600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4,975</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4,904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4,751</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01/29/26</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Consumer Products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9.92 %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L+700</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9,850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9,718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9,505</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14,54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Research Now Group, LLC and Dynata, LLC</w:t>
            </w:r>
          </w:p>
        </w:tc>
        <w:tc>
          <w:tcPr>
            <w:tcW w:w="920" w:type="dxa"/>
            <w:vAlign w:val="bottom"/>
          </w:tcPr>
          <w:p>
            <w:pPr>
              <w:ind w:left="340"/>
              <w:spacing w:after="0"/>
              <w:rPr>
                <w:sz w:val="20"/>
                <w:szCs w:val="20"/>
                <w:color w:val="auto"/>
              </w:rPr>
            </w:pPr>
            <w:r>
              <w:rPr>
                <w:rFonts w:ascii="Arial" w:cs="Arial" w:eastAsia="Arial" w:hAnsi="Arial"/>
                <w:sz w:val="10"/>
                <w:szCs w:val="10"/>
                <w:color w:val="auto"/>
              </w:rPr>
              <w:t>12/20/24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8.84 %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14,440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13,070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Riverpoint Medical,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06/20/25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7.74 %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L+525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3,192</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3,172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3,112</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Riverside Assessments, LLC</w:t>
            </w:r>
          </w:p>
        </w:tc>
        <w:tc>
          <w:tcPr>
            <w:tcW w:w="920" w:type="dxa"/>
            <w:vAlign w:val="bottom"/>
          </w:tcPr>
          <w:p>
            <w:pPr>
              <w:ind w:left="340"/>
              <w:spacing w:after="0"/>
              <w:rPr>
                <w:sz w:val="20"/>
                <w:szCs w:val="20"/>
                <w:color w:val="auto"/>
              </w:rPr>
            </w:pPr>
            <w:r>
              <w:rPr>
                <w:rFonts w:ascii="Arial" w:cs="Arial" w:eastAsia="Arial" w:hAnsi="Arial"/>
                <w:sz w:val="10"/>
                <w:szCs w:val="10"/>
                <w:color w:val="auto"/>
              </w:rPr>
              <w:t>03/10/25</w:t>
            </w:r>
          </w:p>
        </w:tc>
        <w:tc>
          <w:tcPr>
            <w:tcW w:w="2420" w:type="dxa"/>
            <w:vAlign w:val="bottom"/>
          </w:tcPr>
          <w:p>
            <w:pPr>
              <w:jc w:val="center"/>
              <w:spacing w:after="0"/>
              <w:rPr>
                <w:sz w:val="20"/>
                <w:szCs w:val="20"/>
                <w:color w:val="auto"/>
              </w:rPr>
            </w:pPr>
            <w:r>
              <w:rPr>
                <w:rFonts w:ascii="Arial" w:cs="Arial" w:eastAsia="Arial" w:hAnsi="Arial"/>
                <w:sz w:val="10"/>
                <w:szCs w:val="10"/>
                <w:color w:val="auto"/>
                <w:w w:val="94"/>
              </w:rPr>
              <w:t>Education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9.95 %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L+575</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9,949</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9,872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9,750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01/03/25</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3M L+625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6,859</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6,779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6,791</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920" w:type="dxa"/>
            <w:vAlign w:val="bottom"/>
          </w:tcPr>
          <w:p>
            <w:pPr>
              <w:ind w:left="340"/>
              <w:spacing w:after="0"/>
              <w:rPr>
                <w:sz w:val="20"/>
                <w:szCs w:val="20"/>
                <w:color w:val="auto"/>
              </w:rPr>
            </w:pPr>
            <w:r>
              <w:rPr>
                <w:rFonts w:ascii="Arial" w:cs="Arial" w:eastAsia="Arial" w:hAnsi="Arial"/>
                <w:sz w:val="10"/>
                <w:szCs w:val="10"/>
                <w:color w:val="auto"/>
              </w:rPr>
              <w:t>12/20/24</w:t>
            </w:r>
          </w:p>
        </w:tc>
        <w:tc>
          <w:tcPr>
            <w:tcW w:w="2420" w:type="dxa"/>
            <w:vAlign w:val="bottom"/>
          </w:tcPr>
          <w:p>
            <w:pPr>
              <w:jc w:val="center"/>
              <w:spacing w:after="0"/>
              <w:rPr>
                <w:sz w:val="20"/>
                <w:szCs w:val="20"/>
                <w:color w:val="auto"/>
              </w:rPr>
            </w:pPr>
            <w:r>
              <w:rPr>
                <w:rFonts w:ascii="Arial" w:cs="Arial" w:eastAsia="Arial" w:hAnsi="Arial"/>
                <w:sz w:val="10"/>
                <w:szCs w:val="10"/>
                <w:color w:val="auto"/>
                <w:w w:val="93"/>
              </w:rPr>
              <w:t>Electronics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7.15 %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L+550</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5,082</w:t>
            </w:r>
          </w:p>
        </w:tc>
        <w:tc>
          <w:tcPr>
            <w:tcW w:w="2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5,082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5,031</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vMerge w:val="restart"/>
            <w:shd w:val="clear" w:color="auto" w:fill="CCECFF"/>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15,00</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20" w:type="dxa"/>
            <w:vAlign w:val="bottom"/>
            <w:tcBorders>
              <w:bottom w:val="single" w:sz="8" w:color="CCECFF"/>
            </w:tcBorders>
            <w:shd w:val="clear" w:color="auto" w:fill="CCECFF"/>
          </w:tcPr>
          <w:p>
            <w:pPr>
              <w:ind w:left="20"/>
              <w:spacing w:after="0" w:line="109" w:lineRule="exact"/>
              <w:rPr>
                <w:sz w:val="20"/>
                <w:szCs w:val="20"/>
                <w:color w:val="auto"/>
              </w:rPr>
            </w:pPr>
            <w:r>
              <w:rPr>
                <w:rFonts w:ascii="Arial" w:cs="Arial" w:eastAsia="Arial" w:hAnsi="Arial"/>
                <w:sz w:val="10"/>
                <w:szCs w:val="10"/>
                <w:color w:val="auto"/>
              </w:rPr>
              <w:t>Seaway Buyer, LLC</w:t>
            </w:r>
          </w:p>
        </w:tc>
        <w:tc>
          <w:tcPr>
            <w:tcW w:w="920" w:type="dxa"/>
            <w:vAlign w:val="bottom"/>
            <w:tcBorders>
              <w:bottom w:val="single" w:sz="8" w:color="CCECFF"/>
            </w:tcBorders>
            <w:shd w:val="clear" w:color="auto" w:fill="CCECFF"/>
          </w:tcPr>
          <w:p>
            <w:pPr>
              <w:ind w:left="340"/>
              <w:spacing w:after="0" w:line="109" w:lineRule="exact"/>
              <w:rPr>
                <w:sz w:val="20"/>
                <w:szCs w:val="20"/>
                <w:color w:val="auto"/>
              </w:rPr>
            </w:pPr>
            <w:r>
              <w:rPr>
                <w:rFonts w:ascii="Arial" w:cs="Arial" w:eastAsia="Arial" w:hAnsi="Arial"/>
                <w:sz w:val="10"/>
                <w:szCs w:val="10"/>
                <w:color w:val="auto"/>
              </w:rPr>
              <w:t>06/13/29</w:t>
            </w:r>
          </w:p>
        </w:tc>
        <w:tc>
          <w:tcPr>
            <w:tcW w:w="2420" w:type="dxa"/>
            <w:vAlign w:val="bottom"/>
            <w:tcBorders>
              <w:bottom w:val="single" w:sz="8" w:color="CCECFF"/>
            </w:tcBorders>
            <w:shd w:val="clear" w:color="auto" w:fill="CCECFF"/>
          </w:tcPr>
          <w:p>
            <w:pPr>
              <w:jc w:val="center"/>
              <w:spacing w:after="0" w:line="109" w:lineRule="exact"/>
              <w:rPr>
                <w:sz w:val="20"/>
                <w:szCs w:val="20"/>
                <w:color w:val="auto"/>
              </w:rPr>
            </w:pPr>
            <w:r>
              <w:rPr>
                <w:rFonts w:ascii="Arial" w:cs="Arial" w:eastAsia="Arial" w:hAnsi="Arial"/>
                <w:sz w:val="10"/>
                <w:szCs w:val="10"/>
                <w:color w:val="auto"/>
                <w:w w:val="95"/>
              </w:rPr>
              <w:t>Chemicals, Plastics and Rubber</w:t>
            </w:r>
          </w:p>
        </w:tc>
        <w:tc>
          <w:tcPr>
            <w:tcW w:w="1020" w:type="dxa"/>
            <w:vAlign w:val="bottom"/>
            <w:tcBorders>
              <w:bottom w:val="single" w:sz="8" w:color="CCECFF"/>
            </w:tcBorders>
            <w:shd w:val="clear" w:color="auto" w:fill="CCECFF"/>
          </w:tcPr>
          <w:p>
            <w:pPr>
              <w:jc w:val="right"/>
              <w:ind w:right="72"/>
              <w:spacing w:after="0" w:line="109" w:lineRule="exact"/>
              <w:rPr>
                <w:sz w:val="20"/>
                <w:szCs w:val="20"/>
                <w:color w:val="auto"/>
              </w:rPr>
            </w:pPr>
            <w:r>
              <w:rPr>
                <w:rFonts w:ascii="Arial" w:cs="Arial" w:eastAsia="Arial" w:hAnsi="Arial"/>
                <w:sz w:val="10"/>
                <w:szCs w:val="10"/>
                <w:color w:val="auto"/>
              </w:rPr>
              <w:t>7.90 %</w:t>
            </w:r>
          </w:p>
        </w:tc>
        <w:tc>
          <w:tcPr>
            <w:tcW w:w="920" w:type="dxa"/>
            <w:vAlign w:val="bottom"/>
            <w:tcBorders>
              <w:bottom w:val="single" w:sz="8" w:color="CCECFF"/>
            </w:tcBorders>
            <w:vMerge w:val="continue"/>
            <w:shd w:val="clear" w:color="auto" w:fill="CCECFF"/>
          </w:tcPr>
          <w:p>
            <w:pPr>
              <w:spacing w:after="0"/>
              <w:rPr>
                <w:sz w:val="9"/>
                <w:szCs w:val="9"/>
                <w:color w:val="auto"/>
              </w:rPr>
            </w:pPr>
          </w:p>
        </w:tc>
        <w:tc>
          <w:tcPr>
            <w:tcW w:w="540" w:type="dxa"/>
            <w:vAlign w:val="bottom"/>
            <w:tcBorders>
              <w:bottom w:val="single" w:sz="8" w:color="CCECFF"/>
            </w:tcBorders>
            <w:shd w:val="clear" w:color="auto" w:fill="CCECFF"/>
          </w:tcPr>
          <w:p>
            <w:pPr>
              <w:jc w:val="right"/>
              <w:ind w:right="52"/>
              <w:spacing w:after="0" w:line="109" w:lineRule="exact"/>
              <w:rPr>
                <w:sz w:val="20"/>
                <w:szCs w:val="20"/>
                <w:color w:val="auto"/>
              </w:rPr>
            </w:pPr>
            <w:r>
              <w:rPr>
                <w:rFonts w:ascii="Arial" w:cs="Arial" w:eastAsia="Arial" w:hAnsi="Arial"/>
                <w:sz w:val="10"/>
                <w:szCs w:val="10"/>
                <w:color w:val="auto"/>
              </w:rPr>
              <w:t>0</w:t>
            </w:r>
          </w:p>
        </w:tc>
        <w:tc>
          <w:tcPr>
            <w:tcW w:w="220" w:type="dxa"/>
            <w:vAlign w:val="bottom"/>
            <w:tcBorders>
              <w:bottom w:val="single" w:sz="8" w:color="CCECFF"/>
            </w:tcBorders>
            <w:shd w:val="clear" w:color="auto" w:fill="CCECFF"/>
          </w:tcPr>
          <w:p>
            <w:pPr>
              <w:spacing w:after="0"/>
              <w:rPr>
                <w:sz w:val="9"/>
                <w:szCs w:val="9"/>
                <w:color w:val="auto"/>
              </w:rPr>
            </w:pPr>
          </w:p>
        </w:tc>
        <w:tc>
          <w:tcPr>
            <w:tcW w:w="520" w:type="dxa"/>
            <w:vAlign w:val="bottom"/>
            <w:tcBorders>
              <w:bottom w:val="single" w:sz="8" w:color="CCECFF"/>
            </w:tcBorders>
            <w:shd w:val="clear" w:color="auto" w:fill="CCECFF"/>
          </w:tcPr>
          <w:p>
            <w:pPr>
              <w:jc w:val="right"/>
              <w:ind w:right="52"/>
              <w:spacing w:after="0" w:line="109" w:lineRule="exact"/>
              <w:rPr>
                <w:sz w:val="20"/>
                <w:szCs w:val="20"/>
                <w:color w:val="auto"/>
              </w:rPr>
            </w:pPr>
            <w:r>
              <w:rPr>
                <w:rFonts w:ascii="Arial" w:cs="Arial" w:eastAsia="Arial" w:hAnsi="Arial"/>
                <w:sz w:val="10"/>
                <w:szCs w:val="10"/>
                <w:color w:val="auto"/>
              </w:rPr>
              <w:t>14,794</w:t>
            </w:r>
          </w:p>
        </w:tc>
        <w:tc>
          <w:tcPr>
            <w:tcW w:w="160" w:type="dxa"/>
            <w:vAlign w:val="bottom"/>
            <w:tcBorders>
              <w:bottom w:val="single" w:sz="8" w:color="CCECFF"/>
            </w:tcBorders>
            <w:shd w:val="clear" w:color="auto" w:fill="CCECFF"/>
          </w:tcPr>
          <w:p>
            <w:pPr>
              <w:spacing w:after="0"/>
              <w:rPr>
                <w:sz w:val="9"/>
                <w:szCs w:val="9"/>
                <w:color w:val="auto"/>
              </w:rPr>
            </w:pPr>
          </w:p>
        </w:tc>
        <w:tc>
          <w:tcPr>
            <w:tcW w:w="720" w:type="dxa"/>
            <w:vAlign w:val="bottom"/>
            <w:tcBorders>
              <w:bottom w:val="single" w:sz="8" w:color="CCECFF"/>
            </w:tcBorders>
            <w:shd w:val="clear" w:color="auto" w:fill="CCECFF"/>
          </w:tcPr>
          <w:p>
            <w:pPr>
              <w:jc w:val="right"/>
              <w:ind w:right="52"/>
              <w:spacing w:after="0" w:line="109" w:lineRule="exact"/>
              <w:rPr>
                <w:sz w:val="20"/>
                <w:szCs w:val="20"/>
                <w:color w:val="auto"/>
              </w:rPr>
            </w:pPr>
            <w:r>
              <w:rPr>
                <w:rFonts w:ascii="Arial" w:cs="Arial" w:eastAsia="Arial" w:hAnsi="Arial"/>
                <w:sz w:val="10"/>
                <w:szCs w:val="10"/>
                <w:color w:val="auto"/>
              </w:rPr>
              <w:t>14,775</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11,95</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rPr>
                <w:sz w:val="20"/>
                <w:szCs w:val="20"/>
                <w:color w:val="auto"/>
              </w:rPr>
            </w:pPr>
            <w:r>
              <w:rPr>
                <w:rFonts w:ascii="Arial" w:cs="Arial" w:eastAsia="Arial" w:hAnsi="Arial"/>
                <w:sz w:val="10"/>
                <w:szCs w:val="10"/>
                <w:color w:val="auto"/>
              </w:rPr>
              <w:t>Signature Systems Holding Company</w:t>
            </w:r>
          </w:p>
        </w:tc>
        <w:tc>
          <w:tcPr>
            <w:tcW w:w="920" w:type="dxa"/>
            <w:vAlign w:val="bottom"/>
          </w:tcPr>
          <w:p>
            <w:pPr>
              <w:ind w:left="340"/>
              <w:spacing w:after="0"/>
              <w:rPr>
                <w:sz w:val="20"/>
                <w:szCs w:val="20"/>
                <w:color w:val="auto"/>
              </w:rPr>
            </w:pPr>
            <w:r>
              <w:rPr>
                <w:rFonts w:ascii="Arial" w:cs="Arial" w:eastAsia="Arial" w:hAnsi="Arial"/>
                <w:sz w:val="10"/>
                <w:szCs w:val="10"/>
                <w:color w:val="auto"/>
              </w:rPr>
              <w:t>05/03/24</w:t>
            </w:r>
          </w:p>
        </w:tc>
        <w:tc>
          <w:tcPr>
            <w:tcW w:w="242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1M L+450</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11,879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11,861</w:t>
            </w:r>
          </w:p>
        </w:tc>
        <w:tc>
          <w:tcPr>
            <w:tcW w:w="0" w:type="dxa"/>
            <w:vAlign w:val="bottom"/>
          </w:tcPr>
          <w:p>
            <w:pPr>
              <w:spacing w:after="0"/>
              <w:rPr>
                <w:sz w:val="1"/>
                <w:szCs w:val="1"/>
                <w:color w:val="auto"/>
              </w:rPr>
            </w:pPr>
          </w:p>
        </w:tc>
      </w:tr>
      <w:tr>
        <w:trPr>
          <w:trHeight w:val="139"/>
        </w:trPr>
        <w:tc>
          <w:tcPr>
            <w:tcW w:w="3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11,38</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CFF"/>
          </w:tcPr>
          <w:p>
            <w:pPr>
              <w:ind w:left="20"/>
              <w:spacing w:after="0"/>
              <w:rPr>
                <w:sz w:val="20"/>
                <w:szCs w:val="20"/>
                <w:color w:val="auto"/>
              </w:rPr>
            </w:pPr>
            <w:r>
              <w:rPr>
                <w:rFonts w:ascii="Arial" w:cs="Arial" w:eastAsia="Arial" w:hAnsi="Arial"/>
                <w:sz w:val="10"/>
                <w:szCs w:val="10"/>
                <w:color w:val="auto"/>
              </w:rPr>
              <w:t>Solutionreach, Inc.</w:t>
            </w:r>
          </w:p>
        </w:tc>
        <w:tc>
          <w:tcPr>
            <w:tcW w:w="920" w:type="dxa"/>
            <w:vAlign w:val="bottom"/>
            <w:shd w:val="clear" w:color="auto" w:fill="CCECFF"/>
          </w:tcPr>
          <w:p>
            <w:pPr>
              <w:ind w:left="340"/>
              <w:spacing w:after="0"/>
              <w:rPr>
                <w:sz w:val="20"/>
                <w:szCs w:val="20"/>
                <w:color w:val="auto"/>
              </w:rPr>
            </w:pPr>
            <w:r>
              <w:rPr>
                <w:rFonts w:ascii="Arial" w:cs="Arial" w:eastAsia="Arial" w:hAnsi="Arial"/>
                <w:sz w:val="10"/>
                <w:szCs w:val="10"/>
                <w:color w:val="auto"/>
              </w:rPr>
              <w:t>01/17/24</w:t>
            </w:r>
          </w:p>
        </w:tc>
        <w:tc>
          <w:tcPr>
            <w:tcW w:w="24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Communications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8.87 %</w:t>
            </w:r>
          </w:p>
        </w:tc>
        <w:tc>
          <w:tcPr>
            <w:tcW w:w="920" w:type="dxa"/>
            <w:vAlign w:val="bottom"/>
            <w:shd w:val="clear" w:color="auto" w:fill="CCECFF"/>
          </w:tcPr>
          <w:p>
            <w:pPr>
              <w:jc w:val="right"/>
              <w:ind w:right="12"/>
              <w:spacing w:after="0"/>
              <w:rPr>
                <w:sz w:val="20"/>
                <w:szCs w:val="20"/>
                <w:color w:val="auto"/>
              </w:rPr>
            </w:pPr>
            <w:r>
              <w:rPr>
                <w:rFonts w:ascii="Arial" w:cs="Arial" w:eastAsia="Arial" w:hAnsi="Arial"/>
                <w:sz w:val="10"/>
                <w:szCs w:val="10"/>
                <w:color w:val="auto"/>
              </w:rPr>
              <w:t>6M L+675</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11,352</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11,113</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12,09</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20" w:type="dxa"/>
            <w:vAlign w:val="bottom"/>
          </w:tcPr>
          <w:p>
            <w:pPr>
              <w:ind w:left="20"/>
              <w:spacing w:after="0"/>
              <w:rPr>
                <w:sz w:val="20"/>
                <w:szCs w:val="20"/>
                <w:color w:val="auto"/>
              </w:rPr>
            </w:pPr>
            <w:r>
              <w:rPr>
                <w:rFonts w:ascii="Arial" w:cs="Arial" w:eastAsia="Arial" w:hAnsi="Arial"/>
                <w:sz w:val="10"/>
                <w:szCs w:val="10"/>
                <w:color w:val="auto"/>
              </w:rPr>
              <w:t>STV Group Incorporated</w:t>
            </w:r>
          </w:p>
        </w:tc>
        <w:tc>
          <w:tcPr>
            <w:tcW w:w="920" w:type="dxa"/>
            <w:vAlign w:val="bottom"/>
          </w:tcPr>
          <w:p>
            <w:pPr>
              <w:ind w:left="340"/>
              <w:spacing w:after="0"/>
              <w:rPr>
                <w:sz w:val="20"/>
                <w:szCs w:val="20"/>
                <w:color w:val="auto"/>
              </w:rPr>
            </w:pPr>
            <w:r>
              <w:rPr>
                <w:rFonts w:ascii="Arial" w:cs="Arial" w:eastAsia="Arial" w:hAnsi="Arial"/>
                <w:sz w:val="10"/>
                <w:szCs w:val="10"/>
                <w:color w:val="auto"/>
              </w:rPr>
              <w:t>12/11/26</w:t>
            </w:r>
          </w:p>
        </w:tc>
        <w:tc>
          <w:tcPr>
            <w:tcW w:w="242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8.37 %</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3M L+575</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22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12,031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11,978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62" w:right="680" w:bottom="957"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20"/>
        </w:trPr>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Basis Point</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Spread Above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80" w:type="dxa"/>
            <w:vAlign w:val="bottom"/>
          </w:tcPr>
          <w:p>
            <w:pPr>
              <w:ind w:left="280"/>
              <w:spacing w:after="0"/>
              <w:rPr>
                <w:sz w:val="20"/>
                <w:szCs w:val="20"/>
                <w:color w:val="auto"/>
              </w:rPr>
            </w:pPr>
            <w:r>
              <w:rPr>
                <w:rFonts w:ascii="Arial" w:cs="Arial" w:eastAsia="Arial" w:hAnsi="Arial"/>
                <w:sz w:val="10"/>
                <w:szCs w:val="10"/>
                <w:b w:val="1"/>
                <w:bCs w:val="1"/>
                <w:color w:val="auto"/>
              </w:rPr>
              <w:t>Maturity</w:t>
            </w:r>
          </w:p>
        </w:tc>
        <w:tc>
          <w:tcPr>
            <w:tcW w:w="222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7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jc w:val="center"/>
              <w:ind w:right="112"/>
              <w:spacing w:after="0" w:line="135" w:lineRule="exact"/>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(1)</w:t>
            </w:r>
          </w:p>
        </w:tc>
        <w:tc>
          <w:tcPr>
            <w:tcW w:w="980" w:type="dxa"/>
            <w:vAlign w:val="bottom"/>
            <w:gridSpan w:val="2"/>
          </w:tcPr>
          <w:p>
            <w:pPr>
              <w:jc w:val="right"/>
              <w:ind w:right="592"/>
              <w:spacing w:after="0"/>
              <w:rPr>
                <w:sz w:val="20"/>
                <w:szCs w:val="20"/>
                <w:color w:val="auto"/>
              </w:rPr>
            </w:pPr>
            <w:r>
              <w:rPr>
                <w:rFonts w:ascii="Arial" w:cs="Arial" w:eastAsia="Arial" w:hAnsi="Arial"/>
                <w:sz w:val="10"/>
                <w:szCs w:val="10"/>
                <w:b w:val="1"/>
                <w:bCs w:val="1"/>
                <w:color w:val="auto"/>
              </w:rPr>
              <w:t>Par</w:t>
            </w: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0"/>
                <w:szCs w:val="10"/>
                <w:b w:val="1"/>
                <w:bCs w:val="1"/>
                <w:color w:val="auto"/>
                <w:w w:val="96"/>
              </w:rPr>
              <w:t xml:space="preserve">Fair Value </w:t>
            </w:r>
            <w:r>
              <w:rPr>
                <w:rFonts w:ascii="Arial" w:cs="Arial" w:eastAsia="Arial" w:hAnsi="Arial"/>
                <w:sz w:val="12"/>
                <w:szCs w:val="12"/>
                <w:b w:val="1"/>
                <w:bCs w:val="1"/>
                <w:color w:val="auto"/>
                <w:w w:val="96"/>
                <w:vertAlign w:val="superscript"/>
              </w:rPr>
              <w:t>(2)</w:t>
            </w:r>
          </w:p>
        </w:tc>
      </w:tr>
      <w:tr>
        <w:trPr>
          <w:trHeight w:val="144"/>
        </w:trPr>
        <w:tc>
          <w:tcPr>
            <w:tcW w:w="30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0"/>
                <w:szCs w:val="10"/>
                <w:color w:val="auto"/>
              </w:rPr>
              <w:t>System Planning and Analysis, Inc. (f/k/a Management Consulting</w:t>
            </w:r>
          </w:p>
        </w:tc>
        <w:tc>
          <w:tcPr>
            <w:tcW w:w="8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3040" w:type="dxa"/>
            <w:vAlign w:val="bottom"/>
          </w:tcPr>
          <w:p>
            <w:pPr>
              <w:ind w:left="20"/>
              <w:spacing w:after="0"/>
              <w:rPr>
                <w:sz w:val="20"/>
                <w:szCs w:val="20"/>
                <w:color w:val="auto"/>
              </w:rPr>
            </w:pPr>
            <w:r>
              <w:rPr>
                <w:rFonts w:ascii="Arial" w:cs="Arial" w:eastAsia="Arial" w:hAnsi="Arial"/>
                <w:sz w:val="10"/>
                <w:szCs w:val="10"/>
                <w:color w:val="auto"/>
              </w:rPr>
              <w:t>&amp; Research,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8/16/2027</w:t>
            </w:r>
          </w:p>
        </w:tc>
        <w:tc>
          <w:tcPr>
            <w:tcW w:w="2220" w:type="dxa"/>
            <w:vAlign w:val="bottom"/>
          </w:tcPr>
          <w:p>
            <w:pPr>
              <w:jc w:val="center"/>
              <w:ind w:right="12"/>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8.73 %</w:t>
            </w:r>
          </w:p>
        </w:tc>
        <w:tc>
          <w:tcPr>
            <w:tcW w:w="1000" w:type="dxa"/>
            <w:vAlign w:val="bottom"/>
          </w:tcPr>
          <w:p>
            <w:pPr>
              <w:jc w:val="right"/>
              <w:ind w:right="152"/>
              <w:spacing w:after="0"/>
              <w:rPr>
                <w:sz w:val="20"/>
                <w:szCs w:val="20"/>
                <w:color w:val="auto"/>
              </w:rPr>
            </w:pPr>
            <w:r>
              <w:rPr>
                <w:rFonts w:ascii="Arial" w:cs="Arial" w:eastAsia="Arial" w:hAnsi="Arial"/>
                <w:sz w:val="10"/>
                <w:szCs w:val="10"/>
                <w:color w:val="auto"/>
              </w:rPr>
              <w:t>SOFR+600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16,128</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15,785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15,870</w:t>
            </w:r>
          </w:p>
        </w:tc>
        <w:tc>
          <w:tcPr>
            <w:tcW w:w="80" w:type="dxa"/>
            <w:vAlign w:val="bottom"/>
          </w:tcPr>
          <w:p>
            <w:pPr>
              <w:spacing w:after="0"/>
              <w:rPr>
                <w:sz w:val="10"/>
                <w:szCs w:val="10"/>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Teneo Holdings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7/18/2025</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Financial Services</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7.73 %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3,474</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3,435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3,271</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The Aegis Technologies Group, LLC</w:t>
            </w:r>
          </w:p>
        </w:tc>
        <w:tc>
          <w:tcPr>
            <w:tcW w:w="880" w:type="dxa"/>
            <w:vAlign w:val="bottom"/>
          </w:tcPr>
          <w:p>
            <w:pPr>
              <w:jc w:val="center"/>
              <w:spacing w:after="0"/>
              <w:rPr>
                <w:sz w:val="20"/>
                <w:szCs w:val="20"/>
                <w:color w:val="auto"/>
              </w:rPr>
            </w:pPr>
            <w:r>
              <w:rPr>
                <w:rFonts w:ascii="Arial" w:cs="Arial" w:eastAsia="Arial" w:hAnsi="Arial"/>
                <w:sz w:val="10"/>
                <w:szCs w:val="10"/>
                <w:color w:val="auto"/>
                <w:w w:val="95"/>
              </w:rPr>
              <w:t>10/31/2025</w:t>
            </w:r>
          </w:p>
        </w:tc>
        <w:tc>
          <w:tcPr>
            <w:tcW w:w="2220" w:type="dxa"/>
            <w:vAlign w:val="bottom"/>
          </w:tcPr>
          <w:p>
            <w:pPr>
              <w:jc w:val="center"/>
              <w:ind w:right="12"/>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9.67 %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11,208</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11,102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11,096</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Bluebird Group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7/27/2026</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10.67 %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L+650</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5,502</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5,549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5,557</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The Vertex Companies,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8/30/2027</w:t>
            </w:r>
          </w:p>
        </w:tc>
        <w:tc>
          <w:tcPr>
            <w:tcW w:w="22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8.62 %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840" w:type="dxa"/>
            <w:vAlign w:val="bottom"/>
          </w:tcPr>
          <w:p>
            <w:pPr>
              <w:jc w:val="right"/>
              <w:ind w:right="192"/>
              <w:spacing w:after="0"/>
              <w:rPr>
                <w:sz w:val="20"/>
                <w:szCs w:val="20"/>
                <w:color w:val="auto"/>
              </w:rPr>
            </w:pPr>
            <w:r>
              <w:rPr>
                <w:rFonts w:ascii="Arial" w:cs="Arial" w:eastAsia="Arial" w:hAnsi="Arial"/>
                <w:sz w:val="10"/>
                <w:szCs w:val="10"/>
                <w:color w:val="auto"/>
              </w:rPr>
              <w:t>4,531</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4,485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4,509</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11/24/2025</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Food</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7.78 %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5,536</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5,392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5,370</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TVC Enterprises,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3/26/2026</w:t>
            </w:r>
          </w:p>
        </w:tc>
        <w:tc>
          <w:tcPr>
            <w:tcW w:w="2220" w:type="dxa"/>
            <w:vAlign w:val="bottom"/>
          </w:tcPr>
          <w:p>
            <w:pPr>
              <w:jc w:val="center"/>
              <w:spacing w:after="0"/>
              <w:rPr>
                <w:sz w:val="20"/>
                <w:szCs w:val="20"/>
                <w:color w:val="auto"/>
              </w:rPr>
            </w:pPr>
            <w:r>
              <w:rPr>
                <w:rFonts w:ascii="Arial" w:cs="Arial" w:eastAsia="Arial" w:hAnsi="Arial"/>
                <w:sz w:val="10"/>
                <w:szCs w:val="10"/>
                <w:color w:val="auto"/>
                <w:w w:val="96"/>
              </w:rPr>
              <w:t>Transportation</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17,381</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17,244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16,946</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TWS Acquisition Corporation</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6/16/2025</w:t>
            </w:r>
          </w:p>
        </w:tc>
        <w:tc>
          <w:tcPr>
            <w:tcW w:w="222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8"/>
              </w:rPr>
              <w:t>Education</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L+625</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7,949</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7,917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7,910</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Tyto Athene, LLC</w:t>
            </w:r>
          </w:p>
        </w:tc>
        <w:tc>
          <w:tcPr>
            <w:tcW w:w="880" w:type="dxa"/>
            <w:vAlign w:val="bottom"/>
          </w:tcPr>
          <w:p>
            <w:pPr>
              <w:jc w:val="center"/>
              <w:spacing w:after="0"/>
              <w:rPr>
                <w:sz w:val="20"/>
                <w:szCs w:val="20"/>
                <w:color w:val="auto"/>
              </w:rPr>
            </w:pPr>
            <w:r>
              <w:rPr>
                <w:rFonts w:ascii="Arial" w:cs="Arial" w:eastAsia="Arial" w:hAnsi="Arial"/>
                <w:sz w:val="10"/>
                <w:szCs w:val="10"/>
                <w:color w:val="auto"/>
                <w:w w:val="92"/>
              </w:rPr>
              <w:t>4/3/2028</w:t>
            </w:r>
          </w:p>
        </w:tc>
        <w:tc>
          <w:tcPr>
            <w:tcW w:w="2220" w:type="dxa"/>
            <w:vAlign w:val="bottom"/>
          </w:tcPr>
          <w:p>
            <w:pPr>
              <w:jc w:val="center"/>
              <w:ind w:right="12"/>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7.76 %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12,064</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11,938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11,208</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UBEO, LLC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4/3/2024</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Printing and Publishing</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8.17 %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L+450</w:t>
            </w:r>
          </w:p>
        </w:tc>
        <w:tc>
          <w:tcPr>
            <w:tcW w:w="84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4,674</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4,657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4,604</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Unique Indoor Comfort, LLC</w:t>
            </w:r>
          </w:p>
        </w:tc>
        <w:tc>
          <w:tcPr>
            <w:tcW w:w="880" w:type="dxa"/>
            <w:vAlign w:val="bottom"/>
          </w:tcPr>
          <w:p>
            <w:pPr>
              <w:jc w:val="center"/>
              <w:spacing w:after="0"/>
              <w:rPr>
                <w:sz w:val="20"/>
                <w:szCs w:val="20"/>
                <w:color w:val="auto"/>
              </w:rPr>
            </w:pPr>
            <w:r>
              <w:rPr>
                <w:rFonts w:ascii="Arial" w:cs="Arial" w:eastAsia="Arial" w:hAnsi="Arial"/>
                <w:sz w:val="10"/>
                <w:szCs w:val="10"/>
                <w:color w:val="auto"/>
                <w:w w:val="94"/>
              </w:rPr>
              <w:t>5/24/2027</w:t>
            </w:r>
          </w:p>
        </w:tc>
        <w:tc>
          <w:tcPr>
            <w:tcW w:w="2220" w:type="dxa"/>
            <w:vAlign w:val="bottom"/>
          </w:tcPr>
          <w:p>
            <w:pPr>
              <w:jc w:val="center"/>
              <w:spacing w:after="0"/>
              <w:rPr>
                <w:sz w:val="20"/>
                <w:szCs w:val="20"/>
                <w:color w:val="auto"/>
              </w:rPr>
            </w:pPr>
            <w:r>
              <w:rPr>
                <w:rFonts w:ascii="Arial" w:cs="Arial" w:eastAsia="Arial" w:hAnsi="Arial"/>
                <w:sz w:val="10"/>
                <w:szCs w:val="10"/>
                <w:color w:val="auto"/>
                <w:w w:val="95"/>
              </w:rPr>
              <w:t>Home and Office Furnishings, Housewares</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8.95 %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L+525</w:t>
            </w:r>
          </w:p>
        </w:tc>
        <w:tc>
          <w:tcPr>
            <w:tcW w:w="840" w:type="dxa"/>
            <w:vAlign w:val="bottom"/>
          </w:tcPr>
          <w:p>
            <w:pPr>
              <w:jc w:val="right"/>
              <w:ind w:right="192"/>
              <w:spacing w:after="0"/>
              <w:rPr>
                <w:sz w:val="20"/>
                <w:szCs w:val="20"/>
                <w:color w:val="auto"/>
              </w:rPr>
            </w:pPr>
            <w:r>
              <w:rPr>
                <w:rFonts w:ascii="Arial" w:cs="Arial" w:eastAsia="Arial" w:hAnsi="Arial"/>
                <w:sz w:val="10"/>
                <w:szCs w:val="10"/>
                <w:color w:val="auto"/>
              </w:rPr>
              <w:t>9,975</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9,840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9,755</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Wildcat Buyerco, Inc.</w:t>
            </w:r>
          </w:p>
        </w:tc>
        <w:tc>
          <w:tcPr>
            <w:tcW w:w="8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2/27/2026</w:t>
            </w:r>
          </w:p>
        </w:tc>
        <w:tc>
          <w:tcPr>
            <w:tcW w:w="22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Electronics</w:t>
            </w:r>
          </w:p>
        </w:tc>
        <w:tc>
          <w:tcPr>
            <w:tcW w:w="10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9.45 %</w:t>
            </w:r>
          </w:p>
        </w:tc>
        <w:tc>
          <w:tcPr>
            <w:tcW w:w="10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SOFR+575</w:t>
            </w:r>
          </w:p>
        </w:tc>
        <w:tc>
          <w:tcPr>
            <w:tcW w:w="8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11,506</w:t>
            </w: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11,420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11,110</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Arial" w:cs="Arial" w:eastAsia="Arial" w:hAnsi="Arial"/>
                <w:sz w:val="10"/>
                <w:szCs w:val="10"/>
                <w:color w:val="auto"/>
              </w:rPr>
              <w:t>Zips Car Wash, LLC</w:t>
            </w:r>
          </w:p>
        </w:tc>
        <w:tc>
          <w:tcPr>
            <w:tcW w:w="880" w:type="dxa"/>
            <w:vAlign w:val="bottom"/>
          </w:tcPr>
          <w:p>
            <w:pPr>
              <w:jc w:val="center"/>
              <w:spacing w:after="0"/>
              <w:rPr>
                <w:sz w:val="20"/>
                <w:szCs w:val="20"/>
                <w:color w:val="auto"/>
              </w:rPr>
            </w:pPr>
            <w:r>
              <w:rPr>
                <w:rFonts w:ascii="Arial" w:cs="Arial" w:eastAsia="Arial" w:hAnsi="Arial"/>
                <w:sz w:val="10"/>
                <w:szCs w:val="10"/>
                <w:color w:val="auto"/>
                <w:w w:val="92"/>
              </w:rPr>
              <w:t>3/1/2024</w:t>
            </w:r>
          </w:p>
        </w:tc>
        <w:tc>
          <w:tcPr>
            <w:tcW w:w="222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10.24 %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L+725</w:t>
            </w:r>
          </w:p>
        </w:tc>
        <w:tc>
          <w:tcPr>
            <w:tcW w:w="840" w:type="dxa"/>
            <w:vAlign w:val="bottom"/>
          </w:tcPr>
          <w:p>
            <w:pPr>
              <w:jc w:val="right"/>
              <w:ind w:right="172"/>
              <w:spacing w:after="0"/>
              <w:rPr>
                <w:sz w:val="20"/>
                <w:szCs w:val="20"/>
                <w:color w:val="auto"/>
              </w:rPr>
            </w:pPr>
            <w:r>
              <w:rPr>
                <w:rFonts w:ascii="Arial" w:cs="Arial" w:eastAsia="Arial" w:hAnsi="Arial"/>
                <w:sz w:val="10"/>
                <w:szCs w:val="10"/>
                <w:color w:val="auto"/>
              </w:rPr>
              <w:t>19,998</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19,673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19,498</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738,219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730,108</w:t>
            </w:r>
          </w:p>
        </w:tc>
        <w:tc>
          <w:tcPr>
            <w:tcW w:w="80" w:type="dxa"/>
            <w:vAlign w:val="bottom"/>
          </w:tcPr>
          <w:p>
            <w:pPr>
              <w:spacing w:after="0"/>
              <w:rPr>
                <w:sz w:val="12"/>
                <w:szCs w:val="12"/>
                <w:color w:val="auto"/>
              </w:rPr>
            </w:pPr>
          </w:p>
        </w:tc>
      </w:tr>
      <w:tr>
        <w:trPr>
          <w:trHeight w:val="144"/>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- 864.4%</w:t>
            </w: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 - 50.9%</w:t>
            </w: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04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BlackRock Federal FD Institutional 30</w:t>
            </w:r>
          </w:p>
        </w:tc>
        <w:tc>
          <w:tcPr>
            <w:tcW w:w="88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42,966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42,966</w:t>
            </w:r>
          </w:p>
        </w:tc>
        <w:tc>
          <w:tcPr>
            <w:tcW w:w="80" w:type="dxa"/>
            <w:vAlign w:val="bottom"/>
            <w:shd w:val="clear" w:color="auto" w:fill="CCECFF"/>
          </w:tcPr>
          <w:p>
            <w:pPr>
              <w:spacing w:after="0"/>
              <w:rPr>
                <w:sz w:val="12"/>
                <w:szCs w:val="12"/>
                <w:color w:val="auto"/>
              </w:rPr>
            </w:pPr>
          </w:p>
        </w:tc>
      </w:tr>
      <w:tr>
        <w:trPr>
          <w:trHeight w:val="144"/>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42,966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42,966</w:t>
            </w:r>
          </w:p>
        </w:tc>
        <w:tc>
          <w:tcPr>
            <w:tcW w:w="80" w:type="dxa"/>
            <w:vAlign w:val="bottom"/>
          </w:tcPr>
          <w:p>
            <w:pPr>
              <w:spacing w:after="0"/>
              <w:rPr>
                <w:sz w:val="12"/>
                <w:szCs w:val="12"/>
                <w:color w:val="auto"/>
              </w:rPr>
            </w:pPr>
          </w:p>
        </w:tc>
      </w:tr>
      <w:tr>
        <w:trPr>
          <w:trHeight w:val="184"/>
        </w:trPr>
        <w:tc>
          <w:tcPr>
            <w:tcW w:w="3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and Cash Equivalents - 915.3%</w:t>
            </w:r>
          </w:p>
        </w:tc>
        <w:tc>
          <w:tcPr>
            <w:tcW w:w="880" w:type="dxa"/>
            <w:vAlign w:val="bottom"/>
            <w:tcBorders>
              <w:bottom w:val="single" w:sz="8" w:color="CCECFF"/>
            </w:tcBorders>
            <w:shd w:val="clear" w:color="auto" w:fill="CCECFF"/>
          </w:tcPr>
          <w:p>
            <w:pPr>
              <w:spacing w:after="0"/>
              <w:rPr>
                <w:sz w:val="16"/>
                <w:szCs w:val="16"/>
                <w:color w:val="auto"/>
              </w:rPr>
            </w:pPr>
          </w:p>
        </w:tc>
        <w:tc>
          <w:tcPr>
            <w:tcW w:w="222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781,185</w:t>
            </w: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773,074</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20"/>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Liabilities in Excess of Other Assets — (815.3)%</w:t>
            </w:r>
          </w:p>
        </w:tc>
        <w:tc>
          <w:tcPr>
            <w:tcW w:w="8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(688,612 )</w:t>
            </w:r>
          </w:p>
        </w:tc>
      </w:tr>
      <w:tr>
        <w:trPr>
          <w:trHeight w:val="184"/>
        </w:trPr>
        <w:tc>
          <w:tcPr>
            <w:tcW w:w="3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Members' Equity—100.0%</w:t>
            </w:r>
          </w:p>
        </w:tc>
        <w:tc>
          <w:tcPr>
            <w:tcW w:w="880" w:type="dxa"/>
            <w:vAlign w:val="bottom"/>
            <w:tcBorders>
              <w:bottom w:val="single" w:sz="8" w:color="CCECFF"/>
            </w:tcBorders>
            <w:shd w:val="clear" w:color="auto" w:fill="CCECFF"/>
          </w:tcPr>
          <w:p>
            <w:pPr>
              <w:spacing w:after="0"/>
              <w:rPr>
                <w:sz w:val="16"/>
                <w:szCs w:val="16"/>
                <w:color w:val="auto"/>
              </w:rPr>
            </w:pPr>
          </w:p>
        </w:tc>
        <w:tc>
          <w:tcPr>
            <w:tcW w:w="222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48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84,462</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both"/>
        <w:ind w:right="40"/>
        <w:spacing w:after="0" w:line="231"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PSLF’s accounting policy.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80" w:type="dxa"/>
            <w:vAlign w:val="bottom"/>
          </w:tcPr>
          <w:p>
            <w:pPr>
              <w:ind w:left="420"/>
              <w:spacing w:after="0"/>
              <w:rPr>
                <w:sz w:val="20"/>
                <w:szCs w:val="20"/>
                <w:color w:val="auto"/>
              </w:rPr>
            </w:pPr>
            <w:r>
              <w:rPr>
                <w:rFonts w:ascii="Arial" w:cs="Arial" w:eastAsia="Arial" w:hAnsi="Arial"/>
                <w:sz w:val="13"/>
                <w:szCs w:val="13"/>
                <w:color w:val="auto"/>
              </w:rPr>
              <w:t>Below are the consolidated statements of assets and liabilities for</w:t>
            </w:r>
          </w:p>
        </w:tc>
        <w:tc>
          <w:tcPr>
            <w:tcW w:w="2280" w:type="dxa"/>
            <w:vAlign w:val="bottom"/>
            <w:gridSpan w:val="2"/>
          </w:tcPr>
          <w:p>
            <w:pPr>
              <w:jc w:val="right"/>
              <w:ind w:right="900"/>
              <w:spacing w:after="0"/>
              <w:rPr>
                <w:sz w:val="20"/>
                <w:szCs w:val="20"/>
                <w:color w:val="auto"/>
              </w:rPr>
            </w:pPr>
            <w:r>
              <w:rPr>
                <w:rFonts w:ascii="Arial" w:cs="Arial" w:eastAsia="Arial" w:hAnsi="Arial"/>
                <w:sz w:val="13"/>
                <w:szCs w:val="13"/>
                <w:color w:val="auto"/>
              </w:rPr>
              <w:t>PSLF,($ in thousands):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March 31, 2023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(Unaudited)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2022</w:t>
            </w:r>
          </w:p>
        </w:tc>
        <w:tc>
          <w:tcPr>
            <w:tcW w:w="0" w:type="dxa"/>
            <w:vAlign w:val="bottom"/>
          </w:tcPr>
          <w:p>
            <w:pPr>
              <w:spacing w:after="0"/>
              <w:rPr>
                <w:sz w:val="1"/>
                <w:szCs w:val="1"/>
                <w:color w:val="auto"/>
              </w:rPr>
            </w:pPr>
          </w:p>
        </w:tc>
      </w:tr>
      <w:tr>
        <w:trPr>
          <w:trHeight w:val="180"/>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Assets</w:t>
            </w:r>
          </w:p>
        </w:tc>
        <w:tc>
          <w:tcPr>
            <w:tcW w:w="20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Arial" w:cs="Arial" w:eastAsia="Arial" w:hAnsi="Arial"/>
                <w:sz w:val="13"/>
                <w:szCs w:val="13"/>
                <w:color w:val="auto"/>
              </w:rPr>
              <w:t>Investments at fair value (cost—$761,289 and $738,219, respectively)</w:t>
            </w:r>
          </w:p>
        </w:tc>
        <w:tc>
          <w:tcPr>
            <w:tcW w:w="2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747,561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730,108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 (cost—$41,361 and $42,966, respectively)</w:t>
            </w:r>
          </w:p>
        </w:tc>
        <w:tc>
          <w:tcPr>
            <w:tcW w:w="20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41,361</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42,966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Arial" w:cs="Arial" w:eastAsia="Arial" w:hAnsi="Arial"/>
                <w:sz w:val="13"/>
                <w:szCs w:val="13"/>
                <w:color w:val="auto"/>
              </w:rPr>
              <w:t>Receivable for investments sold</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3,870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receivable</w:t>
            </w:r>
          </w:p>
        </w:tc>
        <w:tc>
          <w:tcPr>
            <w:tcW w:w="20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2,997</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2,970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1,373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Total assets</w:t>
            </w:r>
          </w:p>
        </w:tc>
        <w:tc>
          <w:tcPr>
            <w:tcW w:w="20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793,008</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781,287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Credit facility payable</w:t>
            </w:r>
          </w:p>
        </w:tc>
        <w:tc>
          <w:tcPr>
            <w:tcW w:w="20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284,600</w:t>
            </w:r>
          </w:p>
        </w:tc>
        <w:tc>
          <w:tcPr>
            <w:tcW w:w="100" w:type="dxa"/>
            <w:vAlign w:val="bottom"/>
            <w:shd w:val="clear" w:color="auto" w:fill="CCECFF"/>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257,600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Arial" w:cs="Arial" w:eastAsia="Arial" w:hAnsi="Arial"/>
                <w:sz w:val="13"/>
                <w:szCs w:val="13"/>
                <w:color w:val="auto"/>
              </w:rPr>
              <w:t>2034 Asset-backed debt, net (par—$246,000)</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244,089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243,896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Notes payable to members</w:t>
            </w:r>
          </w:p>
        </w:tc>
        <w:tc>
          <w:tcPr>
            <w:tcW w:w="20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157,605</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145,472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Arial" w:cs="Arial" w:eastAsia="Arial" w:hAnsi="Arial"/>
                <w:sz w:val="13"/>
                <w:szCs w:val="13"/>
                <w:color w:val="auto"/>
              </w:rPr>
              <w:t>Payable for investments purchased</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37,658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payable on credit facility and asset backed debt</w:t>
            </w:r>
          </w:p>
        </w:tc>
        <w:tc>
          <w:tcPr>
            <w:tcW w:w="20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8,019</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4,676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Arial" w:cs="Arial" w:eastAsia="Arial" w:hAnsi="Arial"/>
                <w:sz w:val="13"/>
                <w:szCs w:val="13"/>
                <w:color w:val="auto"/>
              </w:rPr>
              <w:t>Distribution payable to Members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payable on notes to members</w:t>
            </w:r>
          </w:p>
        </w:tc>
        <w:tc>
          <w:tcPr>
            <w:tcW w:w="20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3,369</w:t>
            </w:r>
          </w:p>
        </w:tc>
        <w:tc>
          <w:tcPr>
            <w:tcW w:w="100" w:type="dxa"/>
            <w:vAlign w:val="bottom"/>
            <w:shd w:val="clear" w:color="auto" w:fill="CCECFF"/>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2,703</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4280" w:type="dxa"/>
            <w:vAlign w:val="bottom"/>
            <w:shd w:val="clear" w:color="auto" w:fill="CCECFF"/>
          </w:tcPr>
          <w:p>
            <w:pPr>
              <w:spacing w:after="0"/>
              <w:rPr>
                <w:sz w:val="6"/>
                <w:szCs w:val="6"/>
                <w:color w:val="auto"/>
              </w:rPr>
            </w:pPr>
          </w:p>
        </w:tc>
        <w:tc>
          <w:tcPr>
            <w:tcW w:w="2000" w:type="dxa"/>
            <w:vAlign w:val="bottom"/>
            <w:shd w:val="clear" w:color="auto" w:fill="CCECFF"/>
          </w:tcPr>
          <w:p>
            <w:pPr>
              <w:spacing w:after="0"/>
              <w:rPr>
                <w:sz w:val="6"/>
                <w:szCs w:val="6"/>
                <w:color w:val="auto"/>
              </w:rPr>
            </w:pPr>
          </w:p>
        </w:tc>
        <w:tc>
          <w:tcPr>
            <w:tcW w:w="280" w:type="dxa"/>
            <w:vAlign w:val="bottom"/>
            <w:shd w:val="clear" w:color="auto" w:fill="CCECFF"/>
          </w:tcPr>
          <w:p>
            <w:pPr>
              <w:spacing w:after="0"/>
              <w:rPr>
                <w:sz w:val="6"/>
                <w:szCs w:val="6"/>
                <w:color w:val="auto"/>
              </w:rPr>
            </w:pPr>
          </w:p>
        </w:tc>
        <w:tc>
          <w:tcPr>
            <w:tcW w:w="1640" w:type="dxa"/>
            <w:vAlign w:val="bottom"/>
            <w:vMerge w:val="continue"/>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740" w:type="dxa"/>
            <w:vAlign w:val="bottom"/>
            <w:vMerge w:val="continue"/>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Arial" w:cs="Arial" w:eastAsia="Arial" w:hAnsi="Arial"/>
                <w:sz w:val="13"/>
                <w:szCs w:val="13"/>
                <w:color w:val="auto"/>
              </w:rPr>
              <w:t>Accrued expenses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820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Total liabilities</w:t>
            </w:r>
          </w:p>
        </w:tc>
        <w:tc>
          <w:tcPr>
            <w:tcW w:w="20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704,786</w:t>
            </w:r>
          </w:p>
        </w:tc>
        <w:tc>
          <w:tcPr>
            <w:tcW w:w="100" w:type="dxa"/>
            <w:vAlign w:val="bottom"/>
            <w:shd w:val="clear" w:color="auto" w:fill="CCECFF"/>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696,825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Commitments and contingencies </w:t>
            </w:r>
            <w:r>
              <w:rPr>
                <w:rFonts w:ascii="Arial" w:cs="Arial" w:eastAsia="Arial" w:hAnsi="Arial"/>
                <w:sz w:val="16"/>
                <w:szCs w:val="16"/>
                <w:color w:val="auto"/>
                <w:vertAlign w:val="superscript"/>
              </w:rPr>
              <w:t>(1)</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Members' equity</w:t>
            </w:r>
          </w:p>
        </w:tc>
        <w:tc>
          <w:tcPr>
            <w:tcW w:w="20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88,222</w:t>
            </w:r>
          </w:p>
        </w:tc>
        <w:tc>
          <w:tcPr>
            <w:tcW w:w="100" w:type="dxa"/>
            <w:vAlign w:val="bottom"/>
            <w:shd w:val="clear" w:color="auto" w:fill="CCECFF"/>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84,462</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500"/>
              <w:spacing w:after="0"/>
              <w:rPr>
                <w:sz w:val="20"/>
                <w:szCs w:val="20"/>
                <w:color w:val="auto"/>
              </w:rPr>
            </w:pPr>
            <w:r>
              <w:rPr>
                <w:rFonts w:ascii="Arial" w:cs="Arial" w:eastAsia="Arial" w:hAnsi="Arial"/>
                <w:sz w:val="13"/>
                <w:szCs w:val="13"/>
                <w:b w:val="1"/>
                <w:bCs w:val="1"/>
                <w:color w:val="auto"/>
              </w:rPr>
              <w:t>Total liabilities and members' equity</w:t>
            </w:r>
          </w:p>
        </w:tc>
        <w:tc>
          <w:tcPr>
            <w:tcW w:w="2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793,008</w:t>
            </w:r>
          </w:p>
        </w:tc>
        <w:tc>
          <w:tcPr>
            <w:tcW w:w="100" w:type="dxa"/>
            <w:vAlign w:val="bottom"/>
          </w:tcPr>
          <w:p>
            <w:pPr>
              <w:spacing w:after="0"/>
              <w:rPr>
                <w:sz w:val="15"/>
                <w:szCs w:val="15"/>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781,287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As of March 31, 2023 and September 30, 2022, PSLF had unfunded commitments to fund investments of investments of $0.1 million and $0.1 million,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Pr>
          <w:p>
            <w:pPr>
              <w:spacing w:after="0"/>
              <w:rPr>
                <w:sz w:val="20"/>
                <w:szCs w:val="20"/>
                <w:color w:val="auto"/>
              </w:rPr>
            </w:pPr>
            <w:r>
              <w:rPr>
                <w:rFonts w:ascii="Arial" w:cs="Arial" w:eastAsia="Arial" w:hAnsi="Arial"/>
                <w:sz w:val="13"/>
                <w:szCs w:val="13"/>
                <w:color w:val="auto"/>
              </w:rPr>
              <w:t>Below are the consolidated statements of operations for PSLF, ($ in 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Three Months Ended March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80"/>
        </w:trPr>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Investment income:</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180"/>
              <w:spacing w:after="0"/>
              <w:rPr>
                <w:sz w:val="20"/>
                <w:szCs w:val="20"/>
                <w:color w:val="auto"/>
              </w:rPr>
            </w:pPr>
            <w:r>
              <w:rPr>
                <w:rFonts w:ascii="Arial" w:cs="Arial" w:eastAsia="Arial" w:hAnsi="Arial"/>
                <w:sz w:val="13"/>
                <w:szCs w:val="13"/>
                <w:color w:val="auto"/>
              </w:rPr>
              <w:t>Interest</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21,223</w:t>
            </w:r>
          </w:p>
        </w:tc>
        <w:tc>
          <w:tcPr>
            <w:tcW w:w="1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7,698</w:t>
            </w:r>
          </w:p>
        </w:tc>
        <w:tc>
          <w:tcPr>
            <w:tcW w:w="10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40,068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15,268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751</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848</w:t>
            </w:r>
          </w:p>
        </w:tc>
        <w:tc>
          <w:tcPr>
            <w:tcW w:w="100" w:type="dxa"/>
            <w:vAlign w:val="bottom"/>
            <w:shd w:val="clear" w:color="auto" w:fill="CCECFF"/>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180"/>
              <w:spacing w:after="0"/>
              <w:rPr>
                <w:sz w:val="20"/>
                <w:szCs w:val="20"/>
                <w:color w:val="auto"/>
              </w:rPr>
            </w:pPr>
            <w:r>
              <w:rPr>
                <w:rFonts w:ascii="Arial" w:cs="Arial" w:eastAsia="Arial" w:hAnsi="Arial"/>
                <w:sz w:val="13"/>
                <w:szCs w:val="13"/>
                <w:b w:val="1"/>
                <w:bCs w:val="1"/>
                <w:color w:val="auto"/>
              </w:rPr>
              <w:t>Total investment income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21,974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40,916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15,410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Expenses:</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180"/>
              <w:spacing w:after="0"/>
              <w:rPr>
                <w:sz w:val="20"/>
                <w:szCs w:val="20"/>
                <w:color w:val="auto"/>
              </w:rPr>
            </w:pPr>
            <w:r>
              <w:rPr>
                <w:rFonts w:ascii="Arial" w:cs="Arial" w:eastAsia="Arial" w:hAnsi="Arial"/>
                <w:sz w:val="13"/>
                <w:szCs w:val="13"/>
                <w:color w:val="auto"/>
              </w:rPr>
              <w:t>Interest expense on credit facility and asset-backed debt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8,874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16,689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3,654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5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56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Interest expense on notes to members</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5,003</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2,430</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9,726</w:t>
            </w:r>
          </w:p>
        </w:tc>
        <w:tc>
          <w:tcPr>
            <w:tcW w:w="100" w:type="dxa"/>
            <w:vAlign w:val="bottom"/>
            <w:shd w:val="clear" w:color="auto" w:fill="CCECFF"/>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4,869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180"/>
              <w:spacing w:after="0"/>
              <w:rPr>
                <w:sz w:val="20"/>
                <w:szCs w:val="20"/>
                <w:color w:val="auto"/>
              </w:rPr>
            </w:pPr>
            <w:r>
              <w:rPr>
                <w:rFonts w:ascii="Arial" w:cs="Arial" w:eastAsia="Arial" w:hAnsi="Arial"/>
                <w:sz w:val="13"/>
                <w:szCs w:val="13"/>
                <w:color w:val="auto"/>
              </w:rPr>
              <w:t>Administrative services expenses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40" w:type="dxa"/>
            <w:vAlign w:val="bottom"/>
            <w:shd w:val="clear" w:color="auto" w:fill="CCECFF"/>
          </w:tcPr>
          <w:p>
            <w:pPr>
              <w:ind w:left="180"/>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CFF"/>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224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14,547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27,926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investment income</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7,427</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2,856</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12,990</w:t>
            </w: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6,077</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20"/>
              <w:spacing w:after="0"/>
              <w:rPr>
                <w:sz w:val="20"/>
                <w:szCs w:val="20"/>
                <w:color w:val="auto"/>
              </w:rPr>
            </w:pPr>
            <w:r>
              <w:rPr>
                <w:rFonts w:ascii="Arial" w:cs="Arial" w:eastAsia="Arial" w:hAnsi="Arial"/>
                <w:sz w:val="13"/>
                <w:szCs w:val="13"/>
                <w:b w:val="1"/>
                <w:bCs w:val="1"/>
                <w:color w:val="auto"/>
              </w:rPr>
              <w:t>Realized and unrealized gain (loss) on investments: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realized gain (loss) on investments</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C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2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(1,695 )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(1,233 )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(5,617 )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(727 )</w:t>
            </w:r>
          </w:p>
        </w:tc>
        <w:tc>
          <w:tcPr>
            <w:tcW w:w="0" w:type="dxa"/>
            <w:vAlign w:val="bottom"/>
          </w:tcPr>
          <w:p>
            <w:pPr>
              <w:spacing w:after="0"/>
              <w:rPr>
                <w:sz w:val="1"/>
                <w:szCs w:val="1"/>
                <w:color w:val="auto"/>
              </w:rPr>
            </w:pPr>
          </w:p>
        </w:tc>
      </w:tr>
      <w:tr>
        <w:trPr>
          <w:trHeight w:val="185"/>
        </w:trPr>
        <w:tc>
          <w:tcPr>
            <w:tcW w:w="56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realized and unrealized gain (loss) from investments</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(1,641 )</w:t>
            </w: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0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(846 )</w:t>
            </w: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(5,596 )</w:t>
            </w:r>
          </w:p>
        </w:tc>
        <w:tc>
          <w:tcPr>
            <w:tcW w:w="140" w:type="dxa"/>
            <w:vAlign w:val="bottom"/>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(341 )</w:t>
            </w:r>
          </w:p>
        </w:tc>
        <w:tc>
          <w:tcPr>
            <w:tcW w:w="0" w:type="dxa"/>
            <w:vAlign w:val="bottom"/>
          </w:tcPr>
          <w:p>
            <w:pPr>
              <w:spacing w:after="0"/>
              <w:rPr>
                <w:sz w:val="1"/>
                <w:szCs w:val="1"/>
                <w:color w:val="auto"/>
              </w:rPr>
            </w:pPr>
          </w:p>
        </w:tc>
      </w:tr>
      <w:tr>
        <w:trPr>
          <w:trHeight w:val="180"/>
        </w:trPr>
        <w:tc>
          <w:tcPr>
            <w:tcW w:w="564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members' equity resulting from operations</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5,786</w:t>
            </w:r>
          </w:p>
        </w:tc>
        <w:tc>
          <w:tcPr>
            <w:tcW w:w="1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7,394</w:t>
            </w:r>
          </w:p>
        </w:tc>
        <w:tc>
          <w:tcPr>
            <w:tcW w:w="100" w:type="dxa"/>
            <w:vAlign w:val="bottom"/>
          </w:tcPr>
          <w:p>
            <w:pPr>
              <w:spacing w:after="0"/>
              <w:rPr>
                <w:sz w:val="15"/>
                <w:szCs w:val="15"/>
                <w:color w:val="auto"/>
              </w:rPr>
            </w:pPr>
          </w:p>
        </w:tc>
        <w:tc>
          <w:tcPr>
            <w:tcW w:w="38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5,736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00" w:hanging="94"/>
        <w:spacing w:after="0"/>
        <w:tabs>
          <w:tab w:leader="none" w:pos="100" w:val="left"/>
        </w:tabs>
        <w:numPr>
          <w:ilvl w:val="0"/>
          <w:numId w:val="11"/>
        </w:numPr>
        <w:rPr>
          <w:rFonts w:ascii="Arial" w:cs="Arial" w:eastAsia="Arial" w:hAnsi="Arial"/>
          <w:sz w:val="12"/>
          <w:szCs w:val="12"/>
          <w:color w:val="auto"/>
          <w:vertAlign w:val="superscript"/>
        </w:rPr>
      </w:pPr>
      <w:r>
        <w:rPr>
          <w:rFonts w:ascii="Arial" w:cs="Arial" w:eastAsia="Arial" w:hAnsi="Arial"/>
          <w:sz w:val="10"/>
          <w:szCs w:val="10"/>
          <w:color w:val="auto"/>
        </w:rPr>
        <w:t>No management or incentive fees are payable by PSLF.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40" w:orient="portrait"/>
          <w:cols w:equalWidth="0" w:num="1">
            <w:col w:w="10560"/>
          </w:cols>
          <w:pgMar w:left="660" w:top="783" w:right="680"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171" w:lineRule="exact"/>
        <w:rPr>
          <w:sz w:val="20"/>
          <w:szCs w:val="20"/>
          <w:color w:val="auto"/>
        </w:rPr>
      </w:pPr>
    </w:p>
    <w:p>
      <w:pPr>
        <w:ind w:right="180" w:firstLine="420"/>
        <w:spacing w:after="0" w:line="263" w:lineRule="auto"/>
        <w:rPr>
          <w:sz w:val="20"/>
          <w:szCs w:val="20"/>
          <w:color w:val="auto"/>
        </w:rPr>
      </w:pPr>
      <w:r>
        <w:rPr>
          <w:rFonts w:ascii="Arial" w:cs="Arial" w:eastAsia="Arial" w:hAnsi="Arial"/>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33" w:lineRule="exact"/>
        <w:rPr>
          <w:sz w:val="20"/>
          <w:szCs w:val="20"/>
          <w:color w:val="auto"/>
        </w:rPr>
      </w:pPr>
    </w:p>
    <w:p>
      <w:pPr>
        <w:ind w:right="100" w:firstLine="420"/>
        <w:spacing w:after="0" w:line="256"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39" w:lineRule="exact"/>
        <w:rPr>
          <w:sz w:val="20"/>
          <w:szCs w:val="20"/>
          <w:color w:val="auto"/>
        </w:rPr>
      </w:pPr>
    </w:p>
    <w:p>
      <w:pPr>
        <w:ind w:right="180" w:firstLine="420"/>
        <w:spacing w:after="0" w:line="256" w:lineRule="auto"/>
        <w:rPr>
          <w:sz w:val="20"/>
          <w:szCs w:val="20"/>
          <w:color w:val="auto"/>
        </w:rPr>
      </w:pPr>
      <w:r>
        <w:rPr>
          <w:rFonts w:ascii="Arial" w:cs="Arial" w:eastAsia="Arial" w:hAnsi="Arial"/>
          <w:sz w:val="13"/>
          <w:szCs w:val="13"/>
          <w:color w:val="auto"/>
        </w:rPr>
        <w:t>During the three and six months ended March 31, 2023, we declared distributions of $0.185 and $0.35 per share, for total distributions of $12.1 million and $22.8 million, respectively. For the same periods in the prior year, we declared distributions of $0.14 and $0.26 per share, for total distributions of $9.4 million and $17.4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We intend to continue to make quarterly distributions to our stockholders. Our quarterly distributions, if any, are determined by our board of directors.</w:t>
      </w:r>
    </w:p>
    <w:p>
      <w:pPr>
        <w:spacing w:after="0" w:line="163" w:lineRule="exact"/>
        <w:rPr>
          <w:sz w:val="20"/>
          <w:szCs w:val="20"/>
          <w:color w:val="auto"/>
        </w:rPr>
      </w:pPr>
    </w:p>
    <w:p>
      <w:pPr>
        <w:ind w:right="480" w:firstLine="420"/>
        <w:spacing w:after="0" w:line="276"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24"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71" w:lineRule="exact"/>
        <w:rPr>
          <w:sz w:val="20"/>
          <w:szCs w:val="20"/>
          <w:color w:val="auto"/>
        </w:rPr>
      </w:pPr>
    </w:p>
    <w:p>
      <w:pPr>
        <w:ind w:right="140" w:firstLine="420"/>
        <w:spacing w:after="0" w:line="255" w:lineRule="auto"/>
        <w:rPr>
          <w:sz w:val="20"/>
          <w:szCs w:val="20"/>
          <w:color w:val="auto"/>
        </w:rPr>
      </w:pPr>
      <w:r>
        <w:rPr>
          <w:rFonts w:ascii="Arial" w:cs="Arial" w:eastAsia="Arial" w:hAnsi="Arial"/>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March 31, 2023.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spacing w:after="0" w:line="139" w:lineRule="exact"/>
        <w:rPr>
          <w:sz w:val="20"/>
          <w:szCs w:val="20"/>
          <w:color w:val="auto"/>
        </w:rPr>
      </w:pPr>
    </w:p>
    <w:p>
      <w:pPr>
        <w:ind w:right="60" w:firstLine="420"/>
        <w:spacing w:after="0" w:line="255" w:lineRule="auto"/>
        <w:rPr>
          <w:sz w:val="20"/>
          <w:szCs w:val="20"/>
          <w:color w:val="auto"/>
        </w:rPr>
      </w:pPr>
      <w:r>
        <w:rPr>
          <w:rFonts w:ascii="Arial" w:cs="Arial" w:eastAsia="Arial" w:hAnsi="Arial"/>
          <w:sz w:val="13"/>
          <w:szCs w:val="13"/>
          <w:color w:val="auto"/>
        </w:rPr>
        <w:t>In March 2022, the FASB issued ASU 2022 -02,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however the impact of the adoption is not expected to be material.</w:t>
      </w:r>
    </w:p>
    <w:p>
      <w:pPr>
        <w:spacing w:after="0" w:line="139" w:lineRule="exact"/>
        <w:rPr>
          <w:sz w:val="20"/>
          <w:szCs w:val="20"/>
          <w:color w:val="auto"/>
        </w:rPr>
      </w:pPr>
    </w:p>
    <w:p>
      <w:pPr>
        <w:ind w:right="60" w:firstLine="420"/>
        <w:spacing w:after="0" w:line="255" w:lineRule="auto"/>
        <w:rPr>
          <w:sz w:val="20"/>
          <w:szCs w:val="20"/>
          <w:color w:val="auto"/>
        </w:rPr>
      </w:pPr>
      <w:r>
        <w:rPr>
          <w:rFonts w:ascii="Arial" w:cs="Arial" w:eastAsia="Arial" w:hAnsi="Arial"/>
          <w:sz w:val="13"/>
          <w:szCs w:val="13"/>
          <w:color w:val="auto"/>
        </w:rPr>
        <w:t>In June 2022, the FASB issued ASU 2022-03, Fair Value Measurement (Topic 820): Fair Value Measurement of Equity Securities Subject to Contractual Sale Restrictions, or ASU 2022 -03,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Repurchase Program</w:t>
      </w:r>
    </w:p>
    <w:p>
      <w:pPr>
        <w:spacing w:after="0" w:line="195" w:lineRule="exact"/>
        <w:rPr>
          <w:sz w:val="20"/>
          <w:szCs w:val="20"/>
          <w:color w:val="auto"/>
        </w:rPr>
      </w:pPr>
    </w:p>
    <w:p>
      <w:pPr>
        <w:ind w:firstLine="468"/>
        <w:spacing w:after="0" w:line="259" w:lineRule="auto"/>
        <w:rPr>
          <w:sz w:val="20"/>
          <w:szCs w:val="20"/>
          <w:color w:val="auto"/>
        </w:rPr>
      </w:pPr>
      <w:r>
        <w:rPr>
          <w:rFonts w:ascii="Arial" w:cs="Arial" w:eastAsia="Arial" w:hAnsi="Arial"/>
          <w:sz w:val="13"/>
          <w:szCs w:val="13"/>
          <w:color w:val="auto"/>
        </w:rPr>
        <w:t>On February 9, 2022, we announced a share repurchase program which allows us to repurchase up to $25 million of our outstanding common shares in the open market at prices below our net asset value as reported in our then most recently published consolidated financial statements. The program expired on March 31, 2023. During the three months ended March 31, 2023, we did not make any repurchases of our common shares. During the three months ended March 31, 2022, we repurchased 913,454 shares of common stock in open market transactions for an aggregate cost (including transaction costs) of $7.1 million.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195" w:lineRule="exact"/>
        <w:rPr>
          <w:sz w:val="20"/>
          <w:szCs w:val="20"/>
          <w:color w:val="auto"/>
        </w:rPr>
      </w:pPr>
    </w:p>
    <w:p>
      <w:pPr>
        <w:ind w:right="60" w:firstLine="457"/>
        <w:spacing w:after="0" w:line="256" w:lineRule="auto"/>
        <w:rPr>
          <w:sz w:val="20"/>
          <w:szCs w:val="20"/>
          <w:color w:val="auto"/>
        </w:rPr>
      </w:pPr>
      <w:r>
        <w:rPr>
          <w:rFonts w:ascii="Arial" w:cs="Arial" w:eastAsia="Arial" w:hAnsi="Arial"/>
          <w:sz w:val="13"/>
          <w:szCs w:val="13"/>
          <w:color w:val="auto"/>
        </w:rPr>
        <w:t>On April 18, 2023, Dominion Voting Systems ("Dominion") and Fox News Network ("Fox News") agreed to settle the defamation lawsuit filed by Dominion against Fox News. As part of the settlement Fox News agreed to pay Dominion $787.5 million. Dominion is a portfolio company of PNNT, which holds a minority equity interest in the company. While Dominion may retian some of the settlment proceeds for corporate purposes, the company communicated its intention to distribute a substantial portion of the proceeds, net of estimated taxes and expenses, to its equity holders and PNNT's portion is estimated to be approximately $12 million. The timing and amount of any distribution is uncertain and subject to change.</w:t>
      </w:r>
    </w:p>
    <w:p>
      <w:pPr>
        <w:spacing w:after="0" w:line="139" w:lineRule="exact"/>
        <w:rPr>
          <w:sz w:val="20"/>
          <w:szCs w:val="20"/>
          <w:color w:val="auto"/>
        </w:rPr>
      </w:pPr>
    </w:p>
    <w:p>
      <w:pPr>
        <w:ind w:right="380" w:firstLine="420"/>
        <w:spacing w:after="0" w:line="263" w:lineRule="auto"/>
        <w:rPr>
          <w:sz w:val="20"/>
          <w:szCs w:val="20"/>
          <w:color w:val="auto"/>
        </w:rPr>
      </w:pPr>
      <w:r>
        <w:rPr>
          <w:rFonts w:ascii="Arial" w:cs="Arial" w:eastAsia="Arial" w:hAnsi="Arial"/>
          <w:sz w:val="13"/>
          <w:szCs w:val="13"/>
          <w:color w:val="auto"/>
        </w:rPr>
        <w:t>Guy Talarico resigned as the Company's Chief Compliance Officer, effective as of the close of business on May 9, 2023. Mr. Talarico's resignation is not a result of any disagreement with the Compnay's operations, policies, practices or accounting matters. On May 9, 20023, the Company's Board of Directors appointed Frank Galea as Chief Compliance Officer of the Company, effective as of the close of business on May 9, 2023.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0" w:right="660"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71"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We are subject to financial market risks, including changes in interest rates. As of March 31, 2023, our debt portfolio consisted of 96% variable-rate investments and 4% fixed 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 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9" w:lineRule="exact"/>
        <w:rPr>
          <w:sz w:val="20"/>
          <w:szCs w:val="20"/>
          <w:color w:val="auto"/>
        </w:rPr>
      </w:pPr>
    </w:p>
    <w:p>
      <w:pPr>
        <w:ind w:right="160" w:firstLine="420"/>
        <w:spacing w:after="0" w:line="276" w:lineRule="auto"/>
        <w:rPr>
          <w:sz w:val="20"/>
          <w:szCs w:val="20"/>
          <w:color w:val="auto"/>
        </w:rPr>
      </w:pPr>
      <w:r>
        <w:rPr>
          <w:rFonts w:ascii="Arial" w:cs="Arial" w:eastAsia="Arial" w:hAnsi="Arial"/>
          <w:sz w:val="13"/>
          <w:szCs w:val="13"/>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40" w:type="dxa"/>
            <w:vAlign w:val="bottom"/>
          </w:tcPr>
          <w:p>
            <w:pPr>
              <w:spacing w:after="0"/>
              <w:rPr>
                <w:sz w:val="13"/>
                <w:szCs w:val="13"/>
                <w:color w:val="auto"/>
              </w:rPr>
            </w:pPr>
          </w:p>
        </w:tc>
        <w:tc>
          <w:tcPr>
            <w:tcW w:w="3220" w:type="dxa"/>
            <w:vAlign w:val="bottom"/>
          </w:tcPr>
          <w:p>
            <w:pPr>
              <w:jc w:val="center"/>
              <w:ind w:left="1074"/>
              <w:spacing w:after="0"/>
              <w:rPr>
                <w:sz w:val="20"/>
                <w:szCs w:val="20"/>
                <w:color w:val="auto"/>
              </w:rPr>
            </w:pPr>
            <w:r>
              <w:rPr>
                <w:rFonts w:ascii="Arial" w:cs="Arial" w:eastAsia="Arial" w:hAnsi="Arial"/>
                <w:sz w:val="13"/>
                <w:szCs w:val="13"/>
                <w:b w:val="1"/>
                <w:bCs w:val="1"/>
                <w:color w:val="auto"/>
              </w:rPr>
              <w:t>Change in Interest Income,</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tcPr>
          <w:p>
            <w:pPr>
              <w:jc w:val="center"/>
              <w:ind w:right="494"/>
              <w:spacing w:after="0"/>
              <w:rPr>
                <w:sz w:val="20"/>
                <w:szCs w:val="20"/>
                <w:color w:val="auto"/>
              </w:rPr>
            </w:pPr>
            <w:r>
              <w:rPr>
                <w:rFonts w:ascii="Arial" w:cs="Arial" w:eastAsia="Arial" w:hAnsi="Arial"/>
                <w:sz w:val="13"/>
                <w:szCs w:val="13"/>
                <w:b w:val="1"/>
                <w:bCs w:val="1"/>
                <w:color w:val="auto"/>
              </w:rPr>
              <w:t>Change in Interest Income,</w:t>
            </w:r>
          </w:p>
        </w:tc>
      </w:tr>
      <w:tr>
        <w:trPr>
          <w:trHeight w:val="156"/>
        </w:trPr>
        <w:tc>
          <w:tcPr>
            <w:tcW w:w="3040" w:type="dxa"/>
            <w:vAlign w:val="bottom"/>
          </w:tcPr>
          <w:p>
            <w:pPr>
              <w:spacing w:after="0"/>
              <w:rPr>
                <w:sz w:val="13"/>
                <w:szCs w:val="13"/>
                <w:color w:val="auto"/>
              </w:rPr>
            </w:pPr>
          </w:p>
        </w:tc>
        <w:tc>
          <w:tcPr>
            <w:tcW w:w="3220" w:type="dxa"/>
            <w:vAlign w:val="bottom"/>
          </w:tcPr>
          <w:p>
            <w:pPr>
              <w:jc w:val="center"/>
              <w:ind w:left="1114"/>
              <w:spacing w:after="0"/>
              <w:rPr>
                <w:sz w:val="20"/>
                <w:szCs w:val="20"/>
                <w:color w:val="auto"/>
              </w:rPr>
            </w:pPr>
            <w:r>
              <w:rPr>
                <w:rFonts w:ascii="Arial" w:cs="Arial" w:eastAsia="Arial" w:hAnsi="Arial"/>
                <w:sz w:val="13"/>
                <w:szCs w:val="13"/>
                <w:b w:val="1"/>
                <w:bCs w:val="1"/>
                <w:color w:val="auto"/>
              </w:rPr>
              <w:t>Net of Interest Expense</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tcPr>
          <w:p>
            <w:pPr>
              <w:jc w:val="center"/>
              <w:ind w:right="494"/>
              <w:spacing w:after="0"/>
              <w:rPr>
                <w:sz w:val="20"/>
                <w:szCs w:val="20"/>
                <w:color w:val="auto"/>
              </w:rPr>
            </w:pPr>
            <w:r>
              <w:rPr>
                <w:rFonts w:ascii="Arial" w:cs="Arial" w:eastAsia="Arial" w:hAnsi="Arial"/>
                <w:sz w:val="13"/>
                <w:szCs w:val="13"/>
                <w:b w:val="1"/>
                <w:bCs w:val="1"/>
                <w:color w:val="auto"/>
              </w:rPr>
              <w:t>Net of Interest</w:t>
            </w:r>
          </w:p>
        </w:tc>
      </w:tr>
      <w:tr>
        <w:trPr>
          <w:trHeight w:val="183"/>
        </w:trPr>
        <w:tc>
          <w:tcPr>
            <w:tcW w:w="3040" w:type="dxa"/>
            <w:vAlign w:val="bottom"/>
          </w:tcPr>
          <w:p>
            <w:pPr>
              <w:jc w:val="center"/>
              <w:ind w:left="274"/>
              <w:spacing w:after="0"/>
              <w:rPr>
                <w:sz w:val="20"/>
                <w:szCs w:val="20"/>
                <w:color w:val="auto"/>
              </w:rPr>
            </w:pPr>
            <w:r>
              <w:rPr>
                <w:rFonts w:ascii="Arial" w:cs="Arial" w:eastAsia="Arial" w:hAnsi="Arial"/>
                <w:sz w:val="13"/>
                <w:szCs w:val="13"/>
                <w:b w:val="1"/>
                <w:bCs w:val="1"/>
                <w:color w:val="auto"/>
              </w:rPr>
              <w:t>Change in Interest Rates</w:t>
            </w:r>
          </w:p>
        </w:tc>
        <w:tc>
          <w:tcPr>
            <w:tcW w:w="3220" w:type="dxa"/>
            <w:vAlign w:val="bottom"/>
          </w:tcPr>
          <w:p>
            <w:pPr>
              <w:jc w:val="right"/>
              <w:ind w:right="474"/>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20" w:type="dxa"/>
            <w:vAlign w:val="bottom"/>
          </w:tcPr>
          <w:p>
            <w:pPr>
              <w:jc w:val="center"/>
              <w:ind w:right="454"/>
              <w:spacing w:after="0"/>
              <w:rPr>
                <w:sz w:val="20"/>
                <w:szCs w:val="20"/>
                <w:color w:val="auto"/>
              </w:rPr>
            </w:pPr>
            <w:r>
              <w:rPr>
                <w:rFonts w:ascii="Arial" w:cs="Arial" w:eastAsia="Arial" w:hAnsi="Arial"/>
                <w:sz w:val="13"/>
                <w:szCs w:val="13"/>
                <w:b w:val="1"/>
                <w:bCs w:val="1"/>
                <w:color w:val="auto"/>
              </w:rPr>
              <w:t>Expense Per Share</w:t>
            </w:r>
          </w:p>
        </w:tc>
      </w:tr>
      <w:tr>
        <w:trPr>
          <w:trHeight w:val="180"/>
        </w:trPr>
        <w:tc>
          <w:tcPr>
            <w:tcW w:w="3040" w:type="dxa"/>
            <w:vAlign w:val="bottom"/>
            <w:shd w:val="clear" w:color="auto" w:fill="CCECFF"/>
          </w:tcPr>
          <w:p>
            <w:pPr>
              <w:jc w:val="center"/>
              <w:ind w:left="294"/>
              <w:spacing w:after="0"/>
              <w:rPr>
                <w:sz w:val="20"/>
                <w:szCs w:val="20"/>
                <w:color w:val="auto"/>
              </w:rPr>
            </w:pPr>
            <w:r>
              <w:rPr>
                <w:rFonts w:ascii="Arial" w:cs="Arial" w:eastAsia="Arial" w:hAnsi="Arial"/>
                <w:sz w:val="13"/>
                <w:szCs w:val="13"/>
                <w:color w:val="auto"/>
              </w:rPr>
              <w:t>Down 1%</w:t>
            </w:r>
          </w:p>
        </w:tc>
        <w:tc>
          <w:tcPr>
            <w:tcW w:w="3220" w:type="dxa"/>
            <w:vAlign w:val="bottom"/>
            <w:shd w:val="clear" w:color="auto" w:fill="CCECFF"/>
          </w:tcPr>
          <w:p>
            <w:pPr>
              <w:jc w:val="right"/>
              <w:ind w:right="251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(5,196 )</w:t>
            </w:r>
          </w:p>
        </w:tc>
        <w:tc>
          <w:tcPr>
            <w:tcW w:w="560" w:type="dxa"/>
            <w:vAlign w:val="bottom"/>
            <w:shd w:val="clear" w:color="auto" w:fill="CCECFF"/>
          </w:tcPr>
          <w:p>
            <w:pPr>
              <w:jc w:val="right"/>
              <w:ind w:right="274"/>
              <w:spacing w:after="0"/>
              <w:rPr>
                <w:sz w:val="20"/>
                <w:szCs w:val="20"/>
                <w:color w:val="auto"/>
              </w:rPr>
            </w:pPr>
            <w:r>
              <w:rPr>
                <w:rFonts w:ascii="Arial" w:cs="Arial" w:eastAsia="Arial" w:hAnsi="Arial"/>
                <w:sz w:val="13"/>
                <w:szCs w:val="13"/>
                <w:color w:val="auto"/>
              </w:rPr>
              <w:t>$</w:t>
            </w:r>
          </w:p>
        </w:tc>
        <w:tc>
          <w:tcPr>
            <w:tcW w:w="2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(0.08 )</w:t>
            </w:r>
          </w:p>
        </w:tc>
      </w:tr>
      <w:tr>
        <w:trPr>
          <w:trHeight w:val="175"/>
        </w:trPr>
        <w:tc>
          <w:tcPr>
            <w:tcW w:w="3040" w:type="dxa"/>
            <w:vAlign w:val="bottom"/>
          </w:tcPr>
          <w:p>
            <w:pPr>
              <w:jc w:val="center"/>
              <w:ind w:left="274"/>
              <w:spacing w:after="0"/>
              <w:rPr>
                <w:sz w:val="20"/>
                <w:szCs w:val="20"/>
                <w:color w:val="auto"/>
              </w:rPr>
            </w:pPr>
            <w:r>
              <w:rPr>
                <w:rFonts w:ascii="Arial" w:cs="Arial" w:eastAsia="Arial" w:hAnsi="Arial"/>
                <w:sz w:val="13"/>
                <w:szCs w:val="13"/>
                <w:color w:val="auto"/>
                <w:w w:val="97"/>
              </w:rPr>
              <w:t>Up 1%</w:t>
            </w:r>
          </w:p>
        </w:tc>
        <w:tc>
          <w:tcPr>
            <w:tcW w:w="322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5,196</w:t>
            </w:r>
          </w:p>
        </w:tc>
        <w:tc>
          <w:tcPr>
            <w:tcW w:w="560" w:type="dxa"/>
            <w:vAlign w:val="bottom"/>
          </w:tcPr>
          <w:p>
            <w:pPr>
              <w:spacing w:after="0"/>
              <w:rPr>
                <w:sz w:val="15"/>
                <w:szCs w:val="15"/>
                <w:color w:val="auto"/>
              </w:rPr>
            </w:pPr>
          </w:p>
        </w:tc>
        <w:tc>
          <w:tcPr>
            <w:tcW w:w="2920" w:type="dxa"/>
            <w:vAlign w:val="bottom"/>
          </w:tcPr>
          <w:p>
            <w:pPr>
              <w:jc w:val="right"/>
              <w:ind w:right="34"/>
              <w:spacing w:after="0"/>
              <w:rPr>
                <w:sz w:val="20"/>
                <w:szCs w:val="20"/>
                <w:color w:val="auto"/>
              </w:rPr>
            </w:pPr>
            <w:r>
              <w:rPr>
                <w:rFonts w:ascii="Arial" w:cs="Arial" w:eastAsia="Arial" w:hAnsi="Arial"/>
                <w:sz w:val="13"/>
                <w:szCs w:val="13"/>
                <w:color w:val="auto"/>
              </w:rPr>
              <w:t>0.08</w:t>
            </w:r>
          </w:p>
        </w:tc>
      </w:tr>
      <w:tr>
        <w:trPr>
          <w:trHeight w:val="185"/>
        </w:trPr>
        <w:tc>
          <w:tcPr>
            <w:tcW w:w="3040" w:type="dxa"/>
            <w:vAlign w:val="bottom"/>
            <w:shd w:val="clear" w:color="auto" w:fill="CCECFF"/>
          </w:tcPr>
          <w:p>
            <w:pPr>
              <w:jc w:val="center"/>
              <w:ind w:left="274"/>
              <w:spacing w:after="0"/>
              <w:rPr>
                <w:sz w:val="20"/>
                <w:szCs w:val="20"/>
                <w:color w:val="auto"/>
              </w:rPr>
            </w:pPr>
            <w:r>
              <w:rPr>
                <w:rFonts w:ascii="Arial" w:cs="Arial" w:eastAsia="Arial" w:hAnsi="Arial"/>
                <w:sz w:val="13"/>
                <w:szCs w:val="13"/>
                <w:color w:val="auto"/>
                <w:w w:val="97"/>
              </w:rPr>
              <w:t>Up 2%</w:t>
            </w:r>
          </w:p>
        </w:tc>
        <w:tc>
          <w:tcPr>
            <w:tcW w:w="322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10,391</w:t>
            </w:r>
          </w:p>
        </w:tc>
        <w:tc>
          <w:tcPr>
            <w:tcW w:w="560" w:type="dxa"/>
            <w:vAlign w:val="bottom"/>
            <w:shd w:val="clear" w:color="auto" w:fill="CCECFF"/>
          </w:tcPr>
          <w:p>
            <w:pPr>
              <w:spacing w:after="0"/>
              <w:rPr>
                <w:sz w:val="16"/>
                <w:szCs w:val="16"/>
                <w:color w:val="auto"/>
              </w:rPr>
            </w:pPr>
          </w:p>
        </w:tc>
        <w:tc>
          <w:tcPr>
            <w:tcW w:w="29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0.16</w:t>
            </w:r>
          </w:p>
        </w:tc>
      </w:tr>
      <w:tr>
        <w:trPr>
          <w:trHeight w:val="175"/>
        </w:trPr>
        <w:tc>
          <w:tcPr>
            <w:tcW w:w="3040" w:type="dxa"/>
            <w:vAlign w:val="bottom"/>
          </w:tcPr>
          <w:p>
            <w:pPr>
              <w:jc w:val="center"/>
              <w:ind w:left="274"/>
              <w:spacing w:after="0"/>
              <w:rPr>
                <w:sz w:val="20"/>
                <w:szCs w:val="20"/>
                <w:color w:val="auto"/>
              </w:rPr>
            </w:pPr>
            <w:r>
              <w:rPr>
                <w:rFonts w:ascii="Arial" w:cs="Arial" w:eastAsia="Arial" w:hAnsi="Arial"/>
                <w:sz w:val="13"/>
                <w:szCs w:val="13"/>
                <w:color w:val="auto"/>
                <w:w w:val="97"/>
              </w:rPr>
              <w:t>Up 3%</w:t>
            </w:r>
          </w:p>
        </w:tc>
        <w:tc>
          <w:tcPr>
            <w:tcW w:w="3220" w:type="dxa"/>
            <w:vAlign w:val="bottom"/>
          </w:tcPr>
          <w:p>
            <w:pPr>
              <w:spacing w:after="0"/>
              <w:rPr>
                <w:sz w:val="15"/>
                <w:szCs w:val="15"/>
                <w:color w:val="auto"/>
              </w:rPr>
            </w:pPr>
          </w:p>
        </w:tc>
        <w:tc>
          <w:tcPr>
            <w:tcW w:w="820" w:type="dxa"/>
            <w:vAlign w:val="bottom"/>
          </w:tcPr>
          <w:p>
            <w:pPr>
              <w:jc w:val="right"/>
              <w:ind w:right="154"/>
              <w:spacing w:after="0"/>
              <w:rPr>
                <w:sz w:val="20"/>
                <w:szCs w:val="20"/>
                <w:color w:val="auto"/>
              </w:rPr>
            </w:pPr>
            <w:r>
              <w:rPr>
                <w:rFonts w:ascii="Arial" w:cs="Arial" w:eastAsia="Arial" w:hAnsi="Arial"/>
                <w:sz w:val="13"/>
                <w:szCs w:val="13"/>
                <w:color w:val="auto"/>
              </w:rPr>
              <w:t>15,587</w:t>
            </w:r>
          </w:p>
        </w:tc>
        <w:tc>
          <w:tcPr>
            <w:tcW w:w="560" w:type="dxa"/>
            <w:vAlign w:val="bottom"/>
          </w:tcPr>
          <w:p>
            <w:pPr>
              <w:spacing w:after="0"/>
              <w:rPr>
                <w:sz w:val="15"/>
                <w:szCs w:val="15"/>
                <w:color w:val="auto"/>
              </w:rPr>
            </w:pPr>
          </w:p>
        </w:tc>
        <w:tc>
          <w:tcPr>
            <w:tcW w:w="2920" w:type="dxa"/>
            <w:vAlign w:val="bottom"/>
          </w:tcPr>
          <w:p>
            <w:pPr>
              <w:jc w:val="right"/>
              <w:ind w:right="34"/>
              <w:spacing w:after="0"/>
              <w:rPr>
                <w:sz w:val="20"/>
                <w:szCs w:val="20"/>
                <w:color w:val="auto"/>
              </w:rPr>
            </w:pPr>
            <w:r>
              <w:rPr>
                <w:rFonts w:ascii="Arial" w:cs="Arial" w:eastAsia="Arial" w:hAnsi="Arial"/>
                <w:sz w:val="13"/>
                <w:szCs w:val="13"/>
                <w:color w:val="auto"/>
              </w:rPr>
              <w:t>0.24</w:t>
            </w:r>
          </w:p>
        </w:tc>
      </w:tr>
      <w:tr>
        <w:trPr>
          <w:trHeight w:val="185"/>
        </w:trPr>
        <w:tc>
          <w:tcPr>
            <w:tcW w:w="3040" w:type="dxa"/>
            <w:vAlign w:val="bottom"/>
            <w:shd w:val="clear" w:color="auto" w:fill="CCECFF"/>
          </w:tcPr>
          <w:p>
            <w:pPr>
              <w:jc w:val="center"/>
              <w:ind w:left="274"/>
              <w:spacing w:after="0"/>
              <w:rPr>
                <w:sz w:val="20"/>
                <w:szCs w:val="20"/>
                <w:color w:val="auto"/>
              </w:rPr>
            </w:pPr>
            <w:r>
              <w:rPr>
                <w:rFonts w:ascii="Arial" w:cs="Arial" w:eastAsia="Arial" w:hAnsi="Arial"/>
                <w:sz w:val="13"/>
                <w:szCs w:val="13"/>
                <w:color w:val="auto"/>
                <w:w w:val="97"/>
              </w:rPr>
              <w:t>Up 4%</w:t>
            </w:r>
          </w:p>
        </w:tc>
        <w:tc>
          <w:tcPr>
            <w:tcW w:w="322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20,808</w:t>
            </w:r>
          </w:p>
        </w:tc>
        <w:tc>
          <w:tcPr>
            <w:tcW w:w="560" w:type="dxa"/>
            <w:vAlign w:val="bottom"/>
            <w:shd w:val="clear" w:color="auto" w:fill="CCECFF"/>
          </w:tcPr>
          <w:p>
            <w:pPr>
              <w:spacing w:after="0"/>
              <w:rPr>
                <w:sz w:val="16"/>
                <w:szCs w:val="16"/>
                <w:color w:val="auto"/>
              </w:rPr>
            </w:pPr>
          </w:p>
        </w:tc>
        <w:tc>
          <w:tcPr>
            <w:tcW w:w="29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0.32</w:t>
            </w:r>
          </w:p>
        </w:tc>
      </w:tr>
    </w:tbl>
    <w:p>
      <w:pPr>
        <w:spacing w:after="0" w:line="149" w:lineRule="exact"/>
        <w:rPr>
          <w:sz w:val="20"/>
          <w:szCs w:val="20"/>
          <w:color w:val="auto"/>
        </w:rPr>
      </w:pPr>
    </w:p>
    <w:p>
      <w:pPr>
        <w:jc w:val="both"/>
        <w:ind w:right="240" w:firstLine="420"/>
        <w:spacing w:after="0" w:line="263"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33" w:lineRule="exact"/>
        <w:rPr>
          <w:sz w:val="20"/>
          <w:szCs w:val="20"/>
          <w:color w:val="auto"/>
        </w:rPr>
      </w:pPr>
    </w:p>
    <w:p>
      <w:pPr>
        <w:ind w:right="20" w:firstLine="420"/>
        <w:spacing w:after="0" w:line="263" w:lineRule="auto"/>
        <w:rPr>
          <w:sz w:val="20"/>
          <w:szCs w:val="20"/>
          <w:color w:val="auto"/>
        </w:rPr>
      </w:pPr>
      <w:r>
        <w:rPr>
          <w:rFonts w:ascii="Arial" w:cs="Arial" w:eastAsia="Arial" w:hAnsi="Arial"/>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33" w:lineRule="exact"/>
        <w:rPr>
          <w:sz w:val="20"/>
          <w:szCs w:val="20"/>
          <w:color w:val="auto"/>
        </w:rPr>
      </w:pPr>
    </w:p>
    <w:p>
      <w:pPr>
        <w:ind w:right="140" w:firstLine="420"/>
        <w:spacing w:after="0" w:line="256"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71" w:lineRule="exact"/>
        <w:rPr>
          <w:sz w:val="20"/>
          <w:szCs w:val="20"/>
          <w:color w:val="auto"/>
        </w:rPr>
      </w:pPr>
    </w:p>
    <w:p>
      <w:pPr>
        <w:ind w:firstLine="420"/>
        <w:spacing w:after="0" w:line="255"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 As disclosed in our Annual Report on Form 10-K for the fiscal year ended September 30, 2022, a material weakness was previously identified in connection with our internal control over financial reporting relating to procedures ensuring the timely transmission of portfolio company financial information to our independent valuation service providers. We have taken steps to remediate this material weakness, which steps have included (i) enhancing existing controls to ensure the timely transmission of all relevant portfolio company financial information to our independent service providers and (ii) enhancing policies and procedures to demonstrate a commitment to improving our overall control environment.</w:t>
      </w:r>
    </w:p>
    <w:p>
      <w:pPr>
        <w:spacing w:after="0" w:line="139"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Taking the above efforts into consideration, our management, including the Chief Executive Officer and Chief Financial Officer, concluded that our disclosure controls and procedures for the quarter ended March 31, 2023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41" w:lineRule="exact"/>
        <w:rPr>
          <w:sz w:val="20"/>
          <w:szCs w:val="20"/>
          <w:color w:val="auto"/>
        </w:rPr>
      </w:pPr>
    </w:p>
    <w:p>
      <w:pPr>
        <w:ind w:right="260" w:firstLine="420"/>
        <w:spacing w:after="0" w:line="276" w:lineRule="auto"/>
        <w:rPr>
          <w:sz w:val="20"/>
          <w:szCs w:val="20"/>
          <w:color w:val="auto"/>
        </w:rPr>
      </w:pPr>
      <w:r>
        <w:rPr>
          <w:rFonts w:ascii="Arial" w:cs="Arial" w:eastAsia="Arial" w:hAnsi="Arial"/>
          <w:sz w:val="13"/>
          <w:szCs w:val="13"/>
          <w:color w:val="auto"/>
        </w:rPr>
        <w:t>Other than disclosed in this Item 4, there have been no changes in our internal control over financial reporting that occurred during the quarter ended March 31, 2023 that have materially affected, or are reasonably likely to materially affect, our internal control over financial reporting.</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71" w:lineRule="exact"/>
        <w:rPr>
          <w:sz w:val="20"/>
          <w:szCs w:val="20"/>
          <w:color w:val="auto"/>
        </w:rPr>
      </w:pPr>
    </w:p>
    <w:p>
      <w:pPr>
        <w:ind w:right="200" w:firstLine="420"/>
        <w:spacing w:after="0" w:line="259"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71" w:lineRule="exact"/>
        <w:rPr>
          <w:sz w:val="20"/>
          <w:szCs w:val="20"/>
          <w:color w:val="auto"/>
        </w:rPr>
      </w:pPr>
    </w:p>
    <w:p>
      <w:pPr>
        <w:ind w:right="40" w:firstLine="457"/>
        <w:spacing w:after="0" w:line="259"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2022 filed on November 17, 2022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27" w:lineRule="exact"/>
        <w:rPr>
          <w:sz w:val="20"/>
          <w:szCs w:val="20"/>
          <w:color w:val="auto"/>
        </w:rPr>
      </w:pPr>
    </w:p>
    <w:p>
      <w:pPr>
        <w:ind w:right="380" w:firstLine="433"/>
        <w:spacing w:after="0" w:line="277" w:lineRule="auto"/>
        <w:rPr>
          <w:sz w:val="20"/>
          <w:szCs w:val="20"/>
          <w:color w:val="auto"/>
        </w:rPr>
      </w:pPr>
      <w:r>
        <w:rPr>
          <w:rFonts w:ascii="Arial" w:cs="Arial" w:eastAsia="Arial" w:hAnsi="Arial"/>
          <w:sz w:val="13"/>
          <w:szCs w:val="13"/>
          <w:b w:val="1"/>
          <w:bCs w:val="1"/>
          <w:color w:val="auto"/>
        </w:rPr>
        <w:t>We, the Adviser, and our portfolio companies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spacing w:after="0" w:line="115" w:lineRule="exact"/>
        <w:rPr>
          <w:sz w:val="20"/>
          <w:szCs w:val="20"/>
          <w:color w:val="auto"/>
        </w:rPr>
      </w:pPr>
    </w:p>
    <w:p>
      <w:pPr>
        <w:ind w:right="80" w:firstLine="475"/>
        <w:spacing w:after="0" w:line="255" w:lineRule="auto"/>
        <w:rPr>
          <w:sz w:val="20"/>
          <w:szCs w:val="20"/>
          <w:color w:val="auto"/>
        </w:rPr>
      </w:pPr>
      <w:r>
        <w:rPr>
          <w:rFonts w:ascii="Arial" w:cs="Arial" w:eastAsia="Arial" w:hAnsi="Arial"/>
          <w:sz w:val="13"/>
          <w:szCs w:val="13"/>
          <w:color w:val="auto"/>
        </w:rPr>
        <w:t>Our cash and our Adviser’s cash is held in accounts at U.S. banking institutions that we believe are of high quality. Cash held by us, our Adviser and by our portfolio companies in non-interest-bearing and interest -bearing operating accounts may exceed the Federal Deposit Insurance Corporation (“FDIC”) insurance limits. If such banking institutions were to fail, we, our Adviser, or our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our Adviser’s and our portfolio companies’ business, financial condition, results of operations, or prospects.</w:t>
      </w:r>
    </w:p>
    <w:p>
      <w:pPr>
        <w:spacing w:after="0" w:line="139" w:lineRule="exact"/>
        <w:rPr>
          <w:sz w:val="20"/>
          <w:szCs w:val="20"/>
          <w:color w:val="auto"/>
        </w:rPr>
      </w:pPr>
    </w:p>
    <w:p>
      <w:pPr>
        <w:ind w:right="40" w:firstLine="475"/>
        <w:spacing w:after="0" w:line="254" w:lineRule="auto"/>
        <w:rPr>
          <w:sz w:val="20"/>
          <w:szCs w:val="20"/>
          <w:color w:val="auto"/>
        </w:rPr>
      </w:pPr>
      <w:r>
        <w:rPr>
          <w:rFonts w:ascii="Arial" w:cs="Arial" w:eastAsia="Arial" w:hAnsi="Arial"/>
          <w:sz w:val="13"/>
          <w:szCs w:val="13"/>
          <w:color w:val="auto"/>
        </w:rPr>
        <w:t>Although we and our Adviser assess our and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our Adviser or our portfolio companies, the financial institutions with which we, our Adviser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our Adviser or our portfolio companies have financial or business relationships, but could also include factors involving financial markets or the financial services industry generally.</w:t>
      </w:r>
    </w:p>
    <w:p>
      <w:pPr>
        <w:spacing w:after="0" w:line="297" w:lineRule="exact"/>
        <w:rPr>
          <w:sz w:val="20"/>
          <w:szCs w:val="20"/>
          <w:color w:val="auto"/>
        </w:rPr>
      </w:pPr>
    </w:p>
    <w:p>
      <w:pPr>
        <w:ind w:right="180"/>
        <w:spacing w:after="0" w:line="263" w:lineRule="auto"/>
        <w:rPr>
          <w:sz w:val="20"/>
          <w:szCs w:val="20"/>
          <w:color w:val="auto"/>
        </w:rPr>
      </w:pPr>
      <w:r>
        <w:rPr>
          <w:rFonts w:ascii="Arial" w:cs="Arial" w:eastAsia="Arial" w:hAnsi="Arial"/>
          <w:sz w:val="13"/>
          <w:szCs w:val="13"/>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our Adviser, or our portfolio companies to acquire financing on acceptable terms or at all.</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Legislation enacted in 2018 allows us to incur additional leverage.</w:t>
      </w:r>
    </w:p>
    <w:p>
      <w:pPr>
        <w:spacing w:after="0" w:line="171" w:lineRule="exact"/>
        <w:rPr>
          <w:sz w:val="20"/>
          <w:szCs w:val="20"/>
          <w:color w:val="auto"/>
        </w:rPr>
      </w:pPr>
    </w:p>
    <w:p>
      <w:pPr>
        <w:ind w:right="60" w:firstLine="420"/>
        <w:spacing w:after="0" w:line="252"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 to-1 to a maximum of 2-to -1.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37" w:lineRule="exact"/>
        <w:rPr>
          <w:sz w:val="20"/>
          <w:szCs w:val="20"/>
          <w:color w:val="auto"/>
        </w:rPr>
      </w:pPr>
    </w:p>
    <w:p>
      <w:pPr>
        <w:ind w:right="340" w:firstLine="456"/>
        <w:spacing w:after="0" w:line="305" w:lineRule="auto"/>
        <w:rPr>
          <w:sz w:val="20"/>
          <w:szCs w:val="20"/>
          <w:color w:val="auto"/>
        </w:rPr>
      </w:pPr>
      <w:r>
        <w:rPr>
          <w:rFonts w:ascii="Arial" w:cs="Arial" w:eastAsia="Arial" w:hAnsi="Arial"/>
          <w:sz w:val="13"/>
          <w:szCs w:val="13"/>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96" w:lineRule="exact"/>
        <w:rPr>
          <w:sz w:val="20"/>
          <w:szCs w:val="20"/>
          <w:color w:val="auto"/>
        </w:rPr>
      </w:pPr>
    </w:p>
    <w:p>
      <w:pPr>
        <w:jc w:val="both"/>
        <w:ind w:right="120" w:firstLine="420"/>
        <w:spacing w:after="0" w:line="263" w:lineRule="auto"/>
        <w:rPr>
          <w:sz w:val="20"/>
          <w:szCs w:val="20"/>
          <w:color w:val="auto"/>
        </w:rPr>
      </w:pPr>
      <w:r>
        <w:rPr>
          <w:rFonts w:ascii="Arial" w:cs="Arial" w:eastAsia="Arial" w:hAnsi="Arial"/>
          <w:sz w:val="13"/>
          <w:szCs w:val="13"/>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33"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1" w:lineRule="exact"/>
        <w:rPr>
          <w:sz w:val="20"/>
          <w:szCs w:val="20"/>
          <w:color w:val="auto"/>
        </w:rPr>
      </w:pPr>
    </w:p>
    <w:p>
      <w:pPr>
        <w:ind w:right="240" w:firstLine="420"/>
        <w:spacing w:after="0" w:line="276" w:lineRule="auto"/>
        <w:rPr>
          <w:sz w:val="20"/>
          <w:szCs w:val="20"/>
          <w:color w:val="auto"/>
        </w:rPr>
      </w:pPr>
      <w:r>
        <w:rPr>
          <w:rFonts w:ascii="Arial" w:cs="Arial" w:eastAsia="Arial" w:hAnsi="Arial"/>
          <w:sz w:val="13"/>
          <w:szCs w:val="13"/>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34" w:right="640" w:bottom="1440" w:gutter="0" w:footer="0" w:header="0"/>
        </w:sectPr>
      </w:pPr>
    </w:p>
    <w:bookmarkStart w:id="54" w:name="page55"/>
    <w:bookmarkEnd w:id="54"/>
    <w:p>
      <w:pPr>
        <w:ind w:right="120"/>
        <w:spacing w:after="0" w:line="263" w:lineRule="auto"/>
        <w:rPr>
          <w:sz w:val="20"/>
          <w:szCs w:val="20"/>
          <w:color w:val="auto"/>
        </w:rPr>
      </w:pPr>
      <w:r>
        <w:rPr>
          <w:rFonts w:ascii="Arial" w:cs="Arial" w:eastAsia="Arial" w:hAnsi="Arial"/>
          <w:sz w:val="13"/>
          <w:szCs w:val="13"/>
          <w:color w:val="auto"/>
        </w:rPr>
        <w:t>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If we incur additional debt, it could increase the risk of investing in our shares.</w:t>
      </w:r>
    </w:p>
    <w:p>
      <w:pPr>
        <w:spacing w:after="0" w:line="171" w:lineRule="exact"/>
        <w:rPr>
          <w:sz w:val="20"/>
          <w:szCs w:val="20"/>
          <w:color w:val="auto"/>
        </w:rPr>
      </w:pPr>
    </w:p>
    <w:p>
      <w:pPr>
        <w:ind w:right="80" w:firstLine="420"/>
        <w:spacing w:after="0" w:line="252" w:lineRule="auto"/>
        <w:rPr>
          <w:sz w:val="20"/>
          <w:szCs w:val="20"/>
          <w:color w:val="auto"/>
        </w:rPr>
      </w:pPr>
      <w:r>
        <w:rPr>
          <w:rFonts w:ascii="Arial" w:cs="Arial" w:eastAsia="Arial" w:hAnsi="Arial"/>
          <w:sz w:val="13"/>
          <w:szCs w:val="13"/>
          <w:color w:val="auto"/>
        </w:rPr>
        <w:t>We have indebtedness outstanding pursuant to the Truist Credit Facility, 2024 Notes, 2026 Notes, 2026 Notes-2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 unregistered securities were sold in the quarter ended March 31, 2023.</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Issuer Purchases of Equity Securities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Repurchases of our common stock under our share repurchase program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20" w:type="dxa"/>
            <w:vAlign w:val="bottom"/>
            <w:gridSpan w:val="2"/>
          </w:tcPr>
          <w:p>
            <w:pPr>
              <w:ind w:left="120"/>
              <w:spacing w:after="0"/>
              <w:rPr>
                <w:sz w:val="20"/>
                <w:szCs w:val="20"/>
                <w:color w:val="auto"/>
              </w:rPr>
            </w:pPr>
            <w:r>
              <w:rPr>
                <w:rFonts w:ascii="Arial" w:cs="Arial" w:eastAsia="Arial" w:hAnsi="Arial"/>
                <w:sz w:val="13"/>
                <w:szCs w:val="13"/>
                <w:b w:val="1"/>
                <w:bCs w:val="1"/>
                <w:color w:val="auto"/>
              </w:rPr>
              <w:t>Approximate Dollar Value</w:t>
            </w: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rPr>
              <w:t>Total Number of Shares</w:t>
            </w:r>
          </w:p>
        </w:tc>
        <w:tc>
          <w:tcPr>
            <w:tcW w:w="1820" w:type="dxa"/>
            <w:vAlign w:val="bottom"/>
            <w:gridSpan w:val="2"/>
          </w:tcPr>
          <w:p>
            <w:pPr>
              <w:ind w:left="120"/>
              <w:spacing w:after="0"/>
              <w:rPr>
                <w:sz w:val="20"/>
                <w:szCs w:val="20"/>
                <w:color w:val="auto"/>
              </w:rPr>
            </w:pPr>
            <w:r>
              <w:rPr>
                <w:rFonts w:ascii="Arial" w:cs="Arial" w:eastAsia="Arial" w:hAnsi="Arial"/>
                <w:sz w:val="13"/>
                <w:szCs w:val="13"/>
                <w:b w:val="1"/>
                <w:bCs w:val="1"/>
                <w:color w:val="auto"/>
              </w:rPr>
              <w:t>of Shares that May Yet Be</w:t>
            </w: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rPr>
              <w:t>Purchased as Part of</w:t>
            </w:r>
          </w:p>
        </w:tc>
        <w:tc>
          <w:tcPr>
            <w:tcW w:w="200" w:type="dxa"/>
            <w:vAlign w:val="bottom"/>
          </w:tcPr>
          <w:p>
            <w:pPr>
              <w:spacing w:after="0"/>
              <w:rPr>
                <w:sz w:val="13"/>
                <w:szCs w:val="13"/>
                <w:color w:val="auto"/>
              </w:rPr>
            </w:pPr>
          </w:p>
        </w:tc>
        <w:tc>
          <w:tcPr>
            <w:tcW w:w="1620" w:type="dxa"/>
            <w:vAlign w:val="bottom"/>
          </w:tcPr>
          <w:p>
            <w:pPr>
              <w:jc w:val="center"/>
              <w:ind w:right="114"/>
              <w:spacing w:after="0"/>
              <w:rPr>
                <w:sz w:val="20"/>
                <w:szCs w:val="20"/>
                <w:color w:val="auto"/>
              </w:rPr>
            </w:pPr>
            <w:r>
              <w:rPr>
                <w:rFonts w:ascii="Arial" w:cs="Arial" w:eastAsia="Arial" w:hAnsi="Arial"/>
                <w:sz w:val="13"/>
                <w:szCs w:val="13"/>
                <w:b w:val="1"/>
                <w:bCs w:val="1"/>
                <w:color w:val="auto"/>
              </w:rPr>
              <w:t>Purchased Under the</w:t>
            </w: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2040" w:type="dxa"/>
            <w:vAlign w:val="bottom"/>
          </w:tcPr>
          <w:p>
            <w:pPr>
              <w:jc w:val="right"/>
              <w:ind w:right="154"/>
              <w:spacing w:after="0"/>
              <w:rPr>
                <w:sz w:val="20"/>
                <w:szCs w:val="20"/>
                <w:color w:val="auto"/>
              </w:rPr>
            </w:pPr>
            <w:r>
              <w:rPr>
                <w:rFonts w:ascii="Arial" w:cs="Arial" w:eastAsia="Arial" w:hAnsi="Arial"/>
                <w:sz w:val="13"/>
                <w:szCs w:val="13"/>
                <w:b w:val="1"/>
                <w:bCs w:val="1"/>
                <w:color w:val="auto"/>
              </w:rPr>
              <w:t>Total Number of Shares</w:t>
            </w:r>
          </w:p>
        </w:tc>
        <w:tc>
          <w:tcPr>
            <w:tcW w:w="1840" w:type="dxa"/>
            <w:vAlign w:val="bottom"/>
            <w:gridSpan w:val="2"/>
            <w:vMerge w:val="restart"/>
          </w:tcPr>
          <w:p>
            <w:pPr>
              <w:jc w:val="right"/>
              <w:ind w:right="94"/>
              <w:spacing w:after="0"/>
              <w:rPr>
                <w:sz w:val="20"/>
                <w:szCs w:val="20"/>
                <w:color w:val="auto"/>
              </w:rPr>
            </w:pPr>
            <w:r>
              <w:rPr>
                <w:rFonts w:ascii="Arial" w:cs="Arial" w:eastAsia="Arial" w:hAnsi="Arial"/>
                <w:sz w:val="13"/>
                <w:szCs w:val="13"/>
                <w:b w:val="1"/>
                <w:bCs w:val="1"/>
                <w:color w:val="auto"/>
              </w:rPr>
              <w:t>Average Price per Share</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rPr>
              <w:t>Publicly Announced Plans</w:t>
            </w:r>
          </w:p>
        </w:tc>
        <w:tc>
          <w:tcPr>
            <w:tcW w:w="200" w:type="dxa"/>
            <w:vAlign w:val="bottom"/>
          </w:tcPr>
          <w:p>
            <w:pPr>
              <w:spacing w:after="0"/>
              <w:rPr>
                <w:sz w:val="13"/>
                <w:szCs w:val="13"/>
                <w:color w:val="auto"/>
              </w:rPr>
            </w:pPr>
          </w:p>
        </w:tc>
        <w:tc>
          <w:tcPr>
            <w:tcW w:w="1620" w:type="dxa"/>
            <w:vAlign w:val="bottom"/>
          </w:tcPr>
          <w:p>
            <w:pPr>
              <w:jc w:val="center"/>
              <w:ind w:right="114"/>
              <w:spacing w:after="0"/>
              <w:rPr>
                <w:sz w:val="20"/>
                <w:szCs w:val="20"/>
                <w:color w:val="auto"/>
              </w:rPr>
            </w:pPr>
            <w:r>
              <w:rPr>
                <w:rFonts w:ascii="Arial" w:cs="Arial" w:eastAsia="Arial" w:hAnsi="Arial"/>
                <w:sz w:val="13"/>
                <w:szCs w:val="13"/>
                <w:b w:val="1"/>
                <w:bCs w:val="1"/>
                <w:color w:val="auto"/>
              </w:rPr>
              <w:t>Plans or Programs (in</w:t>
            </w:r>
          </w:p>
        </w:tc>
        <w:tc>
          <w:tcPr>
            <w:tcW w:w="0" w:type="dxa"/>
            <w:vAlign w:val="bottom"/>
          </w:tcPr>
          <w:p>
            <w:pPr>
              <w:spacing w:after="0"/>
              <w:rPr>
                <w:sz w:val="1"/>
                <w:szCs w:val="1"/>
                <w:color w:val="auto"/>
              </w:rPr>
            </w:pPr>
          </w:p>
        </w:tc>
      </w:tr>
      <w:tr>
        <w:trPr>
          <w:trHeight w:val="183"/>
        </w:trPr>
        <w:tc>
          <w:tcPr>
            <w:tcW w:w="2960" w:type="dxa"/>
            <w:vAlign w:val="bottom"/>
          </w:tcPr>
          <w:p>
            <w:pPr>
              <w:ind w:left="1340"/>
              <w:spacing w:after="0"/>
              <w:rPr>
                <w:sz w:val="20"/>
                <w:szCs w:val="20"/>
                <w:color w:val="auto"/>
              </w:rPr>
            </w:pPr>
            <w:r>
              <w:rPr>
                <w:rFonts w:ascii="Arial" w:cs="Arial" w:eastAsia="Arial" w:hAnsi="Arial"/>
                <w:sz w:val="13"/>
                <w:szCs w:val="13"/>
                <w:b w:val="1"/>
                <w:bCs w:val="1"/>
                <w:color w:val="auto"/>
              </w:rPr>
              <w:t>Period</w:t>
            </w:r>
          </w:p>
        </w:tc>
        <w:tc>
          <w:tcPr>
            <w:tcW w:w="2040" w:type="dxa"/>
            <w:vAlign w:val="bottom"/>
          </w:tcPr>
          <w:p>
            <w:pPr>
              <w:jc w:val="right"/>
              <w:ind w:right="574"/>
              <w:spacing w:after="0"/>
              <w:rPr>
                <w:sz w:val="20"/>
                <w:szCs w:val="20"/>
                <w:color w:val="auto"/>
              </w:rPr>
            </w:pPr>
            <w:r>
              <w:rPr>
                <w:rFonts w:ascii="Arial" w:cs="Arial" w:eastAsia="Arial" w:hAnsi="Arial"/>
                <w:sz w:val="13"/>
                <w:szCs w:val="13"/>
                <w:b w:val="1"/>
                <w:bCs w:val="1"/>
                <w:color w:val="auto"/>
              </w:rPr>
              <w:t>Purchased</w:t>
            </w:r>
          </w:p>
        </w:tc>
        <w:tc>
          <w:tcPr>
            <w:tcW w:w="1840" w:type="dxa"/>
            <w:vAlign w:val="bottom"/>
            <w:gridSpan w:val="2"/>
            <w:vMerge w:val="continue"/>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rPr>
              <w:t xml:space="preserve">or Programs </w:t>
            </w:r>
            <w:r>
              <w:rPr>
                <w:rFonts w:ascii="Arial" w:cs="Arial" w:eastAsia="Arial" w:hAnsi="Arial"/>
                <w:sz w:val="7"/>
                <w:szCs w:val="7"/>
                <w:b w:val="1"/>
                <w:bCs w:val="1"/>
                <w:color w:val="auto"/>
              </w:rPr>
              <w:t>(1)</w:t>
            </w:r>
          </w:p>
        </w:tc>
        <w:tc>
          <w:tcPr>
            <w:tcW w:w="200" w:type="dxa"/>
            <w:vAlign w:val="bottom"/>
          </w:tcPr>
          <w:p>
            <w:pPr>
              <w:spacing w:after="0"/>
              <w:rPr>
                <w:sz w:val="15"/>
                <w:szCs w:val="15"/>
                <w:color w:val="auto"/>
              </w:rPr>
            </w:pPr>
          </w:p>
        </w:tc>
        <w:tc>
          <w:tcPr>
            <w:tcW w:w="1620" w:type="dxa"/>
            <w:vAlign w:val="bottom"/>
          </w:tcPr>
          <w:p>
            <w:pPr>
              <w:jc w:val="center"/>
              <w:ind w:right="114"/>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January 1, 2022 through March 31, 2022</w:t>
            </w:r>
          </w:p>
        </w:tc>
        <w:tc>
          <w:tcPr>
            <w:tcW w:w="2040" w:type="dxa"/>
            <w:vAlign w:val="bottom"/>
          </w:tcPr>
          <w:p>
            <w:pPr>
              <w:jc w:val="right"/>
              <w:ind w:right="74"/>
              <w:spacing w:after="0"/>
              <w:rPr>
                <w:sz w:val="20"/>
                <w:szCs w:val="20"/>
                <w:color w:val="auto"/>
              </w:rPr>
            </w:pPr>
            <w:r>
              <w:rPr>
                <w:rFonts w:ascii="Arial" w:cs="Arial" w:eastAsia="Arial" w:hAnsi="Arial"/>
                <w:sz w:val="13"/>
                <w:szCs w:val="13"/>
                <w:color w:val="auto"/>
              </w:rPr>
              <w:t>913,454</w:t>
            </w:r>
          </w:p>
        </w:tc>
        <w:tc>
          <w:tcPr>
            <w:tcW w:w="820" w:type="dxa"/>
            <w:vAlign w:val="bottom"/>
          </w:tcPr>
          <w:p>
            <w:pPr>
              <w:jc w:val="right"/>
              <w:ind w:right="55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7.72</w:t>
            </w:r>
          </w:p>
        </w:tc>
        <w:tc>
          <w:tcPr>
            <w:tcW w:w="1900" w:type="dxa"/>
            <w:vAlign w:val="bottom"/>
          </w:tcPr>
          <w:p>
            <w:pPr>
              <w:jc w:val="right"/>
              <w:ind w:right="54"/>
              <w:spacing w:after="0"/>
              <w:rPr>
                <w:sz w:val="20"/>
                <w:szCs w:val="20"/>
                <w:color w:val="auto"/>
              </w:rPr>
            </w:pPr>
            <w:r>
              <w:rPr>
                <w:rFonts w:ascii="Arial" w:cs="Arial" w:eastAsia="Arial" w:hAnsi="Arial"/>
                <w:sz w:val="13"/>
                <w:szCs w:val="13"/>
                <w:color w:val="auto"/>
              </w:rPr>
              <w:t>913,454</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1620" w:type="dxa"/>
            <w:vAlign w:val="bottom"/>
          </w:tcPr>
          <w:p>
            <w:pPr>
              <w:jc w:val="right"/>
              <w:ind w:right="34"/>
              <w:spacing w:after="0"/>
              <w:rPr>
                <w:sz w:val="20"/>
                <w:szCs w:val="20"/>
                <w:color w:val="auto"/>
              </w:rPr>
            </w:pPr>
            <w:r>
              <w:rPr>
                <w:rFonts w:ascii="Arial" w:cs="Arial" w:eastAsia="Arial" w:hAnsi="Arial"/>
                <w:sz w:val="13"/>
                <w:szCs w:val="13"/>
                <w:color w:val="auto"/>
              </w:rPr>
              <w:t>17,944</w:t>
            </w:r>
          </w:p>
        </w:tc>
        <w:tc>
          <w:tcPr>
            <w:tcW w:w="0" w:type="dxa"/>
            <w:vAlign w:val="bottom"/>
          </w:tcPr>
          <w:p>
            <w:pPr>
              <w:spacing w:after="0"/>
              <w:rPr>
                <w:sz w:val="1"/>
                <w:szCs w:val="1"/>
                <w:color w:val="auto"/>
              </w:rPr>
            </w:pPr>
          </w:p>
        </w:tc>
      </w:tr>
      <w:tr>
        <w:trPr>
          <w:trHeight w:val="185"/>
        </w:trPr>
        <w:tc>
          <w:tcPr>
            <w:tcW w:w="2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April 1, 2022 through June 30, 2022</w:t>
            </w:r>
          </w:p>
        </w:tc>
        <w:tc>
          <w:tcPr>
            <w:tcW w:w="204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717,709</w:t>
            </w:r>
          </w:p>
        </w:tc>
        <w:tc>
          <w:tcPr>
            <w:tcW w:w="820" w:type="dxa"/>
            <w:vAlign w:val="bottom"/>
            <w:shd w:val="clear" w:color="auto" w:fill="CCECFF"/>
          </w:tcPr>
          <w:p>
            <w:pPr>
              <w:jc w:val="right"/>
              <w:ind w:right="55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6.91</w:t>
            </w:r>
          </w:p>
        </w:tc>
        <w:tc>
          <w:tcPr>
            <w:tcW w:w="190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1,631,163</w:t>
            </w:r>
          </w:p>
        </w:tc>
        <w:tc>
          <w:tcPr>
            <w:tcW w:w="200" w:type="dxa"/>
            <w:vAlign w:val="bottom"/>
            <w:shd w:val="clear" w:color="auto" w:fill="CCECFF"/>
          </w:tcPr>
          <w:p>
            <w:pPr>
              <w:ind w:left="120"/>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12,986</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July 1, 2022 through September 30, 2022</w:t>
            </w:r>
          </w:p>
        </w:tc>
        <w:tc>
          <w:tcPr>
            <w:tcW w:w="2040" w:type="dxa"/>
            <w:vAlign w:val="bottom"/>
          </w:tcPr>
          <w:p>
            <w:pPr>
              <w:jc w:val="right"/>
              <w:ind w:right="74"/>
              <w:spacing w:after="0"/>
              <w:rPr>
                <w:sz w:val="20"/>
                <w:szCs w:val="20"/>
                <w:color w:val="auto"/>
              </w:rPr>
            </w:pPr>
            <w:r>
              <w:rPr>
                <w:rFonts w:ascii="Arial" w:cs="Arial" w:eastAsia="Arial" w:hAnsi="Arial"/>
                <w:sz w:val="13"/>
                <w:szCs w:val="13"/>
                <w:color w:val="auto"/>
              </w:rPr>
              <w:t>189,442</w:t>
            </w:r>
          </w:p>
        </w:tc>
        <w:tc>
          <w:tcPr>
            <w:tcW w:w="820" w:type="dxa"/>
            <w:vAlign w:val="bottom"/>
          </w:tcPr>
          <w:p>
            <w:pPr>
              <w:jc w:val="right"/>
              <w:ind w:right="55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6.52</w:t>
            </w:r>
          </w:p>
        </w:tc>
        <w:tc>
          <w:tcPr>
            <w:tcW w:w="1900" w:type="dxa"/>
            <w:vAlign w:val="bottom"/>
          </w:tcPr>
          <w:p>
            <w:pPr>
              <w:jc w:val="right"/>
              <w:ind w:right="54"/>
              <w:spacing w:after="0"/>
              <w:rPr>
                <w:sz w:val="20"/>
                <w:szCs w:val="20"/>
                <w:color w:val="auto"/>
              </w:rPr>
            </w:pPr>
            <w:r>
              <w:rPr>
                <w:rFonts w:ascii="Arial" w:cs="Arial" w:eastAsia="Arial" w:hAnsi="Arial"/>
                <w:sz w:val="13"/>
                <w:szCs w:val="13"/>
                <w:color w:val="auto"/>
              </w:rPr>
              <w:t>1,820,605</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1620" w:type="dxa"/>
            <w:vAlign w:val="bottom"/>
          </w:tcPr>
          <w:p>
            <w:pPr>
              <w:jc w:val="right"/>
              <w:ind w:right="34"/>
              <w:spacing w:after="0"/>
              <w:rPr>
                <w:sz w:val="20"/>
                <w:szCs w:val="20"/>
                <w:color w:val="auto"/>
              </w:rPr>
            </w:pPr>
            <w:r>
              <w:rPr>
                <w:rFonts w:ascii="Arial" w:cs="Arial" w:eastAsia="Arial" w:hAnsi="Arial"/>
                <w:sz w:val="13"/>
                <w:szCs w:val="13"/>
                <w:color w:val="auto"/>
              </w:rPr>
              <w:t>11,751</w:t>
            </w:r>
          </w:p>
        </w:tc>
        <w:tc>
          <w:tcPr>
            <w:tcW w:w="0" w:type="dxa"/>
            <w:vAlign w:val="bottom"/>
          </w:tcPr>
          <w:p>
            <w:pPr>
              <w:spacing w:after="0"/>
              <w:rPr>
                <w:sz w:val="1"/>
                <w:szCs w:val="1"/>
                <w:color w:val="auto"/>
              </w:rPr>
            </w:pPr>
          </w:p>
        </w:tc>
      </w:tr>
      <w:tr>
        <w:trPr>
          <w:trHeight w:val="185"/>
        </w:trPr>
        <w:tc>
          <w:tcPr>
            <w:tcW w:w="2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October 1, 2022 through December 31, 2022</w:t>
            </w:r>
          </w:p>
        </w:tc>
        <w:tc>
          <w:tcPr>
            <w:tcW w:w="204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CFF"/>
          </w:tcPr>
          <w:p>
            <w:pPr>
              <w:jc w:val="right"/>
              <w:ind w:right="55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w:t>
            </w:r>
          </w:p>
        </w:tc>
        <w:tc>
          <w:tcPr>
            <w:tcW w:w="190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1,820,605</w:t>
            </w:r>
          </w:p>
        </w:tc>
        <w:tc>
          <w:tcPr>
            <w:tcW w:w="200" w:type="dxa"/>
            <w:vAlign w:val="bottom"/>
            <w:shd w:val="clear" w:color="auto" w:fill="CCECFF"/>
          </w:tcPr>
          <w:p>
            <w:pPr>
              <w:ind w:left="120"/>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11,751</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January 1, 2023 through March 31, 2023</w:t>
            </w:r>
          </w:p>
        </w:tc>
        <w:tc>
          <w:tcPr>
            <w:tcW w:w="20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5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54"/>
              <w:spacing w:after="0"/>
              <w:rPr>
                <w:sz w:val="20"/>
                <w:szCs w:val="20"/>
                <w:color w:val="auto"/>
              </w:rPr>
            </w:pPr>
            <w:r>
              <w:rPr>
                <w:rFonts w:ascii="Arial" w:cs="Arial" w:eastAsia="Arial" w:hAnsi="Arial"/>
                <w:sz w:val="13"/>
                <w:szCs w:val="13"/>
                <w:color w:val="auto"/>
              </w:rPr>
              <w:t>1,820,605</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16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investments</w:t>
            </w:r>
          </w:p>
        </w:tc>
        <w:tc>
          <w:tcPr>
            <w:tcW w:w="204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1,820,605</w:t>
            </w:r>
          </w:p>
        </w:tc>
        <w:tc>
          <w:tcPr>
            <w:tcW w:w="820" w:type="dxa"/>
            <w:vAlign w:val="bottom"/>
            <w:shd w:val="clear" w:color="auto" w:fill="CCECFF"/>
          </w:tcPr>
          <w:p>
            <w:pPr>
              <w:jc w:val="right"/>
              <w:ind w:right="55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7.28</w:t>
            </w:r>
          </w:p>
        </w:tc>
        <w:tc>
          <w:tcPr>
            <w:tcW w:w="19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20"/>
                <w:szCs w:val="20"/>
                <w:color w:val="auto"/>
              </w:rPr>
            </w:pPr>
            <w:r>
              <w:rPr>
                <w:rFonts w:ascii="Arial" w:cs="Arial" w:eastAsia="Arial" w:hAnsi="Arial"/>
                <w:sz w:val="13"/>
                <w:szCs w:val="13"/>
                <w:b w:val="1"/>
                <w:bCs w:val="1"/>
                <w:color w:val="auto"/>
              </w:rPr>
              <w:t>—————————</w:t>
            </w:r>
          </w:p>
        </w:tc>
        <w:tc>
          <w:tcPr>
            <w:tcW w:w="2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22"/>
        <w:spacing w:after="0" w:line="262" w:lineRule="auto"/>
        <w:tabs>
          <w:tab w:leader="none" w:pos="340" w:val="left"/>
        </w:tabs>
        <w:numPr>
          <w:ilvl w:val="0"/>
          <w:numId w:val="12"/>
        </w:numPr>
        <w:rPr>
          <w:rFonts w:ascii="Arial" w:cs="Arial" w:eastAsia="Arial" w:hAnsi="Arial"/>
          <w:sz w:val="10"/>
          <w:szCs w:val="10"/>
          <w:color w:val="auto"/>
        </w:rPr>
      </w:pPr>
      <w:r>
        <w:rPr>
          <w:rFonts w:ascii="Arial" w:cs="Arial" w:eastAsia="Arial" w:hAnsi="Arial"/>
          <w:sz w:val="10"/>
          <w:szCs w:val="10"/>
          <w:color w:val="auto"/>
        </w:rPr>
        <w:t>On February 9, 2022, we announced a share repurchase program which allows us to repurchase up to $25.0 million of our outstanding commons stock. The program expired on March 31, 2023 and we purchased $1.8 million shares of our common stock in open market transaction while the program was in effect for an aggregate cost (including transaction costs) of $13.2 million.</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None.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560" w:type="dxa"/>
            <w:vAlign w:val="bottom"/>
            <w:gridSpan w:val="13"/>
          </w:tcPr>
          <w:p>
            <w:pPr>
              <w:ind w:left="420"/>
              <w:spacing w:after="0"/>
              <w:rPr>
                <w:sz w:val="20"/>
                <w:szCs w:val="20"/>
                <w:color w:val="auto"/>
              </w:rPr>
            </w:pPr>
            <w:r>
              <w:rPr>
                <w:rFonts w:ascii="Arial" w:cs="Arial" w:eastAsia="Arial" w:hAnsi="Arial"/>
                <w:sz w:val="13"/>
                <w:szCs w:val="13"/>
                <w:color w:val="auto"/>
              </w:rPr>
              <w:t>Unless specifically indicated otherwise, the following exhibits are incorporated by reference to exhibits previously filed with the SEC:</w:t>
            </w:r>
          </w:p>
        </w:tc>
      </w:tr>
      <w:tr>
        <w:trPr>
          <w:trHeight w:val="322"/>
        </w:trPr>
        <w:tc>
          <w:tcPr>
            <w:tcW w:w="1400" w:type="dxa"/>
            <w:vAlign w:val="bottom"/>
          </w:tcPr>
          <w:p>
            <w:pPr>
              <w:jc w:val="right"/>
              <w:ind w:right="1054"/>
              <w:spacing w:after="0"/>
              <w:rPr>
                <w:sz w:val="20"/>
                <w:szCs w:val="20"/>
                <w:color w:val="auto"/>
              </w:rPr>
            </w:pPr>
            <w:r>
              <w:rPr>
                <w:rFonts w:ascii="Arial" w:cs="Arial" w:eastAsia="Arial" w:hAnsi="Arial"/>
                <w:sz w:val="13"/>
                <w:szCs w:val="13"/>
                <w:color w:val="auto"/>
              </w:rPr>
              <w:t>3.1</w:t>
            </w:r>
          </w:p>
        </w:tc>
        <w:tc>
          <w:tcPr>
            <w:tcW w:w="9160" w:type="dxa"/>
            <w:vAlign w:val="bottom"/>
            <w:tcBorders>
              <w:bottom w:val="single" w:sz="8" w:color="0000FF"/>
            </w:tcBorders>
            <w:gridSpan w:val="12"/>
          </w:tcPr>
          <w:p>
            <w:pPr>
              <w:spacing w:after="0"/>
              <w:rPr>
                <w:rFonts w:ascii="Arial" w:cs="Arial" w:eastAsia="Arial" w:hAnsi="Arial"/>
                <w:sz w:val="13"/>
                <w:szCs w:val="13"/>
                <w:color w:val="0000FF"/>
              </w:rPr>
            </w:pPr>
            <w:hyperlink r:id="rId74">
              <w:r>
                <w:rPr>
                  <w:rFonts w:ascii="Arial" w:cs="Arial" w:eastAsia="Arial" w:hAnsi="Arial"/>
                  <w:sz w:val="13"/>
                  <w:szCs w:val="13"/>
                  <w:color w:val="0000FF"/>
                </w:rPr>
                <w:t>Articles of Incorporation (Incorporated by reference to Exhibit 99(a) to the Registrant’s Pre-Effective Amendment No. 3 to the Registration Statement on Form</w:t>
              </w:r>
            </w:hyperlink>
          </w:p>
        </w:tc>
      </w:tr>
      <w:tr>
        <w:trPr>
          <w:trHeight w:val="136"/>
        </w:trPr>
        <w:tc>
          <w:tcPr>
            <w:tcW w:w="1400" w:type="dxa"/>
            <w:vAlign w:val="bottom"/>
          </w:tcPr>
          <w:p>
            <w:pPr>
              <w:spacing w:after="0"/>
              <w:rPr>
                <w:sz w:val="11"/>
                <w:szCs w:val="11"/>
                <w:color w:val="auto"/>
              </w:rPr>
            </w:pPr>
          </w:p>
        </w:tc>
        <w:tc>
          <w:tcPr>
            <w:tcW w:w="3020" w:type="dxa"/>
            <w:vAlign w:val="bottom"/>
            <w:tcBorders>
              <w:bottom w:val="single" w:sz="8" w:color="0000FF"/>
            </w:tcBorders>
            <w:gridSpan w:val="4"/>
          </w:tcPr>
          <w:p>
            <w:pPr>
              <w:spacing w:after="0" w:line="136" w:lineRule="exact"/>
              <w:rPr>
                <w:rFonts w:ascii="Arial" w:cs="Arial" w:eastAsia="Arial" w:hAnsi="Arial"/>
                <w:sz w:val="13"/>
                <w:szCs w:val="13"/>
                <w:color w:val="0000FF"/>
              </w:rPr>
            </w:pPr>
            <w:hyperlink r:id="rId74">
              <w:r>
                <w:rPr>
                  <w:rFonts w:ascii="Arial" w:cs="Arial" w:eastAsia="Arial" w:hAnsi="Arial"/>
                  <w:sz w:val="13"/>
                  <w:szCs w:val="13"/>
                  <w:color w:val="0000FF"/>
                </w:rPr>
                <w:t>N-2/A (File No. 333-140092), filed on April 5, 2007).</w:t>
              </w:r>
            </w:hyperlink>
          </w:p>
        </w:tc>
        <w:tc>
          <w:tcPr>
            <w:tcW w:w="6140" w:type="dxa"/>
            <w:vAlign w:val="bottom"/>
            <w:gridSpan w:val="8"/>
          </w:tcPr>
          <w:p>
            <w:pPr>
              <w:spacing w:after="0"/>
              <w:rPr>
                <w:sz w:val="11"/>
                <w:szCs w:val="11"/>
                <w:color w:val="auto"/>
              </w:rPr>
            </w:pPr>
          </w:p>
        </w:tc>
      </w:tr>
      <w:tr>
        <w:trPr>
          <w:trHeight w:val="340"/>
        </w:trPr>
        <w:tc>
          <w:tcPr>
            <w:tcW w:w="1400" w:type="dxa"/>
            <w:vAlign w:val="bottom"/>
          </w:tcPr>
          <w:p>
            <w:pPr>
              <w:jc w:val="right"/>
              <w:ind w:right="1054"/>
              <w:spacing w:after="0"/>
              <w:rPr>
                <w:sz w:val="20"/>
                <w:szCs w:val="20"/>
                <w:color w:val="auto"/>
              </w:rPr>
            </w:pPr>
            <w:r>
              <w:rPr>
                <w:rFonts w:ascii="Arial" w:cs="Arial" w:eastAsia="Arial" w:hAnsi="Arial"/>
                <w:sz w:val="13"/>
                <w:szCs w:val="13"/>
                <w:color w:val="auto"/>
              </w:rPr>
              <w:t>3.2</w:t>
            </w:r>
          </w:p>
        </w:tc>
        <w:tc>
          <w:tcPr>
            <w:tcW w:w="9020" w:type="dxa"/>
            <w:vAlign w:val="bottom"/>
            <w:tcBorders>
              <w:bottom w:val="single" w:sz="8" w:color="0000FF"/>
            </w:tcBorders>
            <w:gridSpan w:val="10"/>
          </w:tcPr>
          <w:p>
            <w:pPr>
              <w:spacing w:after="0"/>
              <w:rPr>
                <w:rFonts w:ascii="Arial" w:cs="Arial" w:eastAsia="Arial" w:hAnsi="Arial"/>
                <w:sz w:val="13"/>
                <w:szCs w:val="13"/>
                <w:color w:val="0000FF"/>
              </w:rPr>
            </w:pPr>
            <w:hyperlink r:id="rId75">
              <w:r>
                <w:rPr>
                  <w:rFonts w:ascii="Arial" w:cs="Arial" w:eastAsia="Arial" w:hAnsi="Arial"/>
                  <w:sz w:val="13"/>
                  <w:szCs w:val="13"/>
                  <w:color w:val="0000FF"/>
                </w:rPr>
                <w:t>Second Amended and Restated Bylaws of the Registrant (Incorporated by reference to Exhibit 3.2 to the Registrant's Quarterly Report on Form 10-Q (File</w:t>
              </w:r>
            </w:hyperlink>
          </w:p>
        </w:tc>
        <w:tc>
          <w:tcPr>
            <w:tcW w:w="140" w:type="dxa"/>
            <w:vAlign w:val="bottom"/>
            <w:gridSpan w:val="2"/>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9160" w:type="dxa"/>
            <w:vAlign w:val="bottom"/>
            <w:gridSpan w:val="12"/>
          </w:tcPr>
          <w:p>
            <w:pPr>
              <w:spacing w:after="0" w:line="136" w:lineRule="exact"/>
              <w:rPr>
                <w:rFonts w:ascii="Arial" w:cs="Arial" w:eastAsia="Arial" w:hAnsi="Arial"/>
                <w:sz w:val="13"/>
                <w:szCs w:val="13"/>
                <w:color w:val="0000FF"/>
              </w:rPr>
            </w:pPr>
            <w:hyperlink r:id="rId75">
              <w:r>
                <w:rPr>
                  <w:rFonts w:ascii="Arial" w:cs="Arial" w:eastAsia="Arial" w:hAnsi="Arial"/>
                  <w:sz w:val="13"/>
                  <w:szCs w:val="13"/>
                  <w:color w:val="0000FF"/>
                </w:rPr>
                <w:t>No. 814-00736), filed on May 11, 2020).</w:t>
              </w:r>
            </w:hyperlink>
          </w:p>
        </w:tc>
      </w:tr>
      <w:tr>
        <w:trPr>
          <w:trHeight w:val="20"/>
        </w:trPr>
        <w:tc>
          <w:tcPr>
            <w:tcW w:w="14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0"/>
        </w:trPr>
        <w:tc>
          <w:tcPr>
            <w:tcW w:w="1400" w:type="dxa"/>
            <w:vAlign w:val="bottom"/>
          </w:tcPr>
          <w:p>
            <w:pPr>
              <w:jc w:val="right"/>
              <w:ind w:right="1054"/>
              <w:spacing w:after="0"/>
              <w:rPr>
                <w:sz w:val="20"/>
                <w:szCs w:val="20"/>
                <w:color w:val="auto"/>
              </w:rPr>
            </w:pPr>
            <w:r>
              <w:rPr>
                <w:rFonts w:ascii="Arial" w:cs="Arial" w:eastAsia="Arial" w:hAnsi="Arial"/>
                <w:sz w:val="13"/>
                <w:szCs w:val="13"/>
                <w:color w:val="auto"/>
              </w:rPr>
              <w:t>4.1</w:t>
            </w:r>
          </w:p>
        </w:tc>
        <w:tc>
          <w:tcPr>
            <w:tcW w:w="9080" w:type="dxa"/>
            <w:vAlign w:val="bottom"/>
            <w:tcBorders>
              <w:bottom w:val="single" w:sz="8" w:color="0000FF"/>
            </w:tcBorders>
            <w:gridSpan w:val="11"/>
          </w:tcPr>
          <w:p>
            <w:pPr>
              <w:spacing w:after="0"/>
              <w:rPr>
                <w:rFonts w:ascii="Arial" w:cs="Arial" w:eastAsia="Arial" w:hAnsi="Arial"/>
                <w:sz w:val="13"/>
                <w:szCs w:val="13"/>
                <w:color w:val="0000FF"/>
              </w:rPr>
            </w:pPr>
            <w:hyperlink r:id="rId76">
              <w:r>
                <w:rPr>
                  <w:rFonts w:ascii="Arial" w:cs="Arial" w:eastAsia="Arial" w:hAnsi="Arial"/>
                  <w:sz w:val="13"/>
                  <w:szCs w:val="13"/>
                  <w:color w:val="0000FF"/>
                </w:rPr>
                <w:t>Form of Share Certificate (Incorporated by reference to Exhibit 99(d)(1) to the Registrant’s Registration Statement on Form N-2 (File No. 333-150033), filed</w:t>
              </w:r>
            </w:hyperlink>
          </w:p>
        </w:tc>
        <w:tc>
          <w:tcPr>
            <w:tcW w:w="80" w:type="dxa"/>
            <w:vAlign w:val="bottom"/>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9160" w:type="dxa"/>
            <w:vAlign w:val="bottom"/>
            <w:gridSpan w:val="12"/>
          </w:tcPr>
          <w:p>
            <w:pPr>
              <w:spacing w:after="0" w:line="136" w:lineRule="exact"/>
              <w:rPr>
                <w:rFonts w:ascii="Arial" w:cs="Arial" w:eastAsia="Arial" w:hAnsi="Arial"/>
                <w:sz w:val="13"/>
                <w:szCs w:val="13"/>
                <w:color w:val="0000FF"/>
              </w:rPr>
            </w:pPr>
            <w:hyperlink r:id="rId76">
              <w:r>
                <w:rPr>
                  <w:rFonts w:ascii="Arial" w:cs="Arial" w:eastAsia="Arial" w:hAnsi="Arial"/>
                  <w:sz w:val="13"/>
                  <w:szCs w:val="13"/>
                  <w:color w:val="0000FF"/>
                </w:rPr>
                <w:t>on April 2, 2008).</w:t>
              </w:r>
            </w:hyperlink>
          </w:p>
        </w:tc>
      </w:tr>
      <w:tr>
        <w:trPr>
          <w:trHeight w:val="20"/>
        </w:trPr>
        <w:tc>
          <w:tcPr>
            <w:tcW w:w="14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40"/>
        </w:trPr>
        <w:tc>
          <w:tcPr>
            <w:tcW w:w="1400" w:type="dxa"/>
            <w:vAlign w:val="bottom"/>
          </w:tcPr>
          <w:p>
            <w:pPr>
              <w:jc w:val="right"/>
              <w:ind w:right="1014"/>
              <w:spacing w:after="0"/>
              <w:rPr>
                <w:sz w:val="20"/>
                <w:szCs w:val="20"/>
                <w:color w:val="auto"/>
              </w:rPr>
            </w:pPr>
            <w:r>
              <w:rPr>
                <w:rFonts w:ascii="Arial" w:cs="Arial" w:eastAsia="Arial" w:hAnsi="Arial"/>
                <w:sz w:val="13"/>
                <w:szCs w:val="13"/>
                <w:color w:val="auto"/>
                <w:w w:val="98"/>
              </w:rPr>
              <w:t>31.1*</w:t>
            </w:r>
          </w:p>
        </w:tc>
        <w:tc>
          <w:tcPr>
            <w:tcW w:w="6820" w:type="dxa"/>
            <w:vAlign w:val="bottom"/>
            <w:tcBorders>
              <w:bottom w:val="single" w:sz="8" w:color="0000FF"/>
            </w:tcBorders>
            <w:gridSpan w:val="8"/>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Executive Officer pursuant to Rule 13a-14 of the Securities Exchange Act of 1934, as amended.</w:t>
              </w:r>
            </w:hyperlink>
          </w:p>
        </w:tc>
        <w:tc>
          <w:tcPr>
            <w:tcW w:w="2340" w:type="dxa"/>
            <w:vAlign w:val="bottom"/>
            <w:gridSpan w:val="4"/>
          </w:tcPr>
          <w:p>
            <w:pPr>
              <w:spacing w:after="0"/>
              <w:rPr>
                <w:sz w:val="24"/>
                <w:szCs w:val="24"/>
                <w:color w:val="auto"/>
              </w:rPr>
            </w:pPr>
          </w:p>
        </w:tc>
      </w:tr>
      <w:tr>
        <w:trPr>
          <w:trHeight w:val="340"/>
        </w:trPr>
        <w:tc>
          <w:tcPr>
            <w:tcW w:w="1400" w:type="dxa"/>
            <w:vAlign w:val="bottom"/>
          </w:tcPr>
          <w:p>
            <w:pPr>
              <w:jc w:val="right"/>
              <w:ind w:right="1014"/>
              <w:spacing w:after="0"/>
              <w:rPr>
                <w:sz w:val="20"/>
                <w:szCs w:val="20"/>
                <w:color w:val="auto"/>
              </w:rPr>
            </w:pPr>
            <w:r>
              <w:rPr>
                <w:rFonts w:ascii="Arial" w:cs="Arial" w:eastAsia="Arial" w:hAnsi="Arial"/>
                <w:sz w:val="13"/>
                <w:szCs w:val="13"/>
                <w:color w:val="auto"/>
                <w:w w:val="98"/>
              </w:rPr>
              <w:t>31.2*</w:t>
            </w:r>
          </w:p>
        </w:tc>
        <w:tc>
          <w:tcPr>
            <w:tcW w:w="9160" w:type="dxa"/>
            <w:vAlign w:val="bottom"/>
            <w:gridSpan w:val="12"/>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Financial Officer pursuant to Rule 13a-14 of the Securities Exchange Act of 1934, as amended.</w:t>
              </w:r>
            </w:hyperlink>
          </w:p>
        </w:tc>
      </w:tr>
      <w:tr>
        <w:trPr>
          <w:trHeight w:val="340"/>
        </w:trPr>
        <w:tc>
          <w:tcPr>
            <w:tcW w:w="1400" w:type="dxa"/>
            <w:vAlign w:val="bottom"/>
          </w:tcPr>
          <w:p>
            <w:pPr>
              <w:jc w:val="right"/>
              <w:ind w:right="1014"/>
              <w:spacing w:after="0"/>
              <w:rPr>
                <w:sz w:val="20"/>
                <w:szCs w:val="20"/>
                <w:color w:val="auto"/>
              </w:rPr>
            </w:pPr>
            <w:r>
              <w:rPr>
                <w:rFonts w:ascii="Arial" w:cs="Arial" w:eastAsia="Arial" w:hAnsi="Arial"/>
                <w:sz w:val="13"/>
                <w:szCs w:val="13"/>
                <w:color w:val="auto"/>
                <w:w w:val="98"/>
              </w:rPr>
              <w:t>32.1*</w:t>
            </w:r>
          </w:p>
        </w:tc>
        <w:tc>
          <w:tcPr>
            <w:tcW w:w="5740" w:type="dxa"/>
            <w:vAlign w:val="bottom"/>
            <w:tcBorders>
              <w:top w:val="single" w:sz="8" w:color="0000FF"/>
              <w:bottom w:val="single" w:sz="8" w:color="0000FF"/>
            </w:tcBorders>
            <w:gridSpan w:val="6"/>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Executive Officer pursuant to Section 906 of the Sarbanes-Oxley Act of 2002.</w:t>
              </w:r>
            </w:hyperlink>
          </w:p>
        </w:tc>
        <w:tc>
          <w:tcPr>
            <w:tcW w:w="1020" w:type="dxa"/>
            <w:vAlign w:val="bottom"/>
            <w:tcBorders>
              <w:top w:val="single" w:sz="8" w:color="0000FF"/>
            </w:tcBorders>
          </w:tcPr>
          <w:p>
            <w:pPr>
              <w:spacing w:after="0"/>
              <w:rPr>
                <w:sz w:val="24"/>
                <w:szCs w:val="24"/>
                <w:color w:val="auto"/>
              </w:rPr>
            </w:pPr>
          </w:p>
        </w:tc>
        <w:tc>
          <w:tcPr>
            <w:tcW w:w="2400" w:type="dxa"/>
            <w:vAlign w:val="bottom"/>
            <w:gridSpan w:val="5"/>
          </w:tcPr>
          <w:p>
            <w:pPr>
              <w:spacing w:after="0"/>
              <w:rPr>
                <w:sz w:val="24"/>
                <w:szCs w:val="24"/>
                <w:color w:val="auto"/>
              </w:rPr>
            </w:pPr>
          </w:p>
        </w:tc>
      </w:tr>
      <w:tr>
        <w:trPr>
          <w:trHeight w:val="340"/>
        </w:trPr>
        <w:tc>
          <w:tcPr>
            <w:tcW w:w="1400" w:type="dxa"/>
            <w:vAlign w:val="bottom"/>
          </w:tcPr>
          <w:p>
            <w:pPr>
              <w:jc w:val="right"/>
              <w:ind w:right="1014"/>
              <w:spacing w:after="0"/>
              <w:rPr>
                <w:sz w:val="20"/>
                <w:szCs w:val="20"/>
                <w:color w:val="auto"/>
              </w:rPr>
            </w:pPr>
            <w:r>
              <w:rPr>
                <w:rFonts w:ascii="Arial" w:cs="Arial" w:eastAsia="Arial" w:hAnsi="Arial"/>
                <w:sz w:val="13"/>
                <w:szCs w:val="13"/>
                <w:color w:val="auto"/>
                <w:w w:val="98"/>
              </w:rPr>
              <w:t>32.2*</w:t>
            </w:r>
          </w:p>
        </w:tc>
        <w:tc>
          <w:tcPr>
            <w:tcW w:w="5700" w:type="dxa"/>
            <w:vAlign w:val="bottom"/>
            <w:tcBorders>
              <w:bottom w:val="single" w:sz="8" w:color="0000FF"/>
            </w:tcBorders>
            <w:gridSpan w:val="5"/>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Financial Officer pursuant to Section 906 of the Sarbanes-Oxley Act of 2002.</w:t>
              </w:r>
            </w:hyperlink>
          </w:p>
        </w:tc>
        <w:tc>
          <w:tcPr>
            <w:tcW w:w="3460" w:type="dxa"/>
            <w:vAlign w:val="bottom"/>
            <w:gridSpan w:val="7"/>
          </w:tcPr>
          <w:p>
            <w:pPr>
              <w:spacing w:after="0"/>
              <w:rPr>
                <w:sz w:val="24"/>
                <w:szCs w:val="24"/>
                <w:color w:val="auto"/>
              </w:rPr>
            </w:pPr>
          </w:p>
        </w:tc>
      </w:tr>
      <w:tr>
        <w:trPr>
          <w:trHeight w:val="340"/>
        </w:trPr>
        <w:tc>
          <w:tcPr>
            <w:tcW w:w="1400" w:type="dxa"/>
            <w:vAlign w:val="bottom"/>
          </w:tcPr>
          <w:p>
            <w:pPr>
              <w:jc w:val="right"/>
              <w:ind w:right="1054"/>
              <w:spacing w:after="0"/>
              <w:rPr>
                <w:sz w:val="20"/>
                <w:szCs w:val="20"/>
                <w:color w:val="auto"/>
              </w:rPr>
            </w:pPr>
            <w:r>
              <w:rPr>
                <w:rFonts w:ascii="Arial" w:cs="Arial" w:eastAsia="Arial" w:hAnsi="Arial"/>
                <w:sz w:val="13"/>
                <w:szCs w:val="13"/>
                <w:color w:val="auto"/>
              </w:rPr>
              <w:t>99.1</w:t>
            </w:r>
          </w:p>
        </w:tc>
        <w:tc>
          <w:tcPr>
            <w:tcW w:w="8880" w:type="dxa"/>
            <w:vAlign w:val="bottom"/>
            <w:tcBorders>
              <w:bottom w:val="single" w:sz="8" w:color="0000FF"/>
            </w:tcBorders>
            <w:gridSpan w:val="9"/>
          </w:tcPr>
          <w:p>
            <w:pPr>
              <w:spacing w:after="0"/>
              <w:rPr>
                <w:rFonts w:ascii="Arial" w:cs="Arial" w:eastAsia="Arial" w:hAnsi="Arial"/>
                <w:sz w:val="13"/>
                <w:szCs w:val="13"/>
                <w:color w:val="0000FF"/>
              </w:rPr>
            </w:pPr>
            <w:hyperlink r:id="rId77">
              <w:r>
                <w:rPr>
                  <w:rFonts w:ascii="Arial" w:cs="Arial" w:eastAsia="Arial" w:hAnsi="Arial"/>
                  <w:sz w:val="13"/>
                  <w:szCs w:val="13"/>
                  <w:color w:val="0000FF"/>
                </w:rPr>
                <w:t>Privacy Policy of the Registrant (Incorporated by reference to Exhibit 99.1 to the Registrant’s Annual Report on Form 10-K (File No. 814-00736), filed on</w:t>
              </w:r>
            </w:hyperlink>
          </w:p>
        </w:tc>
        <w:tc>
          <w:tcPr>
            <w:tcW w:w="280" w:type="dxa"/>
            <w:vAlign w:val="bottom"/>
            <w:gridSpan w:val="3"/>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1240" w:type="dxa"/>
            <w:vAlign w:val="bottom"/>
            <w:tcBorders>
              <w:bottom w:val="single" w:sz="8" w:color="0000FF"/>
            </w:tcBorders>
            <w:gridSpan w:val="2"/>
          </w:tcPr>
          <w:p>
            <w:pPr>
              <w:spacing w:after="0" w:line="136" w:lineRule="exact"/>
              <w:rPr>
                <w:rFonts w:ascii="Arial" w:cs="Arial" w:eastAsia="Arial" w:hAnsi="Arial"/>
                <w:sz w:val="13"/>
                <w:szCs w:val="13"/>
                <w:color w:val="0000FF"/>
                <w:w w:val="99"/>
              </w:rPr>
            </w:pPr>
            <w:hyperlink r:id="rId77">
              <w:r>
                <w:rPr>
                  <w:rFonts w:ascii="Arial" w:cs="Arial" w:eastAsia="Arial" w:hAnsi="Arial"/>
                  <w:sz w:val="13"/>
                  <w:szCs w:val="13"/>
                  <w:color w:val="0000FF"/>
                  <w:w w:val="99"/>
                </w:rPr>
                <w:t>November 16, 2011).</w:t>
              </w:r>
            </w:hyperlink>
          </w:p>
        </w:tc>
        <w:tc>
          <w:tcPr>
            <w:tcW w:w="7920" w:type="dxa"/>
            <w:vAlign w:val="bottom"/>
            <w:gridSpan w:val="10"/>
          </w:tcPr>
          <w:p>
            <w:pPr>
              <w:spacing w:after="0"/>
              <w:rPr>
                <w:sz w:val="11"/>
                <w:szCs w:val="11"/>
                <w:color w:val="auto"/>
              </w:rPr>
            </w:pPr>
          </w:p>
        </w:tc>
      </w:tr>
      <w:tr>
        <w:trPr>
          <w:trHeight w:val="342"/>
        </w:trPr>
        <w:tc>
          <w:tcPr>
            <w:tcW w:w="1400" w:type="dxa"/>
            <w:vAlign w:val="bottom"/>
          </w:tcPr>
          <w:p>
            <w:pPr>
              <w:ind w:left="20"/>
              <w:spacing w:after="0"/>
              <w:rPr>
                <w:sz w:val="20"/>
                <w:szCs w:val="20"/>
                <w:color w:val="auto"/>
              </w:rPr>
            </w:pPr>
            <w:r>
              <w:rPr>
                <w:rFonts w:ascii="Arial" w:cs="Arial" w:eastAsia="Arial" w:hAnsi="Arial"/>
                <w:sz w:val="13"/>
                <w:szCs w:val="13"/>
                <w:color w:val="auto"/>
              </w:rPr>
              <w:t>101.INS*</w:t>
            </w:r>
          </w:p>
        </w:tc>
        <w:tc>
          <w:tcPr>
            <w:tcW w:w="9160" w:type="dxa"/>
            <w:vAlign w:val="bottom"/>
            <w:gridSpan w:val="12"/>
          </w:tcPr>
          <w:p>
            <w:pPr>
              <w:spacing w:after="0"/>
              <w:rPr>
                <w:sz w:val="20"/>
                <w:szCs w:val="20"/>
                <w:color w:val="auto"/>
              </w:rPr>
            </w:pPr>
            <w:r>
              <w:rPr>
                <w:rFonts w:ascii="Arial" w:cs="Arial" w:eastAsia="Arial" w:hAnsi="Arial"/>
                <w:sz w:val="13"/>
                <w:szCs w:val="13"/>
                <w:color w:val="auto"/>
              </w:rPr>
              <w:t>Inline XBRL Instance Document</w:t>
            </w:r>
          </w:p>
        </w:tc>
      </w:tr>
      <w:tr>
        <w:trPr>
          <w:trHeight w:val="336"/>
        </w:trPr>
        <w:tc>
          <w:tcPr>
            <w:tcW w:w="1400" w:type="dxa"/>
            <w:vAlign w:val="bottom"/>
          </w:tcPr>
          <w:p>
            <w:pPr>
              <w:ind w:left="20"/>
              <w:spacing w:after="0"/>
              <w:rPr>
                <w:sz w:val="20"/>
                <w:szCs w:val="20"/>
                <w:color w:val="auto"/>
              </w:rPr>
            </w:pPr>
            <w:r>
              <w:rPr>
                <w:rFonts w:ascii="Arial" w:cs="Arial" w:eastAsia="Arial" w:hAnsi="Arial"/>
                <w:sz w:val="13"/>
                <w:szCs w:val="13"/>
                <w:color w:val="auto"/>
              </w:rPr>
              <w:t>101.SCH*</w:t>
            </w:r>
          </w:p>
        </w:tc>
        <w:tc>
          <w:tcPr>
            <w:tcW w:w="9160" w:type="dxa"/>
            <w:vAlign w:val="bottom"/>
            <w:gridSpan w:val="12"/>
          </w:tcPr>
          <w:p>
            <w:pPr>
              <w:spacing w:after="0"/>
              <w:rPr>
                <w:sz w:val="20"/>
                <w:szCs w:val="20"/>
                <w:color w:val="auto"/>
              </w:rPr>
            </w:pPr>
            <w:r>
              <w:rPr>
                <w:rFonts w:ascii="Arial" w:cs="Arial" w:eastAsia="Arial" w:hAnsi="Arial"/>
                <w:sz w:val="13"/>
                <w:szCs w:val="13"/>
                <w:color w:val="auto"/>
              </w:rPr>
              <w:t>Inline XBRL Taxonomy Extension Schema</w:t>
            </w:r>
          </w:p>
        </w:tc>
      </w:tr>
      <w:tr>
        <w:trPr>
          <w:trHeight w:val="336"/>
        </w:trPr>
        <w:tc>
          <w:tcPr>
            <w:tcW w:w="1400" w:type="dxa"/>
            <w:vAlign w:val="bottom"/>
          </w:tcPr>
          <w:p>
            <w:pPr>
              <w:ind w:left="20"/>
              <w:spacing w:after="0"/>
              <w:rPr>
                <w:sz w:val="20"/>
                <w:szCs w:val="20"/>
                <w:color w:val="auto"/>
              </w:rPr>
            </w:pPr>
            <w:r>
              <w:rPr>
                <w:rFonts w:ascii="Arial" w:cs="Arial" w:eastAsia="Arial" w:hAnsi="Arial"/>
                <w:sz w:val="13"/>
                <w:szCs w:val="13"/>
                <w:color w:val="auto"/>
              </w:rPr>
              <w:t>101.CAL*</w:t>
            </w:r>
          </w:p>
        </w:tc>
        <w:tc>
          <w:tcPr>
            <w:tcW w:w="9160" w:type="dxa"/>
            <w:vAlign w:val="bottom"/>
            <w:gridSpan w:val="12"/>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336"/>
        </w:trPr>
        <w:tc>
          <w:tcPr>
            <w:tcW w:w="1400" w:type="dxa"/>
            <w:vAlign w:val="bottom"/>
          </w:tcPr>
          <w:p>
            <w:pPr>
              <w:ind w:left="20"/>
              <w:spacing w:after="0"/>
              <w:rPr>
                <w:sz w:val="20"/>
                <w:szCs w:val="20"/>
                <w:color w:val="auto"/>
              </w:rPr>
            </w:pPr>
            <w:r>
              <w:rPr>
                <w:rFonts w:ascii="Arial" w:cs="Arial" w:eastAsia="Arial" w:hAnsi="Arial"/>
                <w:sz w:val="13"/>
                <w:szCs w:val="13"/>
                <w:color w:val="auto"/>
              </w:rPr>
              <w:t>101.DEF*</w:t>
            </w:r>
          </w:p>
        </w:tc>
        <w:tc>
          <w:tcPr>
            <w:tcW w:w="9160" w:type="dxa"/>
            <w:vAlign w:val="bottom"/>
            <w:gridSpan w:val="12"/>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336"/>
        </w:trPr>
        <w:tc>
          <w:tcPr>
            <w:tcW w:w="1400" w:type="dxa"/>
            <w:vAlign w:val="bottom"/>
          </w:tcPr>
          <w:p>
            <w:pPr>
              <w:ind w:left="20"/>
              <w:spacing w:after="0"/>
              <w:rPr>
                <w:sz w:val="20"/>
                <w:szCs w:val="20"/>
                <w:color w:val="auto"/>
              </w:rPr>
            </w:pPr>
            <w:r>
              <w:rPr>
                <w:rFonts w:ascii="Arial" w:cs="Arial" w:eastAsia="Arial" w:hAnsi="Arial"/>
                <w:sz w:val="13"/>
                <w:szCs w:val="13"/>
                <w:color w:val="auto"/>
              </w:rPr>
              <w:t>101.LAB*</w:t>
            </w:r>
          </w:p>
        </w:tc>
        <w:tc>
          <w:tcPr>
            <w:tcW w:w="9160" w:type="dxa"/>
            <w:vAlign w:val="bottom"/>
            <w:gridSpan w:val="12"/>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336"/>
        </w:trPr>
        <w:tc>
          <w:tcPr>
            <w:tcW w:w="1400" w:type="dxa"/>
            <w:vAlign w:val="bottom"/>
          </w:tcPr>
          <w:p>
            <w:pPr>
              <w:ind w:left="20"/>
              <w:spacing w:after="0"/>
              <w:rPr>
                <w:sz w:val="20"/>
                <w:szCs w:val="20"/>
                <w:color w:val="auto"/>
              </w:rPr>
            </w:pPr>
            <w:r>
              <w:rPr>
                <w:rFonts w:ascii="Arial" w:cs="Arial" w:eastAsia="Arial" w:hAnsi="Arial"/>
                <w:sz w:val="13"/>
                <w:szCs w:val="13"/>
                <w:color w:val="auto"/>
              </w:rPr>
              <w:t>101.PRE*</w:t>
            </w:r>
          </w:p>
        </w:tc>
        <w:tc>
          <w:tcPr>
            <w:tcW w:w="9160" w:type="dxa"/>
            <w:vAlign w:val="bottom"/>
            <w:gridSpan w:val="12"/>
          </w:tcPr>
          <w:p>
            <w:pPr>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336"/>
        </w:trPr>
        <w:tc>
          <w:tcPr>
            <w:tcW w:w="1400" w:type="dxa"/>
            <w:vAlign w:val="bottom"/>
          </w:tcPr>
          <w:p>
            <w:pPr>
              <w:ind w:left="20"/>
              <w:spacing w:after="0"/>
              <w:rPr>
                <w:sz w:val="20"/>
                <w:szCs w:val="20"/>
                <w:color w:val="auto"/>
              </w:rPr>
            </w:pPr>
            <w:r>
              <w:rPr>
                <w:rFonts w:ascii="Arial" w:cs="Arial" w:eastAsia="Arial" w:hAnsi="Arial"/>
                <w:sz w:val="13"/>
                <w:szCs w:val="13"/>
                <w:color w:val="auto"/>
              </w:rPr>
              <w:t>104</w:t>
            </w:r>
          </w:p>
        </w:tc>
        <w:tc>
          <w:tcPr>
            <w:tcW w:w="9160" w:type="dxa"/>
            <w:vAlign w:val="bottom"/>
            <w:gridSpan w:val="12"/>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r>
      <w:tr>
        <w:trPr>
          <w:trHeight w:val="360"/>
        </w:trPr>
        <w:tc>
          <w:tcPr>
            <w:tcW w:w="1400" w:type="dxa"/>
            <w:vAlign w:val="bottom"/>
          </w:tcPr>
          <w:p>
            <w:pPr>
              <w:spacing w:after="0"/>
              <w:rPr>
                <w:sz w:val="20"/>
                <w:szCs w:val="20"/>
                <w:color w:val="auto"/>
              </w:rPr>
            </w:pPr>
            <w:r>
              <w:rPr>
                <w:rFonts w:ascii="Arial" w:cs="Arial" w:eastAsia="Arial" w:hAnsi="Arial"/>
                <w:sz w:val="13"/>
                <w:szCs w:val="13"/>
                <w:color w:val="auto"/>
              </w:rPr>
              <w:t>* Filed herewith.</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1400" w:type="dxa"/>
            <w:vAlign w:val="bottom"/>
          </w:tcPr>
          <w:p>
            <w:pPr>
              <w:spacing w:after="0"/>
              <w:rPr>
                <w:sz w:val="24"/>
                <w:szCs w:val="24"/>
                <w:color w:val="auto"/>
              </w:rPr>
            </w:pPr>
          </w:p>
        </w:tc>
        <w:tc>
          <w:tcPr>
            <w:tcW w:w="5700" w:type="dxa"/>
            <w:vAlign w:val="bottom"/>
            <w:gridSpan w:val="5"/>
          </w:tcPr>
          <w:p>
            <w:pPr>
              <w:ind w:left="3800"/>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8"/>
        </w:trPr>
        <w:tc>
          <w:tcPr>
            <w:tcW w:w="140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700" w:type="dxa"/>
            <w:vAlign w:val="bottom"/>
            <w:tcBorders>
              <w:bottom w:val="single" w:sz="8" w:color="EEEEEE"/>
            </w:tcBorders>
          </w:tcPr>
          <w:p>
            <w:pPr>
              <w:spacing w:after="0"/>
              <w:rPr>
                <w:sz w:val="8"/>
                <w:szCs w:val="8"/>
                <w:color w:val="auto"/>
              </w:rPr>
            </w:pPr>
          </w:p>
        </w:tc>
        <w:tc>
          <w:tcPr>
            <w:tcW w:w="268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6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3"/>
          <w:szCs w:val="13"/>
          <w:b w:val="1"/>
          <w:bCs w:val="1"/>
          <w:color w:val="auto"/>
        </w:rPr>
        <w:t>SIGNATURES</w:t>
      </w:r>
    </w:p>
    <w:p>
      <w:pPr>
        <w:spacing w:after="0" w:line="183" w:lineRule="exact"/>
        <w:rPr>
          <w:sz w:val="20"/>
          <w:szCs w:val="20"/>
          <w:color w:val="auto"/>
        </w:rPr>
      </w:pPr>
    </w:p>
    <w:p>
      <w:pPr>
        <w:ind w:firstLine="420"/>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10500"/>
          </w:cols>
          <w:pgMar w:left="660" w:top="734" w:right="7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May 11, 2023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May 11, 2023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PENNANTPARK INVESTMENT CORPORATION</w:t>
      </w:r>
    </w:p>
    <w:p>
      <w:pPr>
        <w:spacing w:after="0" w:line="235" w:lineRule="exact"/>
        <w:rPr>
          <w:sz w:val="20"/>
          <w:szCs w:val="20"/>
          <w:color w:val="auto"/>
        </w:rPr>
      </w:pPr>
    </w:p>
    <w:p>
      <w:pPr>
        <w:spacing w:after="0"/>
        <w:tabs>
          <w:tab w:leader="none" w:pos="23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Arthur H. Penn</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Arthur H. Penn</w:t>
      </w:r>
    </w:p>
    <w:p>
      <w:pPr>
        <w:spacing w:after="0" w:line="34" w:lineRule="exact"/>
        <w:rPr>
          <w:sz w:val="20"/>
          <w:szCs w:val="20"/>
          <w:color w:val="auto"/>
        </w:rPr>
      </w:pPr>
    </w:p>
    <w:p>
      <w:pPr>
        <w:jc w:val="right"/>
        <w:ind w:right="4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spacing w:after="0" w:line="19" w:lineRule="exact"/>
        <w:rPr>
          <w:sz w:val="20"/>
          <w:szCs w:val="20"/>
          <w:color w:val="auto"/>
        </w:rPr>
      </w:pPr>
    </w:p>
    <w:p>
      <w:pPr>
        <w:ind w:left="2020"/>
        <w:spacing w:after="0"/>
        <w:rPr>
          <w:sz w:val="20"/>
          <w:szCs w:val="20"/>
          <w:color w:val="auto"/>
        </w:rPr>
      </w:pPr>
      <w:r>
        <w:rPr>
          <w:rFonts w:ascii="Arial" w:cs="Arial" w:eastAsia="Arial" w:hAnsi="Arial"/>
          <w:sz w:val="13"/>
          <w:szCs w:val="13"/>
          <w:b w:val="1"/>
          <w:bCs w:val="1"/>
          <w:color w:val="auto"/>
        </w:rPr>
        <w:t>(Principal Executive Officer)</w:t>
      </w:r>
    </w:p>
    <w:p>
      <w:pPr>
        <w:spacing w:after="0" w:line="227" w:lineRule="exact"/>
        <w:rPr>
          <w:sz w:val="20"/>
          <w:szCs w:val="20"/>
          <w:color w:val="auto"/>
        </w:rPr>
      </w:pPr>
    </w:p>
    <w:p>
      <w:pPr>
        <w:spacing w:after="0"/>
        <w:tabs>
          <w:tab w:leader="none" w:pos="21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Richard T. Allorto, Jr.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3"/>
          <w:szCs w:val="13"/>
          <w:b w:val="1"/>
          <w:bCs w:val="1"/>
          <w:color w:val="auto"/>
        </w:rPr>
        <w:t>Richard T. Allorto, Jr.</w:t>
      </w:r>
    </w:p>
    <w:p>
      <w:pPr>
        <w:spacing w:after="0" w:line="34"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Chief Financial Officer and Treasurer</w:t>
      </w:r>
    </w:p>
    <w:p>
      <w:pPr>
        <w:spacing w:after="0" w:line="19" w:lineRule="exact"/>
        <w:rPr>
          <w:sz w:val="20"/>
          <w:szCs w:val="20"/>
          <w:color w:val="auto"/>
        </w:rPr>
      </w:pPr>
    </w:p>
    <w:p>
      <w:pPr>
        <w:ind w:left="1520"/>
        <w:spacing w:after="0"/>
        <w:rPr>
          <w:sz w:val="20"/>
          <w:szCs w:val="20"/>
          <w:color w:val="auto"/>
        </w:rPr>
      </w:pPr>
      <w:r>
        <w:rPr>
          <w:rFonts w:ascii="Arial" w:cs="Arial" w:eastAsia="Arial" w:hAnsi="Arial"/>
          <w:sz w:val="13"/>
          <w:szCs w:val="13"/>
          <w:b w:val="1"/>
          <w:bCs w:val="1"/>
          <w:color w:val="auto"/>
        </w:rPr>
        <w:t>(Principal Financial and Accounting Officer)</w:t>
      </w:r>
    </w:p>
    <w:p>
      <w:pPr>
        <w:spacing w:after="0" w:line="200" w:lineRule="exact"/>
        <w:rPr>
          <w:sz w:val="20"/>
          <w:szCs w:val="20"/>
          <w:color w:val="auto"/>
        </w:rPr>
      </w:pPr>
    </w:p>
    <w:p>
      <w:pPr>
        <w:sectPr>
          <w:pgSz w:w="11900" w:h="16840" w:orient="portrait"/>
          <w:cols w:equalWidth="0" w:num="2">
            <w:col w:w="4480" w:space="720"/>
            <w:col w:w="5300"/>
          </w:cols>
          <w:pgMar w:left="660" w:top="734" w:right="740" w:bottom="1440" w:gutter="0" w:footer="0" w:header="0"/>
          <w:type w:val="continuous"/>
        </w:sectPr>
      </w:pP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34" w:right="740"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3"/>
          <w:szCs w:val="13"/>
          <w:b w:val="1"/>
          <w:bCs w:val="1"/>
          <w:color w:val="auto"/>
        </w:rPr>
        <w:t>EXHIBIT 31.1</w:t>
      </w:r>
    </w:p>
    <w:p>
      <w:pPr>
        <w:spacing w:after="0" w:line="16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Chief Executive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Investment Corporation;</w:t>
      </w:r>
    </w:p>
    <w:p>
      <w:pPr>
        <w:spacing w:after="0" w:line="162" w:lineRule="exact"/>
        <w:rPr>
          <w:rFonts w:ascii="Arial" w:cs="Arial" w:eastAsia="Arial" w:hAnsi="Arial"/>
          <w:sz w:val="13"/>
          <w:szCs w:val="13"/>
          <w:color w:val="auto"/>
        </w:rPr>
      </w:pPr>
    </w:p>
    <w:p>
      <w:pPr>
        <w:ind w:right="700" w:firstLine="450"/>
        <w:spacing w:after="0" w:line="276" w:lineRule="auto"/>
        <w:tabs>
          <w:tab w:leader="none" w:pos="591" w:val="left"/>
        </w:tabs>
        <w:numPr>
          <w:ilvl w:val="1"/>
          <w:numId w:val="1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3"/>
          <w:szCs w:val="13"/>
          <w:color w:val="auto"/>
        </w:rPr>
      </w:pPr>
    </w:p>
    <w:p>
      <w:pPr>
        <w:ind w:right="380" w:firstLine="450"/>
        <w:spacing w:after="0" w:line="276" w:lineRule="auto"/>
        <w:tabs>
          <w:tab w:leader="none" w:pos="591" w:val="left"/>
        </w:tabs>
        <w:numPr>
          <w:ilvl w:val="1"/>
          <w:numId w:val="1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sz w:val="20"/>
          <w:szCs w:val="20"/>
          <w:color w:val="auto"/>
        </w:rPr>
      </w:pPr>
    </w:p>
    <w:p>
      <w:pPr>
        <w:ind w:right="180" w:firstLine="438"/>
        <w:spacing w:after="0" w:line="276" w:lineRule="auto"/>
        <w:tabs>
          <w:tab w:leader="none" w:pos="579"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580" w:firstLine="738"/>
        <w:spacing w:after="0" w:line="263" w:lineRule="auto"/>
        <w:tabs>
          <w:tab w:leader="none" w:pos="886"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3"/>
          <w:szCs w:val="13"/>
          <w:color w:val="auto"/>
        </w:rPr>
      </w:pPr>
    </w:p>
    <w:p>
      <w:pPr>
        <w:ind w:left="900" w:hanging="162"/>
        <w:spacing w:after="0"/>
        <w:tabs>
          <w:tab w:leader="none" w:pos="90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w:t>
      </w:r>
    </w:p>
    <w:p>
      <w:pPr>
        <w:spacing w:after="0" w:line="15" w:lineRule="exact"/>
        <w:rPr>
          <w:sz w:val="20"/>
          <w:szCs w:val="20"/>
          <w:color w:val="auto"/>
        </w:rPr>
      </w:pPr>
    </w:p>
    <w:p>
      <w:pPr>
        <w:ind w:right="700"/>
        <w:spacing w:after="0" w:line="263" w:lineRule="auto"/>
        <w:rPr>
          <w:sz w:val="20"/>
          <w:szCs w:val="20"/>
          <w:color w:val="auto"/>
        </w:rPr>
      </w:pPr>
      <w:r>
        <w:rPr>
          <w:rFonts w:ascii="Arial" w:cs="Arial" w:eastAsia="Arial" w:hAnsi="Arial"/>
          <w:sz w:val="13"/>
          <w:szCs w:val="13"/>
          <w:color w:val="auto"/>
        </w:rPr>
        <w:t>provide 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right="560" w:firstLine="714"/>
        <w:spacing w:after="0" w:line="276" w:lineRule="auto"/>
        <w:tabs>
          <w:tab w:leader="none" w:pos="855" w:val="left"/>
        </w:tabs>
        <w:numPr>
          <w:ilvl w:val="1"/>
          <w:numId w:val="1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right="380" w:firstLine="726"/>
        <w:spacing w:after="0" w:line="263" w:lineRule="auto"/>
        <w:tabs>
          <w:tab w:leader="none" w:pos="874" w:val="left"/>
        </w:tabs>
        <w:numPr>
          <w:ilvl w:val="2"/>
          <w:numId w:val="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3"/>
          <w:szCs w:val="13"/>
          <w:color w:val="auto"/>
        </w:rPr>
      </w:pPr>
    </w:p>
    <w:p>
      <w:pPr>
        <w:ind w:right="300" w:firstLine="450"/>
        <w:spacing w:after="0" w:line="276" w:lineRule="auto"/>
        <w:tabs>
          <w:tab w:leader="none" w:pos="59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3"/>
          <w:szCs w:val="13"/>
          <w:color w:val="auto"/>
        </w:rPr>
      </w:pPr>
    </w:p>
    <w:p>
      <w:pPr>
        <w:ind w:right="380" w:firstLine="714"/>
        <w:spacing w:after="0" w:line="276" w:lineRule="auto"/>
        <w:tabs>
          <w:tab w:leader="none" w:pos="862" w:val="left"/>
        </w:tabs>
        <w:numPr>
          <w:ilvl w:val="1"/>
          <w:numId w:val="1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3"/>
          <w:szCs w:val="13"/>
          <w:color w:val="auto"/>
        </w:rPr>
      </w:pPr>
    </w:p>
    <w:p>
      <w:pPr>
        <w:ind w:left="880" w:hanging="154"/>
        <w:spacing w:after="0"/>
        <w:tabs>
          <w:tab w:leader="none" w:pos="880" w:val="left"/>
        </w:tabs>
        <w:numPr>
          <w:ilvl w:val="2"/>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Dated: May 11, 2023</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392430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auto"/>
        </w:rPr>
        <w:t>EXHIBIT 31.2</w:t>
      </w:r>
    </w:p>
    <w:p>
      <w:pPr>
        <w:spacing w:after="0" w:line="16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I, Richard T. Allorto, Jr., Chief Financial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Investment Corporation;</w:t>
      </w:r>
    </w:p>
    <w:p>
      <w:pPr>
        <w:spacing w:after="0" w:line="162" w:lineRule="exact"/>
        <w:rPr>
          <w:rFonts w:ascii="Arial" w:cs="Arial" w:eastAsia="Arial" w:hAnsi="Arial"/>
          <w:sz w:val="13"/>
          <w:szCs w:val="13"/>
          <w:color w:val="auto"/>
        </w:rPr>
      </w:pPr>
    </w:p>
    <w:p>
      <w:pPr>
        <w:ind w:right="700" w:firstLine="450"/>
        <w:spacing w:after="0" w:line="276" w:lineRule="auto"/>
        <w:tabs>
          <w:tab w:leader="none" w:pos="591" w:val="left"/>
        </w:tabs>
        <w:numPr>
          <w:ilvl w:val="1"/>
          <w:numId w:val="1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3"/>
          <w:szCs w:val="13"/>
          <w:color w:val="auto"/>
        </w:rPr>
      </w:pPr>
    </w:p>
    <w:p>
      <w:pPr>
        <w:ind w:right="380" w:firstLine="450"/>
        <w:spacing w:after="0" w:line="276" w:lineRule="auto"/>
        <w:tabs>
          <w:tab w:leader="none" w:pos="591" w:val="left"/>
        </w:tabs>
        <w:numPr>
          <w:ilvl w:val="1"/>
          <w:numId w:val="1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600" w:hanging="150"/>
        <w:spacing w:after="0"/>
        <w:tabs>
          <w:tab w:leader="none" w:pos="6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w:t>
      </w:r>
    </w:p>
    <w:p>
      <w:pPr>
        <w:spacing w:after="0" w:line="1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13a-15(e) and 15d-15(e)) and internal control over financial reporting (as defined in Exchange Act Rules 13a-15(f) and 15d-15(f)) for the registrant and have:</w:t>
      </w:r>
    </w:p>
    <w:p>
      <w:pPr>
        <w:spacing w:after="0" w:line="154" w:lineRule="exact"/>
        <w:rPr>
          <w:rFonts w:ascii="Arial" w:cs="Arial" w:eastAsia="Arial" w:hAnsi="Arial"/>
          <w:sz w:val="13"/>
          <w:szCs w:val="13"/>
          <w:color w:val="auto"/>
        </w:rPr>
      </w:pPr>
    </w:p>
    <w:p>
      <w:pPr>
        <w:ind w:right="580" w:firstLine="738"/>
        <w:spacing w:after="0" w:line="263" w:lineRule="auto"/>
        <w:tabs>
          <w:tab w:leader="none" w:pos="886" w:val="left"/>
        </w:tabs>
        <w:numPr>
          <w:ilvl w:val="2"/>
          <w:numId w:val="1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3"/>
          <w:szCs w:val="13"/>
          <w:color w:val="auto"/>
        </w:rPr>
      </w:pPr>
    </w:p>
    <w:p>
      <w:pPr>
        <w:ind w:left="900" w:hanging="162"/>
        <w:spacing w:after="0"/>
        <w:tabs>
          <w:tab w:leader="none" w:pos="900" w:val="left"/>
        </w:tabs>
        <w:numPr>
          <w:ilvl w:val="2"/>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w:t>
      </w:r>
    </w:p>
    <w:p>
      <w:pPr>
        <w:spacing w:after="0" w:line="15" w:lineRule="exact"/>
        <w:rPr>
          <w:sz w:val="20"/>
          <w:szCs w:val="20"/>
          <w:color w:val="auto"/>
        </w:rPr>
      </w:pPr>
    </w:p>
    <w:p>
      <w:pPr>
        <w:ind w:right="700"/>
        <w:spacing w:after="0" w:line="263" w:lineRule="auto"/>
        <w:rPr>
          <w:sz w:val="20"/>
          <w:szCs w:val="20"/>
          <w:color w:val="auto"/>
        </w:rPr>
      </w:pPr>
      <w:r>
        <w:rPr>
          <w:rFonts w:ascii="Arial" w:cs="Arial" w:eastAsia="Arial" w:hAnsi="Arial"/>
          <w:sz w:val="13"/>
          <w:szCs w:val="13"/>
          <w:color w:val="auto"/>
        </w:rPr>
        <w:t>provide 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right="560" w:firstLine="714"/>
        <w:spacing w:after="0" w:line="276" w:lineRule="auto"/>
        <w:tabs>
          <w:tab w:leader="none" w:pos="855"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right="380" w:firstLine="726"/>
        <w:spacing w:after="0" w:line="263" w:lineRule="auto"/>
        <w:tabs>
          <w:tab w:leader="none" w:pos="874" w:val="left"/>
        </w:tabs>
        <w:numPr>
          <w:ilvl w:val="2"/>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3"/>
          <w:szCs w:val="13"/>
          <w:color w:val="auto"/>
        </w:rPr>
      </w:pPr>
    </w:p>
    <w:p>
      <w:pPr>
        <w:ind w:right="300" w:firstLine="450"/>
        <w:spacing w:after="0" w:line="276" w:lineRule="auto"/>
        <w:tabs>
          <w:tab w:leader="none" w:pos="591"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3"/>
          <w:szCs w:val="13"/>
          <w:color w:val="auto"/>
        </w:rPr>
      </w:pPr>
    </w:p>
    <w:p>
      <w:pPr>
        <w:ind w:right="380" w:firstLine="714"/>
        <w:spacing w:after="0" w:line="276" w:lineRule="auto"/>
        <w:tabs>
          <w:tab w:leader="none" w:pos="862"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3"/>
          <w:szCs w:val="13"/>
          <w:color w:val="auto"/>
        </w:rPr>
      </w:pPr>
    </w:p>
    <w:p>
      <w:pPr>
        <w:ind w:left="880" w:hanging="154"/>
        <w:spacing w:after="0"/>
        <w:tabs>
          <w:tab w:leader="none" w:pos="880" w:val="left"/>
        </w:tabs>
        <w:numPr>
          <w:ilvl w:val="2"/>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Dated: May 11, 2023</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Name:</w:t>
        <w:tab/>
        <w:t>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278130</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19"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3"/>
          <w:szCs w:val="13"/>
          <w:color w:val="auto"/>
        </w:rPr>
        <w:t>In connection with this Report on Form 10-Q for the three and six months ended March 31, 2023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8" w:lineRule="exact"/>
        <w:rPr>
          <w:sz w:val="20"/>
          <w:szCs w:val="20"/>
          <w:color w:val="auto"/>
        </w:rPr>
      </w:pPr>
    </w:p>
    <w:p>
      <w:pPr>
        <w:ind w:left="740" w:hanging="278"/>
        <w:spacing w:after="0"/>
        <w:tabs>
          <w:tab w:leader="none" w:pos="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26" w:lineRule="exact"/>
        <w:rPr>
          <w:rFonts w:ascii="Arial" w:cs="Arial" w:eastAsia="Arial" w:hAnsi="Arial"/>
          <w:sz w:val="13"/>
          <w:szCs w:val="13"/>
          <w:color w:val="auto"/>
        </w:rPr>
      </w:pPr>
    </w:p>
    <w:p>
      <w:pPr>
        <w:ind w:left="740" w:hanging="278"/>
        <w:spacing w:after="0"/>
        <w:tabs>
          <w:tab w:leader="none" w:pos="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Executive Officer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Date:</w:t>
        <w:tab/>
        <w:t>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278130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19" w:lineRule="exact"/>
        <w:rPr>
          <w:sz w:val="20"/>
          <w:szCs w:val="20"/>
          <w:color w:val="auto"/>
        </w:rPr>
      </w:pPr>
    </w:p>
    <w:p>
      <w:pPr>
        <w:jc w:val="both"/>
        <w:ind w:right="40" w:firstLine="456"/>
        <w:spacing w:after="0" w:line="263" w:lineRule="auto"/>
        <w:rPr>
          <w:sz w:val="20"/>
          <w:szCs w:val="20"/>
          <w:color w:val="auto"/>
        </w:rPr>
      </w:pPr>
      <w:r>
        <w:rPr>
          <w:rFonts w:ascii="Arial" w:cs="Arial" w:eastAsia="Arial" w:hAnsi="Arial"/>
          <w:sz w:val="13"/>
          <w:szCs w:val="13"/>
          <w:color w:val="auto"/>
        </w:rPr>
        <w:t>In connection with this Report on Form 10-Q for the three and six months ended March 31, 2023 (the “Report”) of PennantPark Investment Corporation (the “Registrant”), as filed with the Securities and Exchange Commission on the date hereof, I, Richard T. Allorto, Jr., Chief Financial Officer of the Registrant, hereby certify, to the best of my knowledge, that:</w:t>
      </w:r>
    </w:p>
    <w:p>
      <w:pPr>
        <w:spacing w:after="0" w:line="97" w:lineRule="exact"/>
        <w:rPr>
          <w:sz w:val="20"/>
          <w:szCs w:val="20"/>
          <w:color w:val="auto"/>
        </w:rPr>
      </w:pPr>
    </w:p>
    <w:p>
      <w:pPr>
        <w:ind w:left="740" w:hanging="278"/>
        <w:spacing w:after="0"/>
        <w:tabs>
          <w:tab w:leader="none" w:pos="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26" w:lineRule="exact"/>
        <w:rPr>
          <w:rFonts w:ascii="Arial" w:cs="Arial" w:eastAsia="Arial" w:hAnsi="Arial"/>
          <w:sz w:val="13"/>
          <w:szCs w:val="13"/>
          <w:color w:val="auto"/>
        </w:rPr>
      </w:pPr>
    </w:p>
    <w:p>
      <w:pPr>
        <w:ind w:left="740" w:hanging="278"/>
        <w:spacing w:after="0"/>
        <w:tabs>
          <w:tab w:leader="none" w:pos="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Name:</w:t>
        <w:tab/>
        <w:t>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Financial Officer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Date:</w:t>
        <w:tab/>
        <w:t>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278130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61" w:name="page62"/>
    <w:bookmarkEnd w:id="6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8"/>
    </w:lvl>
  </w:abstractNum>
  <w:abstractNum w:abstractNumId="3">
    <w:nsid w:val="140E0F76"/>
    <w:multiLevelType w:val="hybridMultilevel"/>
    <w:lvl w:ilvl="0">
      <w:lvlJc w:val="left"/>
      <w:lvlText w:val="%1."/>
      <w:numFmt w:val="decimal"/>
      <w:start w:val="3"/>
    </w:lvl>
    <w:lvl w:ilvl="1">
      <w:lvlJc w:val="left"/>
      <w:lvlText w:val="(%2)"/>
      <w:numFmt w:val="lowerLetter"/>
      <w:start w:val="1"/>
    </w:lvl>
  </w:abstractNum>
  <w:abstractNum w:abstractNumId="4">
    <w:nsid w:val="3352255A"/>
    <w:multiLevelType w:val="hybridMultilevel"/>
    <w:lvl w:ilvl="0">
      <w:lvlJc w:val="left"/>
      <w:lvlText w:val="%1"/>
      <w:numFmt w:val="upperLetter"/>
      <w:start w:val="35"/>
    </w:lvl>
  </w:abstractNum>
  <w:abstractNum w:abstractNumId="5">
    <w:nsid w:val="109CF92E"/>
    <w:multiLevelType w:val="hybridMultilevel"/>
    <w:lvl w:ilvl="0">
      <w:lvlJc w:val="left"/>
      <w:lvlText w:val="(%1)"/>
      <w:numFmt w:val="lowerLetter"/>
      <w:start w:val="3"/>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lvl w:ilvl="1">
      <w:lvlJc w:val="left"/>
      <w:lvlText w:val="%2."/>
      <w:numFmt w:val="decimal"/>
      <w:start w:val="2"/>
    </w:lvl>
  </w:abstractNum>
  <w:abstractNum w:abstractNumId="13">
    <w:nsid w:val="519B500D"/>
    <w:multiLevelType w:val="hybridMultilevel"/>
    <w:lvl w:ilvl="0">
      <w:lvlJc w:val="left"/>
      <w:lvlText w:val="%1."/>
      <w:numFmt w:val="decimal"/>
      <w:start w:val="4"/>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15">
    <w:nsid w:val="3F2DBA3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18">
    <w:nsid w:val="62BBD95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74" Type="http://schemas.openxmlformats.org/officeDocument/2006/relationships/hyperlink" Target="https://www.sec.gov/Archives/edgar/data/1383414/000119312507075646/dex99a.htm" TargetMode="External"/><Relationship Id="rId75" Type="http://schemas.openxmlformats.org/officeDocument/2006/relationships/hyperlink" Target="https://www.sec.gov/Archives/edgar/data/1383414/000156459020024172/pnnt-ex32_163.htm" TargetMode="External"/><Relationship Id="rId76" Type="http://schemas.openxmlformats.org/officeDocument/2006/relationships/hyperlink" Target="https://www.sec.gov/Archives/edgar/data/1383414/000119312508072557/dex99d1.htm" TargetMode="External"/><Relationship Id="rId77"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2023-05-11T06:47:36Z</dcterms:created>
  <dcterms:modified xsi:type="dcterms:W3CDTF">2023-05-11T06:47:36Z</dcterms:modified>
</cp:coreProperties>
</file>