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19"/>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6"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04"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94"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8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Date of Report: May 3, 2022</w:t>
      </w:r>
    </w:p>
    <w:p>
      <w:pPr>
        <w:spacing w:after="0" w:line="6"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24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98"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2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8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814-00736</w:t>
            </w:r>
          </w:p>
        </w:tc>
        <w:tc>
          <w:tcPr>
            <w:tcW w:w="21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20-8250744</w:t>
            </w:r>
          </w:p>
        </w:tc>
      </w:tr>
      <w:tr>
        <w:trPr>
          <w:trHeight w:val="189"/>
        </w:trPr>
        <w:tc>
          <w:tcPr>
            <w:tcW w:w="29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8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8"/>
              </w:rPr>
              <w:t>(Commission File</w:t>
            </w:r>
          </w:p>
        </w:tc>
        <w:tc>
          <w:tcPr>
            <w:tcW w:w="2120" w:type="dxa"/>
            <w:vAlign w:val="bottom"/>
          </w:tcPr>
          <w:p>
            <w:pPr>
              <w:jc w:val="center"/>
              <w:ind w:left="37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82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Number)</w:t>
            </w:r>
          </w:p>
        </w:tc>
        <w:tc>
          <w:tcPr>
            <w:tcW w:w="2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707"/>
        </w:trPr>
        <w:tc>
          <w:tcPr>
            <w:tcW w:w="29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1691 Michigan Avenue</w:t>
            </w:r>
          </w:p>
        </w:tc>
        <w:tc>
          <w:tcPr>
            <w:tcW w:w="1820" w:type="dxa"/>
            <w:vAlign w:val="bottom"/>
          </w:tcPr>
          <w:p>
            <w:pPr>
              <w:spacing w:after="0"/>
              <w:rPr>
                <w:sz w:val="24"/>
                <w:szCs w:val="24"/>
                <w:color w:val="auto"/>
              </w:rPr>
            </w:pPr>
          </w:p>
        </w:tc>
        <w:tc>
          <w:tcPr>
            <w:tcW w:w="2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33319</w:t>
            </w:r>
          </w:p>
        </w:tc>
      </w:tr>
      <w:tr>
        <w:trPr>
          <w:trHeight w:val="193"/>
        </w:trPr>
        <w:tc>
          <w:tcPr>
            <w:tcW w:w="2920" w:type="dxa"/>
            <w:vAlign w:val="bottom"/>
          </w:tcPr>
          <w:p>
            <w:pPr>
              <w:jc w:val="center"/>
              <w:ind w:right="30"/>
              <w:spacing w:after="0" w:line="193" w:lineRule="exact"/>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1820" w:type="dxa"/>
            <w:vAlign w:val="bottom"/>
          </w:tcPr>
          <w:p>
            <w:pPr>
              <w:spacing w:after="0"/>
              <w:rPr>
                <w:sz w:val="16"/>
                <w:szCs w:val="16"/>
                <w:color w:val="auto"/>
              </w:rPr>
            </w:pPr>
          </w:p>
        </w:tc>
        <w:tc>
          <w:tcPr>
            <w:tcW w:w="2120" w:type="dxa"/>
            <w:vAlign w:val="bottom"/>
          </w:tcPr>
          <w:p>
            <w:pPr>
              <w:jc w:val="center"/>
              <w:ind w:left="370"/>
              <w:spacing w:after="0" w:line="193" w:lineRule="exact"/>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20" w:type="dxa"/>
            <w:vAlign w:val="bottom"/>
          </w:tcPr>
          <w:p>
            <w:pPr>
              <w:spacing w:after="0"/>
              <w:rPr>
                <w:sz w:val="20"/>
                <w:szCs w:val="20"/>
                <w:color w:val="auto"/>
              </w:rPr>
            </w:pPr>
          </w:p>
        </w:tc>
        <w:tc>
          <w:tcPr>
            <w:tcW w:w="2120" w:type="dxa"/>
            <w:vAlign w:val="bottom"/>
          </w:tcPr>
          <w:p>
            <w:pPr>
              <w:spacing w:after="0"/>
              <w:rPr>
                <w:sz w:val="20"/>
                <w:szCs w:val="20"/>
                <w:color w:val="auto"/>
              </w:rPr>
            </w:pPr>
          </w:p>
        </w:tc>
      </w:tr>
    </w:tbl>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2" w:lineRule="exact"/>
        <w:rPr>
          <w:sz w:val="24"/>
          <w:szCs w:val="24"/>
          <w:color w:val="auto"/>
        </w:rPr>
      </w:pPr>
    </w:p>
    <w:p>
      <w:pPr>
        <w:ind w:right="680"/>
        <w:spacing w:after="0" w:line="25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590" w:right="339" w:bottom="1440" w:gutter="0" w:footer="0" w:header="0"/>
        </w:sectPr>
      </w:pPr>
    </w:p>
    <w:p>
      <w:pPr>
        <w:spacing w:after="0" w:line="188"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00" w:space="720"/>
            <w:col w:w="1780" w:space="720"/>
            <w:col w:w="3920"/>
          </w:cols>
          <w:pgMar w:left="320" w:top="590"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PNNT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The New York Stock Exchange</w:t>
      </w:r>
    </w:p>
    <w:p>
      <w:pPr>
        <w:spacing w:after="0" w:line="211" w:lineRule="exact"/>
        <w:rPr>
          <w:sz w:val="24"/>
          <w:szCs w:val="24"/>
          <w:color w:val="auto"/>
        </w:rPr>
      </w:pPr>
    </w:p>
    <w:p>
      <w:pPr>
        <w:sectPr>
          <w:pgSz w:w="11900" w:h="16838" w:orient="portrait"/>
          <w:cols w:equalWidth="0" w:num="3">
            <w:col w:w="4580" w:space="720"/>
            <w:col w:w="1940" w:space="720"/>
            <w:col w:w="3280"/>
          </w:cols>
          <w:pgMar w:left="320" w:top="590" w:right="339" w:bottom="1440" w:gutter="0" w:footer="0" w:header="0"/>
          <w:type w:val="continuous"/>
        </w:sectPr>
      </w:pPr>
    </w:p>
    <w:p>
      <w:pPr>
        <w:spacing w:after="0" w:line="209"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o</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8" w:lineRule="exact"/>
        <w:rPr>
          <w:sz w:val="24"/>
          <w:szCs w:val="24"/>
          <w:color w:val="auto"/>
        </w:rPr>
      </w:pPr>
    </w:p>
    <w:p>
      <w:pPr>
        <w:ind w:right="80"/>
        <w:spacing w:after="0" w:line="271" w:lineRule="auto"/>
        <w:rPr>
          <w:sz w:val="20"/>
          <w:szCs w:val="20"/>
          <w:color w:val="auto"/>
        </w:rPr>
      </w:pPr>
      <w:r>
        <w:rPr>
          <w:rFonts w:ascii="Times New Roman" w:cs="Times New Roman" w:eastAsia="Times New Roman" w:hAnsi="Times New Roman"/>
          <w:sz w:val="18"/>
          <w:szCs w:val="18"/>
          <w:b w:val="1"/>
          <w:bCs w:val="1"/>
          <w:color w:val="auto"/>
        </w:rPr>
        <w:t>Item 5.02 - Departure of Directors or Principal Officers; Election of Directors; Appointment of Certain Officers; Compensatory Arrangements of Certain Officers.</w:t>
      </w:r>
    </w:p>
    <w:p>
      <w:pPr>
        <w:spacing w:after="0" w:line="158"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3, 2022, the Board of Directors (the “Board”) of PennantPark Investment Corporation, (the “Company”) increased the size of the Board from five to six members and, on the recommendation of the Nominating and Governance Committee of the Board, appointed José Briones as an interested director to fill the vacancy created by such increase, effective immediately. Mr. Briones will serve as 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Class III director with a term expiring at the Company's Annual Meeting of Stockholders in 2025. The Company announced the appointment of Mr.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Briones in its May 6, 2022 press release. A copy of that press release is being filed with this Form 8-K as Exhibit 99.1.</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Briones was nominated by the Company's Nominating and Corporate Governance Committee after a thorough review of Mr. Briones’ background, relevant experience and professional and personal reputations. Mr. Briones is a Senior Partner at PennantPark Investment Advisers, LLC, the Company’s investment adviser (the “Adviser”). He joined the Adviser in December 2009, and oversees originating, underwriting, executing and monitoring investments for the Company. He is also responsible for various strategic initiatives.</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Mr. Briones has not been elected to serve as a member of the Board pursuant to any agreement or understanding with the Company or any other person, and there are no related party transactions with regard to Ms. Briones that are reportable under Item 404(a) of Regulation S-K. Mr. Briones. will not receive director fees.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5.05. Amendments to the Registrant’s Code of Ethics, or Waiver of a Provision of the Code of Ethics.</w:t>
      </w:r>
    </w:p>
    <w:p>
      <w:pPr>
        <w:spacing w:after="0" w:line="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3, 2022, the Board adopted an amended Joint Code of Ethics (as amended, the “Code”) applicable to, among others, the Company and the Adviser. The Code was amended to, among others, extend the Trading Window (as defined in the Code), in the case of the Company’s and the Adviser’s decision to buy or sell the Company’s equity securities, from no later than 30 days after the release of financial results for a fiscal quarter to no later than the end of the quarter during which such financial results have been publicly released.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amendments reflected in the Code did not relate to or result in any waiver, explicit or implicit, of any provision of the previous Joint Code of Ethics.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foregoing description of the amendments reflected in the Code is not complete and is qualified in its entirety by reference to the full text of the Code, a copy of which is attached hereto as Exhibit 14.1 and is incorporated by reference into this Item 5.05. A copy of the Code is also publicly available in the governance documents section of the Company’s website at: </w:t>
      </w:r>
      <w:r>
        <w:rPr>
          <w:rFonts w:ascii="Times New Roman" w:cs="Times New Roman" w:eastAsia="Times New Roman" w:hAnsi="Times New Roman"/>
          <w:sz w:val="18"/>
          <w:szCs w:val="18"/>
          <w:i w:val="1"/>
          <w:iCs w:val="1"/>
          <w:u w:val="single" w:color="auto"/>
          <w:color w:val="auto"/>
        </w:rPr>
        <w:t>https://pnnt.pennantpark.com</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2" w:lineRule="exact"/>
        <w:rPr>
          <w:sz w:val="20"/>
          <w:szCs w:val="20"/>
          <w:color w:val="auto"/>
        </w:rPr>
      </w:pPr>
    </w:p>
    <w:p>
      <w:pPr>
        <w:ind w:left="600" w:right="9260" w:hanging="511"/>
        <w:spacing w:after="0" w:line="255" w:lineRule="auto"/>
        <w:tabs>
          <w:tab w:leader="none" w:pos="351"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600" w:right="8400" w:hanging="547"/>
        <w:spacing w:after="0" w:line="235" w:lineRule="auto"/>
        <w:tabs>
          <w:tab w:leader="none" w:pos="32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760" w:right="8780" w:hanging="707"/>
        <w:spacing w:after="0" w:line="241" w:lineRule="auto"/>
        <w:tabs>
          <w:tab w:leader="none" w:pos="301"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320" w:hanging="267"/>
        <w:spacing w:after="0" w:line="236" w:lineRule="auto"/>
        <w:tabs>
          <w:tab w:leader="none" w:pos="3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ind w:left="460"/>
        <w:spacing w:after="0" w:line="235" w:lineRule="auto"/>
        <w:tabs>
          <w:tab w:leader="none" w:pos="102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u w:val="single" w:color="auto"/>
          <w:color w:val="0000FF"/>
        </w:rPr>
        <w:t>Joint Code of Ethics of PennantPark Investment Corporation</w:t>
      </w: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PennantPark Investment Corporation dated May 6, 2022</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ind w:right="80" w:firstLine="27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45"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7"/>
          <w:szCs w:val="17"/>
          <w:b w:val="1"/>
          <w:bCs w:val="1"/>
          <w:color w:val="auto"/>
        </w:rPr>
        <w:t>PENNANTPARK INVESTMENT CORPORATION</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Cheung</w:t>
      </w:r>
    </w:p>
    <w:p>
      <w:pPr>
        <w:ind w:left="5900"/>
        <w:spacing w:after="0" w:line="221" w:lineRule="auto"/>
        <w:rPr>
          <w:sz w:val="20"/>
          <w:szCs w:val="20"/>
          <w:color w:val="auto"/>
        </w:rPr>
      </w:pPr>
      <w:r>
        <w:rPr>
          <w:rFonts w:ascii="Times New Roman" w:cs="Times New Roman" w:eastAsia="Times New Roman" w:hAnsi="Times New Roman"/>
          <w:sz w:val="18"/>
          <w:szCs w:val="18"/>
          <w:color w:val="auto"/>
        </w:rPr>
        <w:t>Richard Cheung</w:t>
      </w:r>
    </w:p>
    <w:p>
      <w:pPr>
        <w:ind w:left="600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14.1</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JOINT CODE OF ETHICS</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FOR</w:t>
      </w:r>
    </w:p>
    <w:p>
      <w:pPr>
        <w:jc w:val="center"/>
        <w:ind w:right="60"/>
        <w:spacing w:after="0" w:line="233" w:lineRule="auto"/>
        <w:rPr>
          <w:sz w:val="20"/>
          <w:szCs w:val="20"/>
          <w:color w:val="auto"/>
        </w:rPr>
      </w:pPr>
      <w:r>
        <w:rPr>
          <w:rFonts w:ascii="Times New Roman" w:cs="Times New Roman" w:eastAsia="Times New Roman" w:hAnsi="Times New Roman"/>
          <w:sz w:val="22"/>
          <w:szCs w:val="22"/>
          <w:b w:val="1"/>
          <w:bCs w:val="1"/>
          <w:color w:val="auto"/>
        </w:rPr>
        <w:t>PENNANTPARK INVESTMENT CORPORATION</w:t>
      </w:r>
    </w:p>
    <w:p>
      <w:pPr>
        <w:jc w:val="center"/>
        <w:ind w:right="60"/>
        <w:spacing w:after="0" w:line="231" w:lineRule="auto"/>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INVESTMENT ADVISERS, LLC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IStatement of General Fiduciary Principles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under the Act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73"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All Covered Personnel must read and retain this Code.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ind w:left="478" w:hanging="478"/>
        <w:spacing w:after="0" w:line="259" w:lineRule="auto"/>
        <w:tabs>
          <w:tab w:leader="none" w:pos="4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“Access Person” means any director, officer, general partner or Advisory Person (as defined below) of the Corporations or the Adviser.</w:t>
      </w:r>
    </w:p>
    <w:p>
      <w:pPr>
        <w:spacing w:after="0" w:line="62" w:lineRule="exact"/>
        <w:rPr>
          <w:rFonts w:ascii="Times New Roman" w:cs="Times New Roman" w:eastAsia="Times New Roman" w:hAnsi="Times New Roman"/>
          <w:sz w:val="22"/>
          <w:szCs w:val="22"/>
          <w:color w:val="auto"/>
        </w:rPr>
      </w:pPr>
    </w:p>
    <w:p>
      <w:pPr>
        <w:jc w:val="both"/>
        <w:ind w:left="478" w:hanging="478"/>
        <w:spacing w:after="0" w:line="239" w:lineRule="auto"/>
        <w:tabs>
          <w:tab w:leader="none" w:pos="4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86" w:lineRule="exact"/>
        <w:rPr>
          <w:rFonts w:ascii="Times New Roman" w:cs="Times New Roman" w:eastAsia="Times New Roman" w:hAnsi="Times New Roman"/>
          <w:sz w:val="22"/>
          <w:szCs w:val="22"/>
          <w:color w:val="auto"/>
        </w:rPr>
      </w:pPr>
    </w:p>
    <w:p>
      <w:pPr>
        <w:jc w:val="both"/>
        <w:ind w:left="478" w:hanging="478"/>
        <w:spacing w:after="0" w:line="244" w:lineRule="auto"/>
        <w:tabs>
          <w:tab w:leader="none" w:pos="4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78" w:lineRule="exact"/>
        <w:rPr>
          <w:rFonts w:ascii="Times New Roman" w:cs="Times New Roman" w:eastAsia="Times New Roman" w:hAnsi="Times New Roman"/>
          <w:sz w:val="22"/>
          <w:szCs w:val="22"/>
          <w:color w:val="auto"/>
        </w:rPr>
      </w:pPr>
    </w:p>
    <w:p>
      <w:pPr>
        <w:ind w:left="478" w:hanging="478"/>
        <w:spacing w:after="0" w:line="258" w:lineRule="auto"/>
        <w:tabs>
          <w:tab w:leader="none" w:pos="4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“Chief Compliance Officer” means the Chief Compliance Officer of the Corporation (who also may serve as the compliance officer of the Adviser and/or one or more affiliates of the Adviser).</w:t>
      </w:r>
    </w:p>
    <w:p>
      <w:pPr>
        <w:spacing w:after="0" w:line="50" w:lineRule="exact"/>
        <w:rPr>
          <w:rFonts w:ascii="Times New Roman" w:cs="Times New Roman" w:eastAsia="Times New Roman" w:hAnsi="Times New Roman"/>
          <w:sz w:val="22"/>
          <w:szCs w:val="22"/>
          <w:color w:val="auto"/>
        </w:rPr>
      </w:pPr>
    </w:p>
    <w:p>
      <w:pPr>
        <w:ind w:left="478" w:hanging="478"/>
        <w:spacing w:after="0"/>
        <w:tabs>
          <w:tab w:leader="none" w:pos="478"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“Control” shall have the same meaning as that set forth in Section 2(a)(9) of the Act.</w:t>
      </w:r>
    </w:p>
    <w:p>
      <w:pPr>
        <w:spacing w:after="0" w:line="111" w:lineRule="exact"/>
        <w:rPr>
          <w:rFonts w:ascii="Times New Roman" w:cs="Times New Roman" w:eastAsia="Times New Roman" w:hAnsi="Times New Roman"/>
          <w:sz w:val="22"/>
          <w:szCs w:val="22"/>
          <w:color w:val="auto"/>
        </w:rPr>
      </w:pPr>
    </w:p>
    <w:p>
      <w:pPr>
        <w:jc w:val="both"/>
        <w:ind w:left="478" w:hanging="478"/>
        <w:spacing w:after="0" w:line="248" w:lineRule="auto"/>
        <w:tabs>
          <w:tab w:leader="none" w:pos="47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However, a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54610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12" w:right="339" w:bottom="1440" w:gutter="0" w:footer="0" w:header="0"/>
        </w:sectPr>
      </w:pPr>
    </w:p>
    <w:bookmarkStart w:id="4" w:name="page5"/>
    <w:bookmarkEnd w:id="4"/>
    <w:p>
      <w:pPr>
        <w:ind w:left="860"/>
        <w:spacing w:after="0"/>
        <w:rPr>
          <w:sz w:val="20"/>
          <w:szCs w:val="20"/>
          <w:color w:val="auto"/>
        </w:rPr>
      </w:pPr>
      <w:r>
        <w:rPr>
          <w:rFonts w:ascii="Times New Roman" w:cs="Times New Roman" w:eastAsia="Times New Roman" w:hAnsi="Times New Roman"/>
          <w:sz w:val="22"/>
          <w:szCs w:val="22"/>
          <w:color w:val="auto"/>
        </w:rPr>
        <w:t>Derivative shall also be applicable to the purchase or sale of a Covered Security relating to that Derivative.</w:t>
      </w:r>
    </w:p>
    <w:p>
      <w:pPr>
        <w:spacing w:after="0" w:line="99" w:lineRule="exact"/>
        <w:rPr>
          <w:sz w:val="20"/>
          <w:szCs w:val="20"/>
          <w:color w:val="auto"/>
        </w:rPr>
      </w:pPr>
    </w:p>
    <w:p>
      <w:pPr>
        <w:ind w:left="860" w:hanging="478"/>
        <w:spacing w:after="0" w:line="271" w:lineRule="auto"/>
        <w:tabs>
          <w:tab w:leader="none" w:pos="8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 means a director of the Corporation who is not an “interested person” of the Corporation within the meaning of Section 2(a)(19) of the Act.</w:t>
      </w:r>
    </w:p>
    <w:p>
      <w:pPr>
        <w:spacing w:after="0" w:line="36" w:lineRule="exact"/>
        <w:rPr>
          <w:rFonts w:ascii="Times New Roman" w:cs="Times New Roman" w:eastAsia="Times New Roman" w:hAnsi="Times New Roman"/>
          <w:sz w:val="22"/>
          <w:szCs w:val="22"/>
          <w:color w:val="auto"/>
        </w:rPr>
      </w:pPr>
    </w:p>
    <w:p>
      <w:pPr>
        <w:jc w:val="both"/>
        <w:ind w:left="860" w:hanging="478"/>
        <w:spacing w:after="0" w:line="250" w:lineRule="auto"/>
        <w:tabs>
          <w:tab w:leader="none" w:pos="8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Public Offering” means an offering of securities registered under the Securities Act of 1933, as amended (the “1933 Act”), the issuer of which, immediately before the registration, was not subject to the reporting requirements of Sections 13 or 15(d) of the 1934 Act.</w:t>
      </w:r>
    </w:p>
    <w:p>
      <w:pPr>
        <w:spacing w:after="0" w:line="59"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“Limited Offering” means an offering that is exempt from registration under the 1933 Act pursuant to Section 4(2) or Section 4(6) thereof or pursuant to Rule 504, Rule 505, or Rule 506 thereunder.</w:t>
      </w:r>
    </w:p>
    <w:p>
      <w:pPr>
        <w:spacing w:after="0" w:line="36" w:lineRule="exact"/>
        <w:rPr>
          <w:rFonts w:ascii="Times New Roman" w:cs="Times New Roman" w:eastAsia="Times New Roman" w:hAnsi="Times New Roman"/>
          <w:sz w:val="22"/>
          <w:szCs w:val="22"/>
          <w:color w:val="auto"/>
        </w:rPr>
      </w:pPr>
    </w:p>
    <w:p>
      <w:pPr>
        <w:ind w:left="860" w:hanging="478"/>
        <w:spacing w:after="0" w:line="271" w:lineRule="auto"/>
        <w:tabs>
          <w:tab w:leader="none" w:pos="8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“Restricted List” means the “Pipeline” report of potential investments combined with the current holdings of the clients. PennantPark Access Persons are restricted from trading any security on the Restricted List.</w:t>
      </w:r>
    </w:p>
    <w:p>
      <w:pPr>
        <w:spacing w:after="0" w:line="36"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“Security Held or to be Acquired” by the Corporation means: (i) any Covered Security which, within the most recent 15</w:t>
      </w:r>
    </w:p>
    <w:p>
      <w:pPr>
        <w:spacing w:after="0" w:line="25" w:lineRule="exact"/>
        <w:rPr>
          <w:rFonts w:ascii="Times New Roman" w:cs="Times New Roman" w:eastAsia="Times New Roman" w:hAnsi="Times New Roman"/>
          <w:sz w:val="21"/>
          <w:szCs w:val="21"/>
          <w:color w:val="auto"/>
        </w:rPr>
      </w:pPr>
    </w:p>
    <w:p>
      <w:pPr>
        <w:jc w:val="both"/>
        <w:ind w:left="860"/>
        <w:spacing w:after="0" w:line="23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(K)(i) of this Code.</w:t>
      </w:r>
    </w:p>
    <w:p>
      <w:pPr>
        <w:spacing w:after="0" w:line="70" w:lineRule="exact"/>
        <w:rPr>
          <w:rFonts w:ascii="Times New Roman" w:cs="Times New Roman" w:eastAsia="Times New Roman" w:hAnsi="Times New Roman"/>
          <w:sz w:val="21"/>
          <w:szCs w:val="21"/>
          <w:color w:val="auto"/>
        </w:rPr>
      </w:pPr>
    </w:p>
    <w:p>
      <w:pPr>
        <w:ind w:left="860" w:hanging="478"/>
        <w:spacing w:after="0"/>
        <w:tabs>
          <w:tab w:leader="none" w:pos="8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“17j-1 Organization” means the Corporation or the Adviser, as the context requires.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IIIObjective and General Prohibitions</w:t>
      </w:r>
    </w:p>
    <w:p>
      <w:pPr>
        <w:spacing w:after="0" w:line="1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6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69" w:lineRule="exact"/>
        <w:rPr>
          <w:sz w:val="20"/>
          <w:szCs w:val="20"/>
          <w:color w:val="auto"/>
        </w:rPr>
      </w:pPr>
    </w:p>
    <w:p>
      <w:pPr>
        <w:ind w:left="1140" w:hanging="383"/>
        <w:spacing w:after="0"/>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 any device, scheme or artifice to defraud the Corporation;</w:t>
      </w:r>
    </w:p>
    <w:p>
      <w:pPr>
        <w:spacing w:after="0" w:line="111" w:lineRule="exact"/>
        <w:rPr>
          <w:rFonts w:ascii="Times New Roman" w:cs="Times New Roman" w:eastAsia="Times New Roman" w:hAnsi="Times New Roman"/>
          <w:sz w:val="22"/>
          <w:szCs w:val="22"/>
          <w:color w:val="auto"/>
        </w:rPr>
      </w:pPr>
    </w:p>
    <w:p>
      <w:pPr>
        <w:jc w:val="both"/>
        <w:ind w:left="1140" w:hanging="383"/>
        <w:spacing w:after="0" w:line="244" w:lineRule="auto"/>
        <w:tabs>
          <w:tab w:leader="none" w:pos="11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78" w:lineRule="exact"/>
        <w:rPr>
          <w:rFonts w:ascii="Times New Roman" w:cs="Times New Roman" w:eastAsia="Times New Roman" w:hAnsi="Times New Roman"/>
          <w:sz w:val="22"/>
          <w:szCs w:val="22"/>
          <w:color w:val="auto"/>
        </w:rPr>
      </w:pPr>
    </w:p>
    <w:p>
      <w:pPr>
        <w:ind w:left="1320" w:right="580" w:hanging="563"/>
        <w:spacing w:after="0" w:line="258" w:lineRule="auto"/>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act, practice or course of business that operates or would operate as a fraud or deceit upon the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1320" w:hanging="563"/>
        <w:spacing w:after="0"/>
        <w:tabs>
          <w:tab w:leader="none" w:pos="1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any manipulative practice with respect to the Corporation.</w:t>
      </w:r>
    </w:p>
    <w:p>
      <w:pPr>
        <w:spacing w:after="0" w:line="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Covered Personnel should also recognize that a violation of this Code or of Rule 17j-1 may result in the imposition of:</w:t>
      </w:r>
    </w:p>
    <w:p>
      <w:pPr>
        <w:spacing w:after="0" w:line="28" w:lineRule="exact"/>
        <w:rPr>
          <w:sz w:val="20"/>
          <w:szCs w:val="20"/>
          <w:color w:val="auto"/>
        </w:rPr>
      </w:pPr>
    </w:p>
    <w:p>
      <w:pPr>
        <w:ind w:firstLine="8"/>
        <w:spacing w:after="0" w:line="237" w:lineRule="auto"/>
        <w:tabs>
          <w:tab w:leader="none" w:pos="31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sanctions as provided by Section VIII of this Code; or (2) administrative, civil and, in certain cases, criminal fines, sanctions or penalties.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IVPre-Clearance of Personal Account Transactions; Window Period to Trade PennantPark shares</w:t>
      </w:r>
    </w:p>
    <w:p>
      <w:pPr>
        <w:spacing w:after="0" w:line="10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 and a statement that the Access Person has reviewed the Pipeline Report for any conflicts.</w:t>
      </w:r>
    </w:p>
    <w:p>
      <w:pPr>
        <w:spacing w:after="0" w:line="86" w:lineRule="exact"/>
        <w:rPr>
          <w:sz w:val="20"/>
          <w:szCs w:val="20"/>
          <w:color w:val="auto"/>
        </w:rPr>
      </w:pPr>
    </w:p>
    <w:p>
      <w:pPr>
        <w:ind w:left="760" w:right="1320"/>
        <w:spacing w:after="0" w:line="332" w:lineRule="auto"/>
        <w:rPr>
          <w:sz w:val="20"/>
          <w:szCs w:val="20"/>
          <w:color w:val="auto"/>
        </w:rPr>
      </w:pPr>
      <w:r>
        <w:rPr>
          <w:rFonts w:ascii="Times New Roman" w:cs="Times New Roman" w:eastAsia="Times New Roman" w:hAnsi="Times New Roman"/>
          <w:sz w:val="22"/>
          <w:szCs w:val="22"/>
          <w:color w:val="auto"/>
        </w:rPr>
        <w:t xml:space="preserve">Any approval given under this paragraph will be provided by email and will remain in effect for 72 hours. </w:t>
      </w:r>
      <w:r>
        <w:rPr>
          <w:rFonts w:ascii="Times New Roman" w:cs="Times New Roman" w:eastAsia="Times New Roman" w:hAnsi="Times New Roman"/>
          <w:sz w:val="22"/>
          <w:szCs w:val="22"/>
          <w:u w:val="single" w:color="auto"/>
          <w:color w:val="auto"/>
        </w:rPr>
        <w:t>Exceptions to the Pre-Clearance Requirement Policy,</w:t>
      </w:r>
    </w:p>
    <w:p>
      <w:pPr>
        <w:spacing w:after="0" w:line="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 (ii) in the case of either Corporation’s and the Adviser’s decision to buy or sell the applicable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about the Corporation, including any decision by the Corporation to buy or sell its own shares. Further, the window period may not open in a particular quarter, and it may be closed, as the case may be, prior to the expiration of 30 days or the applicable quarter end, in each case as events require.</w:t>
      </w:r>
    </w:p>
    <w:p>
      <w:pPr>
        <w:spacing w:after="0" w:line="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Additionally, Independent Directors are not required to seek preapproval for any transactions other than those which would trigger reporting requirements as set forth in Section VI (C) of this Code.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VProhibited Transactions</w:t>
      </w:r>
    </w:p>
    <w:p>
      <w:pPr>
        <w:spacing w:after="0" w:line="102" w:lineRule="exact"/>
        <w:rPr>
          <w:sz w:val="20"/>
          <w:szCs w:val="20"/>
          <w:color w:val="auto"/>
        </w:rPr>
      </w:pPr>
    </w:p>
    <w:p>
      <w:pPr>
        <w:jc w:val="both"/>
        <w:ind w:left="860" w:hanging="478"/>
        <w:spacing w:after="0" w:line="248" w:lineRule="auto"/>
        <w:tabs>
          <w:tab w:leader="none" w:pos="8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left="860"/>
        <w:spacing w:after="0" w:line="244" w:lineRule="auto"/>
        <w:rPr>
          <w:sz w:val="20"/>
          <w:szCs w:val="20"/>
          <w:color w:val="auto"/>
        </w:rPr>
      </w:pPr>
      <w:r>
        <w:rPr>
          <w:rFonts w:ascii="Times New Roman" w:cs="Times New Roman" w:eastAsia="Times New Roman" w:hAnsi="Times New Roman"/>
          <w:sz w:val="22"/>
          <w:szCs w:val="22"/>
          <w:color w:val="auto"/>
        </w:rPr>
        <w:t>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79" w:lineRule="exact"/>
        <w:rPr>
          <w:sz w:val="20"/>
          <w:szCs w:val="20"/>
          <w:color w:val="auto"/>
        </w:rPr>
      </w:pPr>
    </w:p>
    <w:p>
      <w:pPr>
        <w:jc w:val="both"/>
        <w:ind w:left="860" w:hanging="478"/>
        <w:spacing w:after="0" w:line="244" w:lineRule="auto"/>
        <w:tabs>
          <w:tab w:leader="none" w:pos="8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64" w:lineRule="exact"/>
        <w:rPr>
          <w:rFonts w:ascii="Times New Roman" w:cs="Times New Roman" w:eastAsia="Times New Roman" w:hAnsi="Times New Roman"/>
          <w:sz w:val="22"/>
          <w:szCs w:val="22"/>
          <w:color w:val="auto"/>
        </w:rPr>
      </w:pPr>
    </w:p>
    <w:p>
      <w:pPr>
        <w:jc w:val="both"/>
        <w:ind w:left="860" w:hanging="478"/>
        <w:spacing w:after="0" w:line="241" w:lineRule="auto"/>
        <w:tabs>
          <w:tab w:leader="none" w:pos="8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VIReports by Access Persons</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Personal Securities Holdings Reports.</w:t>
      </w:r>
    </w:p>
    <w:p>
      <w:pPr>
        <w:spacing w:after="0" w:line="1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hereto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86"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Quarterly Transaction Reports.</w:t>
      </w:r>
    </w:p>
    <w:p>
      <w:pPr>
        <w:spacing w:after="0" w:line="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hereto as Schedule B.</w:t>
      </w:r>
    </w:p>
    <w:p>
      <w:pPr>
        <w:spacing w:after="0" w:line="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1140" w:hanging="383"/>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 and nature of the transaction (purchase, sale or any other type of acquisition or disposition);</w:t>
      </w:r>
    </w:p>
    <w:p>
      <w:pPr>
        <w:spacing w:after="0" w:line="98"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interest rate and maturity date (if applicable), number of shares and principal amount of each Covered Security involved and the price of the Covered Security at which the transaction was effected;</w:t>
      </w:r>
    </w:p>
    <w:p>
      <w:pPr>
        <w:spacing w:after="0" w:line="36"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the broker, dealer or bank with or through whom the transaction was effected; and</w:t>
      </w:r>
    </w:p>
    <w:p>
      <w:pPr>
        <w:spacing w:after="0" w:line="111"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the report is submitted by the Access Person.</w:t>
      </w:r>
    </w:p>
    <w:p>
      <w:pPr>
        <w:spacing w:after="0" w:line="200" w:lineRule="exact"/>
        <w:rPr>
          <w:rFonts w:ascii="Times New Roman" w:cs="Times New Roman" w:eastAsia="Times New Roman" w:hAnsi="Times New Roman"/>
          <w:sz w:val="22"/>
          <w:szCs w:val="22"/>
          <w:color w:val="auto"/>
        </w:rPr>
      </w:pPr>
    </w:p>
    <w:p>
      <w:pPr>
        <w:spacing w:after="0" w:line="249"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Independent Directors.</w:t>
      </w:r>
    </w:p>
    <w:p>
      <w:pPr>
        <w:spacing w:after="0" w:line="112"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61"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1"/>
          <w:szCs w:val="21"/>
          <w:color w:val="auto"/>
        </w:rPr>
        <w:t>Access Persons of the Adviser.</w:t>
      </w:r>
    </w:p>
    <w:p>
      <w:pPr>
        <w:spacing w:after="0" w:line="1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An Access Person of the Adviser need not make a Quarterly Transaction Report if all of the information in the report would duplicate information required to be recorded pursuant to Rules 204-2(a)(12) or (13) under the Advisers Act.</w:t>
      </w:r>
    </w:p>
    <w:p>
      <w:pPr>
        <w:spacing w:after="0" w:line="64"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1"/>
          <w:szCs w:val="21"/>
          <w:color w:val="auto"/>
        </w:rPr>
        <w:t>Brokerage Accounts and Statements.</w:t>
      </w:r>
    </w:p>
    <w:p>
      <w:pPr>
        <w:spacing w:after="0" w:line="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Access Persons, except Independent Directors, shall:</w:t>
      </w:r>
    </w:p>
    <w:p>
      <w:pPr>
        <w:spacing w:after="0" w:line="98" w:lineRule="exact"/>
        <w:rPr>
          <w:sz w:val="20"/>
          <w:szCs w:val="20"/>
          <w:color w:val="auto"/>
        </w:rPr>
      </w:pPr>
    </w:p>
    <w:p>
      <w:pPr>
        <w:jc w:val="both"/>
        <w:ind w:left="1140" w:hanging="383"/>
        <w:spacing w:after="0" w:line="248" w:lineRule="auto"/>
        <w:tabs>
          <w:tab w:leader="none" w:pos="11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6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instruct the brokers, dealers or banks with whom they maintain such an account to provide duplicate account statements to the Chief Compliance Officer.</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certify that they have complied with the requirements of (1) and (2) above.</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of Reports.</w:t>
      </w:r>
    </w:p>
    <w:p>
      <w:pPr>
        <w:spacing w:after="0" w:line="11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A Quarterly Securities Transaction Report may consist of broker statements or other statements that provide a list of all personal Covered Securities holdings and transactions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time period covered by the report and contain the information required in a Quarterly Securities Transaction Report.</w:t>
      </w:r>
    </w:p>
    <w:p>
      <w:pPr>
        <w:spacing w:after="0" w:line="99"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1"/>
          <w:szCs w:val="21"/>
          <w:color w:val="auto"/>
        </w:rPr>
        <w:t>Responsibility to Report.</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It is the responsibility of each Access Person to take the initiative to comply with the requirements of this Section VI.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1"/>
          <w:szCs w:val="21"/>
          <w:color w:val="auto"/>
        </w:rPr>
        <w:t>Where to File Reports.</w:t>
      </w:r>
    </w:p>
    <w:p>
      <w:pPr>
        <w:spacing w:after="0" w:line="1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Quarterly Securities Transaction Reports and Personal Securities Holdings Reports must be filed with the Chief Compliance Officer.</w:t>
      </w:r>
    </w:p>
    <w:p>
      <w:pPr>
        <w:spacing w:after="0" w:line="64" w:lineRule="exact"/>
        <w:rPr>
          <w:sz w:val="20"/>
          <w:szCs w:val="20"/>
          <w:color w:val="auto"/>
        </w:rPr>
      </w:pPr>
    </w:p>
    <w:p>
      <w:pPr>
        <w:ind w:left="860" w:hanging="478"/>
        <w:spacing w:after="0"/>
        <w:tabs>
          <w:tab w:leader="none" w:pos="8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Disclaimers.</w:t>
      </w:r>
    </w:p>
    <w:p>
      <w:pPr>
        <w:spacing w:after="0" w:line="9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1"/>
          <w:szCs w:val="21"/>
          <w:color w:val="auto"/>
        </w:rPr>
        <w:t>Any report required by this Section VI may contain a statement that the report will not be construed as an admission that the person making the report has any direct or indirect Beneficial Ownership in the Covered, Security to which the report relates.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VIIAdditional Prohibitions</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Confidentiality of the Corporation’s Transactions.</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Until disclosed in a public report to shareholders or to the Securities and Exchange Commission (the “SEC”)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Outside Business Activities and Directorships.</w:t>
      </w:r>
    </w:p>
    <w:p>
      <w:pPr>
        <w:spacing w:after="0" w:line="11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65"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Gratuities.</w:t>
      </w:r>
    </w:p>
    <w:p>
      <w:pPr>
        <w:spacing w:after="0" w:line="1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VIIIProhibition Against Insider Trading</w:t>
      </w:r>
    </w:p>
    <w:p>
      <w:pPr>
        <w:spacing w:after="0" w:line="11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This Section is intended to satisfy the requirements of Section 204A of the Advisers Act, which is applicable to the Adviser and requires that the Adviser establish and enforce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41" w:lineRule="auto"/>
        <w:rPr>
          <w:sz w:val="20"/>
          <w:szCs w:val="20"/>
          <w:color w:val="auto"/>
        </w:rPr>
      </w:pPr>
      <w:r>
        <w:rPr>
          <w:rFonts w:ascii="Times New Roman" w:cs="Times New Roman" w:eastAsia="Times New Roman" w:hAnsi="Times New Roman"/>
          <w:sz w:val="22"/>
          <w:szCs w:val="22"/>
          <w:color w:val="auto"/>
        </w:rPr>
        <w:t>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69" w:lineRule="exact"/>
        <w:rPr>
          <w:sz w:val="20"/>
          <w:szCs w:val="20"/>
          <w:color w:val="auto"/>
        </w:rPr>
      </w:pPr>
    </w:p>
    <w:p>
      <w:pPr>
        <w:jc w:val="both"/>
        <w:ind w:left="860" w:hanging="478"/>
        <w:spacing w:after="0" w:line="250" w:lineRule="auto"/>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73" w:lineRule="exact"/>
        <w:rPr>
          <w:rFonts w:ascii="Times New Roman" w:cs="Times New Roman" w:eastAsia="Times New Roman" w:hAnsi="Times New Roman"/>
          <w:sz w:val="22"/>
          <w:szCs w:val="22"/>
          <w:color w:val="auto"/>
        </w:rPr>
      </w:pPr>
    </w:p>
    <w:p>
      <w:pPr>
        <w:jc w:val="both"/>
        <w:ind w:left="860" w:hanging="478"/>
        <w:spacing w:after="0" w:line="238" w:lineRule="auto"/>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48" w:lineRule="auto"/>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61" w:lineRule="exact"/>
        <w:rPr>
          <w:rFonts w:ascii="Times New Roman" w:cs="Times New Roman" w:eastAsia="Times New Roman" w:hAnsi="Times New Roman"/>
          <w:sz w:val="22"/>
          <w:szCs w:val="22"/>
          <w:color w:val="auto"/>
        </w:rPr>
      </w:pPr>
    </w:p>
    <w:p>
      <w:pPr>
        <w:jc w:val="both"/>
        <w:ind w:left="860" w:hanging="478"/>
        <w:spacing w:after="0" w:line="244" w:lineRule="auto"/>
        <w:tabs>
          <w:tab w:leader="none" w:pos="8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Advisory Person, before executing any trade for himself or herself, or others, including the Corporation or other accounts managed by the Adviser or by a stockholder of the Adviser, or any affiliate of the stockholder (collectively, “Client Accounts”), must determine whether he or she has material, non-public information. Any Advisory Person who believes he or she is in possession of material, non-public information must take the following steps:</w:t>
      </w:r>
    </w:p>
    <w:p>
      <w:pPr>
        <w:spacing w:after="0" w:line="7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Report the information and proposed trade immediately to the Chief Compliance Officer.</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purchase or sell the securities on behalf of anyone, including Client Accounts.</w:t>
      </w:r>
    </w:p>
    <w:p>
      <w:pPr>
        <w:spacing w:after="0" w:line="98"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communicate the information to any person, other than to the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spacing w:after="0" w:line="244" w:lineRule="auto"/>
        <w:rPr>
          <w:sz w:val="20"/>
          <w:szCs w:val="20"/>
          <w:color w:val="auto"/>
        </w:rPr>
      </w:pPr>
      <w:r>
        <w:rPr>
          <w:rFonts w:ascii="Times New Roman" w:cs="Times New Roman" w:eastAsia="Times New Roman" w:hAnsi="Times New Roman"/>
          <w:sz w:val="22"/>
          <w:szCs w:val="22"/>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79" w:lineRule="exact"/>
        <w:rPr>
          <w:sz w:val="20"/>
          <w:szCs w:val="20"/>
          <w:color w:val="auto"/>
        </w:rPr>
      </w:pPr>
    </w:p>
    <w:p>
      <w:pPr>
        <w:jc w:val="both"/>
        <w:ind w:left="860" w:hanging="478"/>
        <w:spacing w:after="0" w:line="238" w:lineRule="auto"/>
        <w:tabs>
          <w:tab w:leader="none" w:pos="8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69" w:lineRule="exact"/>
        <w:rPr>
          <w:rFonts w:ascii="Times New Roman" w:cs="Times New Roman" w:eastAsia="Times New Roman" w:hAnsi="Times New Roman"/>
          <w:sz w:val="22"/>
          <w:szCs w:val="22"/>
          <w:color w:val="auto"/>
        </w:rPr>
      </w:pPr>
    </w:p>
    <w:p>
      <w:pPr>
        <w:jc w:val="both"/>
        <w:ind w:left="860" w:hanging="478"/>
        <w:spacing w:after="0" w:line="253" w:lineRule="auto"/>
        <w:tabs>
          <w:tab w:leader="none" w:pos="860"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IXAnnual Certification</w:t>
      </w:r>
    </w:p>
    <w:p>
      <w:pPr>
        <w:spacing w:after="0" w:line="102"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Access Persons.</w:t>
      </w:r>
    </w:p>
    <w:p>
      <w:pPr>
        <w:spacing w:after="0" w:line="1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2"/>
          <w:szCs w:val="22"/>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60" w:lineRule="exact"/>
        <w:rPr>
          <w:sz w:val="20"/>
          <w:szCs w:val="20"/>
          <w:color w:val="auto"/>
        </w:rPr>
      </w:pPr>
    </w:p>
    <w:p>
      <w:pPr>
        <w:ind w:left="380"/>
        <w:spacing w:after="0"/>
        <w:tabs>
          <w:tab w:leader="none" w:pos="84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1"/>
          <w:szCs w:val="21"/>
          <w:color w:val="auto"/>
        </w:rPr>
        <w:t>Board Review.</w:t>
      </w:r>
    </w:p>
    <w:p>
      <w:pPr>
        <w:spacing w:after="0" w:line="9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2"/>
          <w:szCs w:val="22"/>
          <w:color w:val="auto"/>
        </w:rPr>
        <w:t>No less frequently than annually, the Corporation and the Adviser must furnish to the Corporation’s board of directors, and the board must consider, a written report that: (1) describes any issues arising under this Code or procedures since the last report to the board, including, but not limited to, information about material violations of this Code or procedures and sanctions imposed in response to material violations; and (2) certifies that the Corporation or the Adviser, as applicable, has adopted procedures reasonably necessary to prevent Access Persons from violating this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Section XSanctions</w:t>
      </w:r>
    </w:p>
    <w:p>
      <w:pPr>
        <w:spacing w:after="0" w:line="116"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2"/>
          <w:szCs w:val="22"/>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XIAdministration and Construction</w:t>
      </w:r>
    </w:p>
    <w:p>
      <w:pPr>
        <w:spacing w:after="0" w:line="116" w:lineRule="exact"/>
        <w:rPr>
          <w:sz w:val="20"/>
          <w:szCs w:val="20"/>
          <w:color w:val="auto"/>
        </w:rPr>
      </w:pPr>
    </w:p>
    <w:p>
      <w:pPr>
        <w:ind w:left="860" w:hanging="478"/>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administration of this Code shall be the responsibility of the Chief Compliance Officer.</w:t>
      </w:r>
    </w:p>
    <w:p>
      <w:pPr>
        <w:spacing w:after="0" w:line="98" w:lineRule="exact"/>
        <w:rPr>
          <w:rFonts w:ascii="Times New Roman" w:cs="Times New Roman" w:eastAsia="Times New Roman" w:hAnsi="Times New Roman"/>
          <w:sz w:val="22"/>
          <w:szCs w:val="22"/>
          <w:color w:val="auto"/>
        </w:rPr>
      </w:pPr>
    </w:p>
    <w:p>
      <w:pPr>
        <w:ind w:left="860" w:hanging="478"/>
        <w:spacing w:after="0"/>
        <w:tabs>
          <w:tab w:leader="none" w:pos="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Chief Compliance Officer are as follows:</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48"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61" w:lineRule="exact"/>
        <w:rPr>
          <w:rFonts w:ascii="Times New Roman" w:cs="Times New Roman" w:eastAsia="Times New Roman" w:hAnsi="Times New Roman"/>
          <w:sz w:val="22"/>
          <w:szCs w:val="22"/>
          <w:color w:val="auto"/>
        </w:rPr>
      </w:pPr>
    </w:p>
    <w:p>
      <w:pPr>
        <w:ind w:left="1140" w:hanging="383"/>
        <w:spacing w:after="0" w:line="258"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an annual basis, providing all Covered Personnel a copy of this Code and informing such persons of their duties and obligations hereunder including any supplemental training that may be required from time to time;</w:t>
      </w:r>
    </w:p>
    <w:p>
      <w:pPr>
        <w:spacing w:after="0" w:line="63" w:lineRule="exact"/>
        <w:rPr>
          <w:rFonts w:ascii="Times New Roman" w:cs="Times New Roman" w:eastAsia="Times New Roman" w:hAnsi="Times New Roman"/>
          <w:sz w:val="22"/>
          <w:szCs w:val="22"/>
          <w:color w:val="auto"/>
        </w:rPr>
      </w:pPr>
    </w:p>
    <w:p>
      <w:pPr>
        <w:ind w:left="1140" w:hanging="383"/>
        <w:spacing w:after="0"/>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Maintaining or supervising the maintenance of all records and reports required by this Code;</w:t>
      </w:r>
    </w:p>
    <w:p>
      <w:pPr>
        <w:spacing w:after="0" w:line="98"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59"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either personally or with the assistance of counsel as may be appropriate, of any interpretation of this Code that may appear consistent with the objectives of Rule 17j-1 and this Code;</w:t>
      </w:r>
    </w:p>
    <w:p>
      <w:pPr>
        <w:spacing w:after="0" w:line="36"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 such inspections or investigations as shall reasonably be required to detect and report, with recommendations, any apparent violations of this Code to the board of directors of the Corporation;</w:t>
      </w:r>
    </w:p>
    <w:p>
      <w:pPr>
        <w:spacing w:after="0" w:line="36"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 (B);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42545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2" w:name="page13"/>
    <w:bookmarkEnd w:id="12"/>
    <w:p>
      <w:pPr>
        <w:ind w:left="860" w:right="20" w:hanging="478"/>
        <w:spacing w:after="0" w:line="259"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Financial Officer shall maintain and cause to be maintained in an easily accessible place at the principal place of business of the 17j-1 Organization, the following records:</w:t>
      </w:r>
    </w:p>
    <w:p>
      <w:pPr>
        <w:spacing w:after="0" w:line="62"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all codes of ethics adopted by the Corporation or the Adviser and its affiliates, as the case may be, pursuant to Rule 17j-1 that have been in effect at any time during the past five (5) years;</w:t>
      </w:r>
    </w:p>
    <w:p>
      <w:pPr>
        <w:spacing w:after="0" w:line="63"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each violation of such codes of ethics and of any action taken as a result of such violation for at least five (5) years after the end of the fiscal year in which the violation occurs;</w:t>
      </w:r>
    </w:p>
    <w:p>
      <w:pPr>
        <w:spacing w:after="0" w:line="50"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an Access Person for at least two (2) years after the end of the fiscal year in which the report is made, and for an additional three (3) years in a place that need not be easily accessible;</w:t>
      </w:r>
    </w:p>
    <w:p>
      <w:pPr>
        <w:spacing w:after="0" w:line="36"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59" w:lineRule="exact"/>
        <w:rPr>
          <w:rFonts w:ascii="Times New Roman" w:cs="Times New Roman" w:eastAsia="Times New Roman" w:hAnsi="Times New Roman"/>
          <w:sz w:val="22"/>
          <w:szCs w:val="22"/>
          <w:color w:val="auto"/>
        </w:rPr>
      </w:pPr>
    </w:p>
    <w:p>
      <w:pPr>
        <w:ind w:left="1140" w:hanging="383"/>
        <w:spacing w:after="0" w:line="271"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list of all persons who are, or within the past five (5) years have been, required to make reports pursuant to Rule 17j-1 and this Code, or who are or were responsible for reviewing such reports;</w:t>
      </w:r>
    </w:p>
    <w:p>
      <w:pPr>
        <w:spacing w:after="0" w:line="36" w:lineRule="exact"/>
        <w:rPr>
          <w:rFonts w:ascii="Times New Roman" w:cs="Times New Roman" w:eastAsia="Times New Roman" w:hAnsi="Times New Roman"/>
          <w:sz w:val="22"/>
          <w:szCs w:val="22"/>
          <w:color w:val="auto"/>
        </w:rPr>
      </w:pPr>
    </w:p>
    <w:p>
      <w:pPr>
        <w:ind w:left="1140" w:right="20" w:hanging="383"/>
        <w:spacing w:after="0" w:line="258"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each report required by Section VII (B) of this Code for at least two (2) years after the end of the fiscal year in which it is made, and for an additional three (3) years in a place that need not be easily accessible; and</w:t>
      </w:r>
    </w:p>
    <w:p>
      <w:pPr>
        <w:spacing w:after="0" w:line="63" w:lineRule="exact"/>
        <w:rPr>
          <w:rFonts w:ascii="Times New Roman" w:cs="Times New Roman" w:eastAsia="Times New Roman" w:hAnsi="Times New Roman"/>
          <w:sz w:val="22"/>
          <w:szCs w:val="22"/>
          <w:color w:val="auto"/>
        </w:rPr>
      </w:pPr>
    </w:p>
    <w:p>
      <w:pPr>
        <w:jc w:val="both"/>
        <w:ind w:left="1140" w:hanging="383"/>
        <w:spacing w:after="0" w:line="250" w:lineRule="auto"/>
        <w:tabs>
          <w:tab w:leader="none" w:pos="114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9" w:lineRule="exact"/>
        <w:rPr>
          <w:rFonts w:ascii="Times New Roman" w:cs="Times New Roman" w:eastAsia="Times New Roman" w:hAnsi="Times New Roman"/>
          <w:sz w:val="22"/>
          <w:szCs w:val="22"/>
          <w:color w:val="auto"/>
        </w:rPr>
      </w:pPr>
    </w:p>
    <w:p>
      <w:pPr>
        <w:ind w:left="860" w:hanging="478"/>
        <w:spacing w:after="0" w:line="258" w:lineRule="auto"/>
        <w:tabs>
          <w:tab w:leader="none" w:pos="8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Code may not be amended or modified except in a written form that is specifically approved by majority vote of the Independent Directors.</w:t>
      </w:r>
    </w:p>
    <w:p>
      <w:pPr>
        <w:spacing w:after="0" w:line="6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This Joint Code of Ethics, originally adopted December 12, 2007 and amended as of May 3, 2022, is annually reviewed and approved by the Board of Directors of the Corporation, including a majority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448435"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Investment Corporation Appoints Senior Partner of PennantPark to Its Board of Directors</w:t>
      </w:r>
    </w:p>
    <w:p>
      <w:pPr>
        <w:spacing w:after="0" w:line="2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MIAMI, May 6, 2022 </w:t>
      </w:r>
      <w:r>
        <w:rPr>
          <w:rFonts w:ascii="Times New Roman" w:cs="Times New Roman" w:eastAsia="Times New Roman" w:hAnsi="Times New Roman"/>
          <w:sz w:val="18"/>
          <w:szCs w:val="18"/>
          <w:color w:val="auto"/>
        </w:rPr>
        <w:t>— PennantPark Investment Corporation (the “Company”) (NYSE: PNNT) announced today the appointment of Mr. José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Briones, Jr. to the Company’s Board of Directors, effective May 3, 2022. Mr. Briones is a Senior Partner at PennantPark Investment Advisers, LLC (“PennantPark”). His appointment brings the Company’s Board of Directors to six members.</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the Company’s Board of Directors and PennantPark, I am delighted to welcome José to the Company’s Board of Directors. José has been instrumental to our success, and we look forward to his contributions for many years ahead,” said Art Penn, Chairman and CEO. “Our firm continues to provide investors attractive risk/return across the middle market credit landscape, driven by our relationship-focused origination profile in the core middle market, where we are an important strategic capital provider to growing companies.”</w:t>
      </w:r>
    </w:p>
    <w:p>
      <w:pPr>
        <w:spacing w:after="0" w:line="189"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Mr. Briones joined PennantPark in December 2009, and oversees originating, underwriting, executing and monitoring investments for the company. He is also responsible for various strategic initiatives.</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Prior to joining PennantPark, he was a Partner at Apollo Investment Management, L.P. and a member of its investment committee from 2006 until he joined PennantPark . Mr. Briones also spent time with UBS Securities, JP Morgan, and BT Securities and BT Alex Brown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CORPORATION</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PennantPark Investment Corporation is a business development company which invests primarily in U.S. middle-market companies in the form of first lien secured debt, second lien secured debt, subordinated debt and equity investments. PennantPark Investment Corporation is managed by PennantPark Investment Advisers, LLC.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PENNANTPARK INVESTMENT ADVISERS, LLC</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PennantPark Investment Advisers, LLC is a leading middle market credit platform, managing $6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CONTACT</w:t>
            </w:r>
          </w:p>
        </w:tc>
        <w:tc>
          <w:tcPr>
            <w:tcW w:w="10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Richard Cheung</w:t>
            </w:r>
          </w:p>
        </w:tc>
      </w:tr>
      <w:tr>
        <w:trPr>
          <w:trHeight w:val="189"/>
        </w:trPr>
        <w:tc>
          <w:tcPr>
            <w:tcW w:w="1180" w:type="dxa"/>
            <w:vAlign w:val="bottom"/>
          </w:tcPr>
          <w:p>
            <w:pPr>
              <w:spacing w:after="0"/>
              <w:rPr>
                <w:sz w:val="16"/>
                <w:szCs w:val="16"/>
                <w:color w:val="auto"/>
              </w:rPr>
            </w:pPr>
          </w:p>
        </w:tc>
        <w:tc>
          <w:tcPr>
            <w:tcW w:w="1006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PennantPark Investment Corporation</w:t>
            </w:r>
          </w:p>
        </w:tc>
      </w:tr>
      <w:tr>
        <w:trPr>
          <w:trHeight w:val="189"/>
        </w:trPr>
        <w:tc>
          <w:tcPr>
            <w:tcW w:w="1180" w:type="dxa"/>
            <w:vAlign w:val="bottom"/>
          </w:tcPr>
          <w:p>
            <w:pPr>
              <w:spacing w:after="0"/>
              <w:rPr>
                <w:sz w:val="16"/>
                <w:szCs w:val="16"/>
                <w:color w:val="auto"/>
              </w:rPr>
            </w:pPr>
          </w:p>
        </w:tc>
        <w:tc>
          <w:tcPr>
            <w:tcW w:w="1006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(212) 905-1000</w:t>
            </w:r>
          </w:p>
        </w:tc>
      </w:tr>
      <w:tr>
        <w:trPr>
          <w:trHeight w:val="234"/>
        </w:trPr>
        <w:tc>
          <w:tcPr>
            <w:tcW w:w="1180" w:type="dxa"/>
            <w:vAlign w:val="bottom"/>
          </w:tcPr>
          <w:p>
            <w:pPr>
              <w:spacing w:after="0"/>
              <w:rPr>
                <w:sz w:val="20"/>
                <w:szCs w:val="20"/>
                <w:color w:val="auto"/>
              </w:rPr>
            </w:pPr>
          </w:p>
        </w:tc>
        <w:tc>
          <w:tcPr>
            <w:tcW w:w="10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www.pennantpark.com</w:t>
            </w:r>
          </w:p>
        </w:tc>
      </w:tr>
      <w:tr>
        <w:trPr>
          <w:trHeight w:val="533"/>
        </w:trPr>
        <w:tc>
          <w:tcPr>
            <w:tcW w:w="11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lowerLetter"/>
      <w:start w:val="1"/>
    </w:lvl>
    <w:lvl w:ilvl="1">
      <w:lvlJc w:val="left"/>
      <w:lvlText w:val="(%2)"/>
      <w:numFmt w:val="lowerLetter"/>
      <w:start w:val="1"/>
    </w:lvl>
  </w:abstractNum>
  <w:abstractNum w:abstractNumId="1">
    <w:nsid w:val="4DB127F8"/>
    <w:multiLevelType w:val="hybridMultilevel"/>
    <w:lvl w:ilvl="0">
      <w:lvlJc w:val="left"/>
      <w:lvlText w:val="(%1)"/>
      <w:numFmt w:val="lowerLetter"/>
      <w:start w:val="2"/>
    </w:lvl>
    <w:lvl w:ilvl="1">
      <w:lvlJc w:val="left"/>
      <w:lvlText w:val="%2"/>
      <w:numFmt w:val="lowerLetter"/>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7"/>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4"/>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upperLetter"/>
      <w:start w:val="1"/>
    </w:lvl>
  </w:abstractNum>
  <w:abstractNum w:abstractNumId="8">
    <w:nsid w:val="109CF92E"/>
    <w:multiLevelType w:val="hybridMultilevel"/>
    <w:lvl w:ilvl="0">
      <w:lvlJc w:val="left"/>
      <w:lvlText w:val="(%1)"/>
      <w:numFmt w:val="upperLetter"/>
      <w:start w:val="2"/>
    </w:lvl>
  </w:abstractNum>
  <w:abstractNum w:abstractNumId="9">
    <w:nsid w:val="DED7263"/>
    <w:multiLevelType w:val="hybridMultilevel"/>
    <w:lvl w:ilvl="0">
      <w:lvlJc w:val="left"/>
      <w:lvlText w:val="%1"/>
      <w:numFmt w:val="upperLetter"/>
      <w:start w:val="1"/>
    </w:lvl>
    <w:lvl w:ilvl="1">
      <w:lvlJc w:val="left"/>
      <w:lvlText w:val="(%2)"/>
      <w:numFmt w:val="decimal"/>
      <w:start w:val="1"/>
    </w:lvl>
  </w:abstractNum>
  <w:abstractNum w:abstractNumId="10">
    <w:nsid w:val="7FDCC233"/>
    <w:multiLevelType w:val="hybridMultilevel"/>
    <w:lvl w:ilvl="0">
      <w:lvlJc w:val="left"/>
      <w:lvlText w:val="(%1)"/>
      <w:numFmt w:val="upperLetter"/>
      <w:start w:val="3"/>
    </w:lvl>
    <w:lvl w:ilvl="1">
      <w:lvlJc w:val="left"/>
      <w:lvlText w:val="%2"/>
      <w:numFmt w:val="decimal"/>
      <w:start w:val="1"/>
    </w:lvl>
  </w:abstractNum>
  <w:abstractNum w:abstractNumId="11">
    <w:nsid w:val="1BEFD79F"/>
    <w:multiLevelType w:val="hybridMultilevel"/>
    <w:lvl w:ilvl="0">
      <w:lvlJc w:val="left"/>
      <w:lvlText w:val="%1"/>
      <w:numFmt w:val="upperLetter"/>
      <w:start w:val="1"/>
    </w:lvl>
    <w:lvl w:ilvl="1">
      <w:lvlJc w:val="left"/>
      <w:lvlText w:val="(%2)"/>
      <w:numFmt w:val="decimal"/>
      <w:start w:val="1"/>
    </w:lvl>
  </w:abstractNum>
  <w:abstractNum w:abstractNumId="12">
    <w:nsid w:val="41A7C4C9"/>
    <w:multiLevelType w:val="hybridMultilevel"/>
    <w:lvl w:ilvl="0">
      <w:lvlJc w:val="left"/>
      <w:lvlText w:val="(%1)"/>
      <w:numFmt w:val="upperLetter"/>
      <w:start w:val="6"/>
    </w:lvl>
    <w:lvl w:ilvl="1">
      <w:lvlJc w:val="left"/>
      <w:lvlText w:val="%2"/>
      <w:numFmt w:val="decimal"/>
      <w:start w:val="1"/>
    </w:lvl>
  </w:abstractNum>
  <w:abstractNum w:abstractNumId="13">
    <w:nsid w:val="6B68079A"/>
    <w:multiLevelType w:val="hybridMultilevel"/>
    <w:lvl w:ilvl="0">
      <w:lvlJc w:val="left"/>
      <w:lvlText w:val="(%1)"/>
      <w:numFmt w:val="upperLetter"/>
      <w:start w:val="9"/>
    </w:lvl>
  </w:abstractNum>
  <w:abstractNum w:abstractNumId="14">
    <w:nsid w:val="4E6AFB66"/>
    <w:multiLevelType w:val="hybridMultilevel"/>
    <w:lvl w:ilvl="0">
      <w:lvlJc w:val="left"/>
      <w:lvlText w:val="(%1)"/>
      <w:numFmt w:val="upperLetter"/>
      <w:start w:val="1"/>
    </w:lvl>
    <w:lvl w:ilvl="1">
      <w:lvlJc w:val="left"/>
      <w:lvlText w:val="(%2)"/>
      <w:numFmt w:val="decimal"/>
      <w:start w:val="1"/>
    </w:lvl>
  </w:abstractNum>
  <w:abstractNum w:abstractNumId="15">
    <w:nsid w:val="25E45D32"/>
    <w:multiLevelType w:val="hybridMultilevel"/>
    <w:lvl w:ilvl="0">
      <w:lvlJc w:val="left"/>
      <w:lvlText w:val="(%1)"/>
      <w:numFmt w:val="upperLetter"/>
      <w:start w:val="5"/>
    </w:lvl>
  </w:abstractNum>
  <w:abstractNum w:abstractNumId="16">
    <w:nsid w:val="519B500D"/>
    <w:multiLevelType w:val="hybridMultilevel"/>
    <w:lvl w:ilvl="0">
      <w:lvlJc w:val="left"/>
      <w:lvlText w:val="(%1)"/>
      <w:numFmt w:val="upperLetter"/>
      <w:start w:val="1"/>
    </w:lvl>
    <w:lvl w:ilvl="1">
      <w:lvlJc w:val="left"/>
      <w:lvlText w:val="(%2)"/>
      <w:numFmt w:val="decimal"/>
      <w:start w:val="1"/>
    </w:lvl>
  </w:abstractNum>
  <w:abstractNum w:abstractNumId="17">
    <w:nsid w:val="431BD7B7"/>
    <w:multiLevelType w:val="hybridMultilevel"/>
    <w:lvl w:ilvl="0">
      <w:lvlJc w:val="left"/>
      <w:lvlText w:val="(%1)"/>
      <w:numFmt w:val="upperLetter"/>
      <w:start w:val="3"/>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2022-05-06T08:08:57Z</dcterms:created>
  <dcterms:modified xsi:type="dcterms:W3CDTF">2022-05-06T08:08:57Z</dcterms:modified>
</cp:coreProperties>
</file>