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jc w:val="center"/>
              <w:ind w:left="759"/>
              <w:spacing w:after="0"/>
              <w:rPr>
                <w:sz w:val="20"/>
                <w:szCs w:val="20"/>
                <w:color w:val="auto"/>
              </w:rPr>
            </w:pPr>
            <w:r>
              <w:rPr>
                <w:rFonts w:ascii="Arial" w:cs="Arial" w:eastAsia="Arial" w:hAnsi="Arial"/>
                <w:sz w:val="18"/>
                <w:szCs w:val="18"/>
                <w:b w:val="1"/>
                <w:bCs w:val="1"/>
                <w:color w:val="auto"/>
              </w:rPr>
              <w:t>MARYLAND</w:t>
            </w:r>
          </w:p>
        </w:tc>
        <w:tc>
          <w:tcPr>
            <w:tcW w:w="2560" w:type="dxa"/>
            <w:vAlign w:val="bottom"/>
          </w:tcPr>
          <w:p>
            <w:pPr>
              <w:spacing w:after="0"/>
              <w:rPr>
                <w:sz w:val="20"/>
                <w:szCs w:val="20"/>
                <w:color w:val="auto"/>
              </w:rPr>
            </w:pPr>
          </w:p>
        </w:tc>
        <w:tc>
          <w:tcPr>
            <w:tcW w:w="3860" w:type="dxa"/>
            <w:vAlign w:val="bottom"/>
          </w:tcPr>
          <w:p>
            <w:pPr>
              <w:jc w:val="right"/>
              <w:ind w:right="2179"/>
              <w:spacing w:after="0"/>
              <w:rPr>
                <w:sz w:val="20"/>
                <w:szCs w:val="20"/>
                <w:color w:val="auto"/>
              </w:rPr>
            </w:pPr>
            <w:r>
              <w:rPr>
                <w:rFonts w:ascii="Arial" w:cs="Arial" w:eastAsia="Arial" w:hAnsi="Arial"/>
                <w:sz w:val="18"/>
                <w:szCs w:val="18"/>
                <w:b w:val="1"/>
                <w:bCs w:val="1"/>
                <w:color w:val="auto"/>
              </w:rPr>
              <w:t>20-8250744</w:t>
            </w:r>
          </w:p>
        </w:tc>
      </w:tr>
      <w:tr>
        <w:trPr>
          <w:trHeight w:val="190"/>
        </w:trPr>
        <w:tc>
          <w:tcPr>
            <w:tcW w:w="48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560" w:type="dxa"/>
            <w:vAlign w:val="bottom"/>
          </w:tcPr>
          <w:p>
            <w:pPr>
              <w:spacing w:after="0"/>
              <w:rPr>
                <w:sz w:val="16"/>
                <w:szCs w:val="16"/>
                <w:color w:val="auto"/>
              </w:rPr>
            </w:pPr>
          </w:p>
        </w:tc>
        <w:tc>
          <w:tcPr>
            <w:tcW w:w="3860" w:type="dxa"/>
            <w:vAlign w:val="bottom"/>
          </w:tcPr>
          <w:p>
            <w:pPr>
              <w:jc w:val="center"/>
              <w:ind w:right="14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4"/>
              </w:rPr>
              <w:t>New York, N.Y.</w:t>
            </w:r>
          </w:p>
        </w:tc>
        <w:tc>
          <w:tcPr>
            <w:tcW w:w="2560" w:type="dxa"/>
            <w:vAlign w:val="bottom"/>
          </w:tcPr>
          <w:p>
            <w:pPr>
              <w:spacing w:after="0"/>
              <w:rPr>
                <w:sz w:val="18"/>
                <w:szCs w:val="18"/>
                <w:color w:val="auto"/>
              </w:rPr>
            </w:pPr>
          </w:p>
        </w:tc>
        <w:tc>
          <w:tcPr>
            <w:tcW w:w="3860" w:type="dxa"/>
            <w:vAlign w:val="bottom"/>
          </w:tcPr>
          <w:p>
            <w:pPr>
              <w:jc w:val="right"/>
              <w:ind w:right="2379"/>
              <w:spacing w:after="0"/>
              <w:rPr>
                <w:sz w:val="20"/>
                <w:szCs w:val="20"/>
                <w:color w:val="auto"/>
              </w:rPr>
            </w:pPr>
            <w:r>
              <w:rPr>
                <w:rFonts w:ascii="Arial" w:cs="Arial" w:eastAsia="Arial" w:hAnsi="Arial"/>
                <w:sz w:val="18"/>
                <w:szCs w:val="18"/>
                <w:b w:val="1"/>
                <w:bCs w:val="1"/>
                <w:color w:val="auto"/>
              </w:rPr>
              <w:t>10022</w:t>
            </w:r>
          </w:p>
        </w:tc>
      </w:tr>
      <w:tr>
        <w:trPr>
          <w:trHeight w:val="186"/>
        </w:trPr>
        <w:tc>
          <w:tcPr>
            <w:tcW w:w="482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spacing w:after="0"/>
              <w:rPr>
                <w:sz w:val="16"/>
                <w:szCs w:val="16"/>
                <w:color w:val="auto"/>
              </w:rPr>
            </w:pPr>
          </w:p>
        </w:tc>
        <w:tc>
          <w:tcPr>
            <w:tcW w:w="38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4820" w:type="dxa"/>
            <w:vAlign w:val="bottom"/>
          </w:tcPr>
          <w:p>
            <w:pPr>
              <w:spacing w:after="0"/>
              <w:rPr>
                <w:sz w:val="16"/>
                <w:szCs w:val="16"/>
                <w:color w:val="auto"/>
              </w:rPr>
            </w:pPr>
          </w:p>
        </w:tc>
        <w:tc>
          <w:tcPr>
            <w:tcW w:w="2560" w:type="dxa"/>
            <w:vAlign w:val="bottom"/>
          </w:tcPr>
          <w:p>
            <w:pPr>
              <w:jc w:val="center"/>
              <w:ind w:right="861"/>
              <w:spacing w:after="0"/>
              <w:rPr>
                <w:sz w:val="20"/>
                <w:szCs w:val="20"/>
                <w:color w:val="auto"/>
              </w:rPr>
            </w:pPr>
            <w:r>
              <w:rPr>
                <w:rFonts w:ascii="Arial" w:cs="Arial" w:eastAsia="Arial" w:hAnsi="Arial"/>
                <w:sz w:val="14"/>
                <w:szCs w:val="14"/>
                <w:b w:val="1"/>
                <w:bCs w:val="1"/>
                <w:color w:val="auto"/>
                <w:w w:val="93"/>
              </w:rPr>
              <w:t>(212) 905-1000</w:t>
            </w:r>
          </w:p>
        </w:tc>
        <w:tc>
          <w:tcPr>
            <w:tcW w:w="3860" w:type="dxa"/>
            <w:vAlign w:val="bottom"/>
          </w:tcPr>
          <w:p>
            <w:pPr>
              <w:spacing w:after="0"/>
              <w:rPr>
                <w:sz w:val="16"/>
                <w:szCs w:val="16"/>
                <w:color w:val="auto"/>
              </w:rPr>
            </w:pPr>
          </w:p>
        </w:tc>
      </w:tr>
      <w:tr>
        <w:trPr>
          <w:trHeight w:val="186"/>
        </w:trPr>
        <w:tc>
          <w:tcPr>
            <w:tcW w:w="7380" w:type="dxa"/>
            <w:vAlign w:val="bottom"/>
            <w:gridSpan w:val="2"/>
          </w:tcPr>
          <w:p>
            <w:pPr>
              <w:jc w:val="center"/>
              <w:ind w:left="37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60" w:type="dxa"/>
            <w:vAlign w:val="bottom"/>
          </w:tcPr>
          <w:p>
            <w:pPr>
              <w:spacing w:after="0"/>
              <w:rPr>
                <w:sz w:val="16"/>
                <w:szCs w:val="16"/>
                <w:color w:val="auto"/>
              </w:rPr>
            </w:pPr>
          </w:p>
        </w:tc>
      </w:tr>
      <w:tr>
        <w:trPr>
          <w:trHeight w:val="66"/>
        </w:trPr>
        <w:tc>
          <w:tcPr>
            <w:tcW w:w="48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r>
        <w:trPr>
          <w:trHeight w:val="200"/>
        </w:trPr>
        <w:tc>
          <w:tcPr>
            <w:tcW w:w="4820" w:type="dxa"/>
            <w:vAlign w:val="bottom"/>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70"/>
        </w:trPr>
        <w:tc>
          <w:tcPr>
            <w:tcW w:w="4820" w:type="dxa"/>
            <w:vAlign w:val="bottom"/>
          </w:tcPr>
          <w:p>
            <w:pPr>
              <w:jc w:val="center"/>
              <w:ind w:right="999"/>
              <w:spacing w:after="0"/>
              <w:rPr>
                <w:sz w:val="20"/>
                <w:szCs w:val="20"/>
                <w:color w:val="auto"/>
              </w:rPr>
            </w:pPr>
            <w:r>
              <w:rPr>
                <w:rFonts w:ascii="Arial" w:cs="Arial" w:eastAsia="Arial" w:hAnsi="Arial"/>
                <w:sz w:val="16"/>
                <w:szCs w:val="16"/>
                <w:b w:val="1"/>
                <w:bCs w:val="1"/>
                <w:color w:val="auto"/>
                <w:w w:val="91"/>
              </w:rPr>
              <w:t>Title of Each Class</w:t>
            </w:r>
          </w:p>
        </w:tc>
        <w:tc>
          <w:tcPr>
            <w:tcW w:w="2560" w:type="dxa"/>
            <w:vAlign w:val="bottom"/>
          </w:tcPr>
          <w:p>
            <w:pPr>
              <w:jc w:val="center"/>
              <w:ind w:right="881"/>
              <w:spacing w:after="0"/>
              <w:rPr>
                <w:sz w:val="20"/>
                <w:szCs w:val="20"/>
                <w:color w:val="auto"/>
              </w:rPr>
            </w:pPr>
            <w:r>
              <w:rPr>
                <w:rFonts w:ascii="Arial" w:cs="Arial" w:eastAsia="Arial" w:hAnsi="Arial"/>
                <w:sz w:val="16"/>
                <w:szCs w:val="16"/>
                <w:b w:val="1"/>
                <w:bCs w:val="1"/>
                <w:color w:val="auto"/>
                <w:w w:val="91"/>
              </w:rPr>
              <w:t>Trading Symbol(s)</w:t>
            </w:r>
          </w:p>
        </w:tc>
        <w:tc>
          <w:tcPr>
            <w:tcW w:w="38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2"/>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Common Stock, par value $0.001 per share</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5.50% Notes due 2024</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PNNTG</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ind w:right="180" w:firstLine="49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firstLine="496"/>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49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9" w:lineRule="exact"/>
        <w:rPr>
          <w:sz w:val="24"/>
          <w:szCs w:val="24"/>
          <w:color w:val="auto"/>
        </w:rPr>
      </w:pPr>
    </w:p>
    <w:p>
      <w:pPr>
        <w:jc w:val="both"/>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00" w:right="20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$0.001 par value per share, outstanding as of August 4, 2021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JUNE 30, 2021</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720" w:type="dxa"/>
            <w:vAlign w:val="bottom"/>
            <w:gridSpan w:val="14"/>
          </w:tcPr>
          <w:p>
            <w:pPr>
              <w:jc w:val="center"/>
              <w:ind w:right="208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CONSOLIDATED FINANCIAL INFORMATION</w:t>
              </w:r>
            </w:hyperlink>
          </w:p>
        </w:tc>
        <w:tc>
          <w:tcPr>
            <w:tcW w:w="1960" w:type="dxa"/>
            <w:vAlign w:val="bottom"/>
          </w:tcPr>
          <w:p>
            <w:pPr>
              <w:spacing w:after="0"/>
              <w:rPr>
                <w:sz w:val="14"/>
                <w:szCs w:val="14"/>
                <w:color w:val="auto"/>
              </w:rPr>
            </w:pPr>
          </w:p>
        </w:tc>
      </w:tr>
      <w:tr>
        <w:trPr>
          <w:trHeight w:val="439"/>
        </w:trPr>
        <w:tc>
          <w:tcPr>
            <w:tcW w:w="3580" w:type="dxa"/>
            <w:vAlign w:val="bottom"/>
            <w:gridSpan w:val="11"/>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Item 1. Consolidated Financial Statements</w:t>
              </w:r>
            </w:hyperlink>
          </w:p>
        </w:tc>
        <w:tc>
          <w:tcPr>
            <w:tcW w:w="3640" w:type="dxa"/>
            <w:vAlign w:val="bottom"/>
            <w:tcBorders>
              <w:top w:val="single" w:sz="8" w:color="0000EE"/>
            </w:tcBorders>
            <w:gridSpan w:val="12"/>
          </w:tcPr>
          <w:p>
            <w:pPr>
              <w:spacing w:after="0"/>
              <w:rPr>
                <w:sz w:val="24"/>
                <w:szCs w:val="24"/>
                <w:color w:val="auto"/>
              </w:rPr>
            </w:pPr>
          </w:p>
        </w:tc>
        <w:tc>
          <w:tcPr>
            <w:tcW w:w="208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612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4">
              <w:r>
                <w:rPr>
                  <w:rFonts w:ascii="Arial" w:cs="Arial" w:eastAsia="Arial" w:hAnsi="Arial"/>
                  <w:sz w:val="14"/>
                  <w:szCs w:val="14"/>
                  <w:color w:val="0000EE"/>
                  <w:w w:val="91"/>
                </w:rPr>
                <w:t>Consolidated Statements of Assets and Liabilities as of June 30, 2021 (unaudited) and September 30, 2020</w:t>
              </w:r>
            </w:hyperlink>
          </w:p>
        </w:tc>
        <w:tc>
          <w:tcPr>
            <w:tcW w:w="2820" w:type="dxa"/>
            <w:vAlign w:val="bottom"/>
            <w:gridSpan w:val="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39"/>
        </w:trPr>
        <w:tc>
          <w:tcPr>
            <w:tcW w:w="36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Statements of Operations for the three and nine months ended June 30, 2021 and 2020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7140" w:type="dxa"/>
            <w:vAlign w:val="bottom"/>
            <w:tcBorders>
              <w:bottom w:val="single" w:sz="8" w:color="0000EE"/>
            </w:tcBorders>
            <w:gridSpan w:val="23"/>
          </w:tcPr>
          <w:p>
            <w:pPr>
              <w:spacing w:after="0"/>
              <w:rPr>
                <w:rFonts w:ascii="Arial" w:cs="Arial" w:eastAsia="Arial" w:hAnsi="Arial"/>
                <w:sz w:val="14"/>
                <w:szCs w:val="14"/>
                <w:color w:val="0000EE"/>
                <w:w w:val="91"/>
              </w:rPr>
            </w:pPr>
            <w:hyperlink w:anchor="page6">
              <w:r>
                <w:rPr>
                  <w:rFonts w:ascii="Arial" w:cs="Arial" w:eastAsia="Arial" w:hAnsi="Arial"/>
                  <w:sz w:val="14"/>
                  <w:szCs w:val="14"/>
                  <w:color w:val="0000EE"/>
                  <w:w w:val="91"/>
                </w:rPr>
                <w:t>Consolidated Statements of Changes in Net Assets for the three and nine months ended June 30, 2021 and 2020 (unaudited)</w:t>
              </w:r>
            </w:hyperlink>
          </w:p>
        </w:tc>
        <w:tc>
          <w:tcPr>
            <w:tcW w:w="18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39"/>
        </w:trPr>
        <w:tc>
          <w:tcPr>
            <w:tcW w:w="36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Cash Flows for the nine months ended June 30, 2021 and 2020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79"/>
        </w:trPr>
        <w:tc>
          <w:tcPr>
            <w:tcW w:w="360" w:type="dxa"/>
            <w:vAlign w:val="bottom"/>
          </w:tcPr>
          <w:p>
            <w:pPr>
              <w:spacing w:after="0"/>
              <w:rPr>
                <w:sz w:val="24"/>
                <w:szCs w:val="24"/>
                <w:color w:val="auto"/>
              </w:rPr>
            </w:pPr>
          </w:p>
        </w:tc>
        <w:tc>
          <w:tcPr>
            <w:tcW w:w="5940" w:type="dxa"/>
            <w:vAlign w:val="bottom"/>
            <w:tcBorders>
              <w:top w:val="single" w:sz="8" w:color="0000EE"/>
            </w:tcBorders>
            <w:gridSpan w:val="18"/>
          </w:tcPr>
          <w:p>
            <w:pPr>
              <w:spacing w:after="0"/>
              <w:rPr>
                <w:rFonts w:ascii="Arial" w:cs="Arial" w:eastAsia="Arial" w:hAnsi="Arial"/>
                <w:sz w:val="14"/>
                <w:szCs w:val="14"/>
                <w:color w:val="0000EE"/>
                <w:w w:val="97"/>
              </w:rPr>
            </w:pPr>
            <w:hyperlink w:anchor="page8">
              <w:r>
                <w:rPr>
                  <w:rFonts w:ascii="Arial" w:cs="Arial" w:eastAsia="Arial" w:hAnsi="Arial"/>
                  <w:sz w:val="14"/>
                  <w:szCs w:val="14"/>
                  <w:color w:val="0000EE"/>
                  <w:w w:val="97"/>
                </w:rPr>
                <w:t>Consolidated Schedules of Investments as of June 30, 2021 (unaudited) and September 30, 2020</w:t>
              </w:r>
            </w:hyperlink>
          </w:p>
        </w:tc>
        <w:tc>
          <w:tcPr>
            <w:tcW w:w="300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39"/>
        </w:trPr>
        <w:tc>
          <w:tcPr>
            <w:tcW w:w="36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11"/>
          </w:tcPr>
          <w:p>
            <w:pPr>
              <w:spacing w:after="0"/>
              <w:rPr>
                <w:rFonts w:ascii="Arial" w:cs="Arial" w:eastAsia="Arial" w:hAnsi="Arial"/>
                <w:sz w:val="14"/>
                <w:szCs w:val="14"/>
                <w:color w:val="0000EE"/>
                <w:w w:val="92"/>
              </w:rPr>
            </w:pPr>
            <w:hyperlink w:anchor="page16">
              <w:r>
                <w:rPr>
                  <w:rFonts w:ascii="Arial" w:cs="Arial" w:eastAsia="Arial" w:hAnsi="Arial"/>
                  <w:sz w:val="14"/>
                  <w:szCs w:val="14"/>
                  <w:color w:val="0000EE"/>
                  <w:w w:val="92"/>
                </w:rPr>
                <w:t>Notes to Consolidated Financial Statements (unaudited)</w:t>
              </w:r>
            </w:hyperlink>
          </w:p>
        </w:tc>
        <w:tc>
          <w:tcPr>
            <w:tcW w:w="2280" w:type="dxa"/>
            <w:vAlign w:val="bottom"/>
            <w:tcBorders>
              <w:top w:val="single" w:sz="8" w:color="0000EE"/>
            </w:tcBorders>
            <w:gridSpan w:val="5"/>
          </w:tcPr>
          <w:p>
            <w:pPr>
              <w:spacing w:after="0"/>
              <w:rPr>
                <w:sz w:val="24"/>
                <w:szCs w:val="24"/>
                <w:color w:val="auto"/>
              </w:rPr>
            </w:pPr>
          </w:p>
        </w:tc>
        <w:tc>
          <w:tcPr>
            <w:tcW w:w="342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439"/>
        </w:trPr>
        <w:tc>
          <w:tcPr>
            <w:tcW w:w="360" w:type="dxa"/>
            <w:vAlign w:val="bottom"/>
          </w:tcPr>
          <w:p>
            <w:pPr>
              <w:spacing w:after="0"/>
              <w:rPr>
                <w:sz w:val="24"/>
                <w:szCs w:val="24"/>
                <w:color w:val="auto"/>
              </w:rPr>
            </w:pPr>
          </w:p>
        </w:tc>
        <w:tc>
          <w:tcPr>
            <w:tcW w:w="3380" w:type="dxa"/>
            <w:vAlign w:val="bottom"/>
            <w:tcBorders>
              <w:bottom w:val="single" w:sz="8" w:color="0000EE"/>
            </w:tcBorders>
            <w:gridSpan w:val="12"/>
          </w:tcPr>
          <w:p>
            <w:pPr>
              <w:spacing w:after="0"/>
              <w:rPr>
                <w:rFonts w:ascii="Arial" w:cs="Arial" w:eastAsia="Arial" w:hAnsi="Arial"/>
                <w:sz w:val="14"/>
                <w:szCs w:val="14"/>
                <w:color w:val="0000EE"/>
                <w:w w:val="93"/>
              </w:rPr>
            </w:pPr>
            <w:hyperlink w:anchor="page30">
              <w:r>
                <w:rPr>
                  <w:rFonts w:ascii="Arial" w:cs="Arial" w:eastAsia="Arial" w:hAnsi="Arial"/>
                  <w:sz w:val="14"/>
                  <w:szCs w:val="14"/>
                  <w:color w:val="0000EE"/>
                  <w:w w:val="93"/>
                </w:rPr>
                <w:t>Report of Independent Registered Public Accounting Firm</w:t>
              </w:r>
            </w:hyperlink>
          </w:p>
        </w:tc>
        <w:tc>
          <w:tcPr>
            <w:tcW w:w="5560" w:type="dxa"/>
            <w:vAlign w:val="bottom"/>
            <w:gridSpan w:val="1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439"/>
        </w:trPr>
        <w:tc>
          <w:tcPr>
            <w:tcW w:w="5940" w:type="dxa"/>
            <w:vAlign w:val="bottom"/>
            <w:tcBorders>
              <w:bottom w:val="single" w:sz="8" w:color="0000EE"/>
            </w:tcBorders>
            <w:gridSpan w:val="18"/>
          </w:tcPr>
          <w:p>
            <w:pPr>
              <w:spacing w:after="0"/>
              <w:rPr>
                <w:rFonts w:ascii="Arial" w:cs="Arial" w:eastAsia="Arial" w:hAnsi="Arial"/>
                <w:sz w:val="14"/>
                <w:szCs w:val="14"/>
                <w:b w:val="1"/>
                <w:bCs w:val="1"/>
                <w:color w:val="0000EE"/>
                <w:w w:val="92"/>
              </w:rPr>
            </w:pPr>
            <w:hyperlink w:anchor="page31">
              <w:r>
                <w:rPr>
                  <w:rFonts w:ascii="Arial" w:cs="Arial" w:eastAsia="Arial" w:hAnsi="Arial"/>
                  <w:sz w:val="14"/>
                  <w:szCs w:val="14"/>
                  <w:b w:val="1"/>
                  <w:bCs w:val="1"/>
                  <w:color w:val="0000EE"/>
                  <w:w w:val="92"/>
                </w:rPr>
                <w:t>Item 2. Management’s Discussion and Analysis of Financial Condition and Results of Operations</w:t>
              </w:r>
            </w:hyperlink>
          </w:p>
        </w:tc>
        <w:tc>
          <w:tcPr>
            <w:tcW w:w="336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439"/>
        </w:trPr>
        <w:tc>
          <w:tcPr>
            <w:tcW w:w="9300" w:type="dxa"/>
            <w:vAlign w:val="bottom"/>
            <w:gridSpan w:val="25"/>
          </w:tcPr>
          <w:p>
            <w:pPr>
              <w:spacing w:after="0"/>
              <w:rPr>
                <w:rFonts w:ascii="Arial" w:cs="Arial" w:eastAsia="Arial" w:hAnsi="Arial"/>
                <w:sz w:val="14"/>
                <w:szCs w:val="14"/>
                <w:b w:val="1"/>
                <w:bCs w:val="1"/>
                <w:color w:val="0000EE"/>
              </w:rPr>
            </w:pPr>
            <w:hyperlink w:anchor="page42">
              <w:r>
                <w:rPr>
                  <w:rFonts w:ascii="Arial" w:cs="Arial" w:eastAsia="Arial" w:hAnsi="Arial"/>
                  <w:sz w:val="14"/>
                  <w:szCs w:val="14"/>
                  <w:b w:val="1"/>
                  <w:bCs w:val="1"/>
                  <w:color w:val="0000EE"/>
                </w:rPr>
                <w:t>Item 3. 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439"/>
        </w:trPr>
        <w:tc>
          <w:tcPr>
            <w:tcW w:w="4200" w:type="dxa"/>
            <w:vAlign w:val="bottom"/>
            <w:tcBorders>
              <w:top w:val="single" w:sz="8" w:color="0000EE"/>
            </w:tcBorders>
            <w:gridSpan w:val="15"/>
          </w:tcPr>
          <w:p>
            <w:pPr>
              <w:spacing w:after="0"/>
              <w:rPr>
                <w:rFonts w:ascii="Arial" w:cs="Arial" w:eastAsia="Arial" w:hAnsi="Arial"/>
                <w:sz w:val="14"/>
                <w:szCs w:val="14"/>
                <w:b w:val="1"/>
                <w:bCs w:val="1"/>
                <w:color w:val="0000EE"/>
              </w:rPr>
            </w:pPr>
            <w:hyperlink w:anchor="page43">
              <w:r>
                <w:rPr>
                  <w:rFonts w:ascii="Arial" w:cs="Arial" w:eastAsia="Arial" w:hAnsi="Arial"/>
                  <w:sz w:val="14"/>
                  <w:szCs w:val="14"/>
                  <w:b w:val="1"/>
                  <w:bCs w:val="1"/>
                  <w:color w:val="0000EE"/>
                </w:rPr>
                <w:t>Item 4. Controls and Procedures</w:t>
              </w:r>
            </w:hyperlink>
          </w:p>
        </w:tc>
        <w:tc>
          <w:tcPr>
            <w:tcW w:w="510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439"/>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9"/>
          </w:tcPr>
          <w:p>
            <w:pPr>
              <w:jc w:val="center"/>
              <w:ind w:right="2800"/>
              <w:spacing w:after="0"/>
              <w:rPr>
                <w:rFonts w:ascii="Arial" w:cs="Arial" w:eastAsia="Arial" w:hAnsi="Arial"/>
                <w:sz w:val="14"/>
                <w:szCs w:val="14"/>
                <w:b w:val="1"/>
                <w:bCs w:val="1"/>
                <w:color w:val="0000EE"/>
              </w:rPr>
            </w:pPr>
            <w:hyperlink w:anchor="page44">
              <w:r>
                <w:rPr>
                  <w:rFonts w:ascii="Arial" w:cs="Arial" w:eastAsia="Arial" w:hAnsi="Arial"/>
                  <w:sz w:val="14"/>
                  <w:szCs w:val="14"/>
                  <w:b w:val="1"/>
                  <w:bCs w:val="1"/>
                  <w:color w:val="0000EE"/>
                </w:rPr>
                <w:t>PART II. OTHER INFORMATION</w:t>
              </w:r>
            </w:hyperlink>
          </w:p>
        </w:tc>
        <w:tc>
          <w:tcPr>
            <w:tcW w:w="1960" w:type="dxa"/>
            <w:vAlign w:val="bottom"/>
          </w:tcPr>
          <w:p>
            <w:pPr>
              <w:spacing w:after="0"/>
              <w:rPr>
                <w:sz w:val="24"/>
                <w:szCs w:val="24"/>
                <w:color w:val="auto"/>
              </w:rPr>
            </w:pPr>
          </w:p>
        </w:tc>
      </w:tr>
      <w:tr>
        <w:trPr>
          <w:trHeight w:val="439"/>
        </w:trPr>
        <w:tc>
          <w:tcPr>
            <w:tcW w:w="1600" w:type="dxa"/>
            <w:vAlign w:val="bottom"/>
            <w:tcBorders>
              <w:bottom w:val="single" w:sz="8" w:color="0000EE"/>
            </w:tcBorders>
            <w:gridSpan w:val="5"/>
          </w:tcPr>
          <w:p>
            <w:pPr>
              <w:spacing w:after="0"/>
              <w:rPr>
                <w:rFonts w:ascii="Arial" w:cs="Arial" w:eastAsia="Arial" w:hAnsi="Arial"/>
                <w:sz w:val="14"/>
                <w:szCs w:val="14"/>
                <w:b w:val="1"/>
                <w:bCs w:val="1"/>
                <w:color w:val="0000EE"/>
                <w:w w:val="91"/>
              </w:rPr>
            </w:pPr>
            <w:hyperlink w:anchor="page44">
              <w:r>
                <w:rPr>
                  <w:rFonts w:ascii="Arial" w:cs="Arial" w:eastAsia="Arial" w:hAnsi="Arial"/>
                  <w:sz w:val="14"/>
                  <w:szCs w:val="14"/>
                  <w:b w:val="1"/>
                  <w:bCs w:val="1"/>
                  <w:color w:val="0000EE"/>
                  <w:w w:val="91"/>
                </w:rPr>
                <w:t>Item 1. Legal Proceedings</w:t>
              </w:r>
            </w:hyperlink>
          </w:p>
        </w:tc>
        <w:tc>
          <w:tcPr>
            <w:tcW w:w="2700" w:type="dxa"/>
            <w:vAlign w:val="bottom"/>
            <w:gridSpan w:val="11"/>
          </w:tcPr>
          <w:p>
            <w:pPr>
              <w:spacing w:after="0"/>
              <w:rPr>
                <w:sz w:val="24"/>
                <w:szCs w:val="24"/>
                <w:color w:val="auto"/>
              </w:rPr>
            </w:pPr>
          </w:p>
        </w:tc>
        <w:tc>
          <w:tcPr>
            <w:tcW w:w="2200" w:type="dxa"/>
            <w:vAlign w:val="bottom"/>
            <w:tcBorders>
              <w:top w:val="single" w:sz="8" w:color="0000EE"/>
            </w:tcBorders>
            <w:gridSpan w:val="5"/>
          </w:tcPr>
          <w:p>
            <w:pPr>
              <w:spacing w:after="0"/>
              <w:rPr>
                <w:sz w:val="24"/>
                <w:szCs w:val="24"/>
                <w:color w:val="auto"/>
              </w:rPr>
            </w:pPr>
          </w:p>
        </w:tc>
        <w:tc>
          <w:tcPr>
            <w:tcW w:w="280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439"/>
        </w:trPr>
        <w:tc>
          <w:tcPr>
            <w:tcW w:w="1360" w:type="dxa"/>
            <w:vAlign w:val="bottom"/>
            <w:tcBorders>
              <w:bottom w:val="single" w:sz="8" w:color="0000EE"/>
            </w:tcBorders>
            <w:gridSpan w:val="4"/>
          </w:tcPr>
          <w:p>
            <w:pPr>
              <w:spacing w:after="0"/>
              <w:rPr>
                <w:rFonts w:ascii="Arial" w:cs="Arial" w:eastAsia="Arial" w:hAnsi="Arial"/>
                <w:sz w:val="14"/>
                <w:szCs w:val="14"/>
                <w:b w:val="1"/>
                <w:bCs w:val="1"/>
                <w:color w:val="0000EE"/>
                <w:w w:val="94"/>
              </w:rPr>
            </w:pPr>
            <w:hyperlink w:anchor="page44">
              <w:r>
                <w:rPr>
                  <w:rFonts w:ascii="Arial" w:cs="Arial" w:eastAsia="Arial" w:hAnsi="Arial"/>
                  <w:sz w:val="14"/>
                  <w:szCs w:val="14"/>
                  <w:b w:val="1"/>
                  <w:bCs w:val="1"/>
                  <w:color w:val="0000EE"/>
                  <w:w w:val="94"/>
                </w:rPr>
                <w:t>Item 1A. Risk Factors</w:t>
              </w:r>
            </w:hyperlink>
          </w:p>
        </w:tc>
        <w:tc>
          <w:tcPr>
            <w:tcW w:w="7940" w:type="dxa"/>
            <w:vAlign w:val="bottom"/>
            <w:gridSpan w:val="21"/>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439"/>
        </w:trPr>
        <w:tc>
          <w:tcPr>
            <w:tcW w:w="9300" w:type="dxa"/>
            <w:vAlign w:val="bottom"/>
            <w:gridSpan w:val="25"/>
          </w:tcPr>
          <w:p>
            <w:pPr>
              <w:spacing w:after="0"/>
              <w:rPr>
                <w:rFonts w:ascii="Arial" w:cs="Arial" w:eastAsia="Arial" w:hAnsi="Arial"/>
                <w:sz w:val="14"/>
                <w:szCs w:val="14"/>
                <w:b w:val="1"/>
                <w:bCs w:val="1"/>
                <w:color w:val="0000EE"/>
              </w:rPr>
            </w:pPr>
            <w:hyperlink w:anchor="page44">
              <w:r>
                <w:rPr>
                  <w:rFonts w:ascii="Arial" w:cs="Arial" w:eastAsia="Arial" w:hAnsi="Arial"/>
                  <w:sz w:val="14"/>
                  <w:szCs w:val="14"/>
                  <w:b w:val="1"/>
                  <w:bCs w:val="1"/>
                  <w:color w:val="0000EE"/>
                </w:rPr>
                <w:t>Item 2. 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439"/>
        </w:trPr>
        <w:tc>
          <w:tcPr>
            <w:tcW w:w="4120" w:type="dxa"/>
            <w:vAlign w:val="bottom"/>
            <w:tcBorders>
              <w:top w:val="single" w:sz="8" w:color="0000EE"/>
            </w:tcBorders>
            <w:gridSpan w:val="14"/>
          </w:tcPr>
          <w:p>
            <w:pPr>
              <w:spacing w:after="0"/>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Item 3. Defaults Upon Senior Securities</w:t>
              </w:r>
            </w:hyperlink>
          </w:p>
        </w:tc>
        <w:tc>
          <w:tcPr>
            <w:tcW w:w="5180" w:type="dxa"/>
            <w:vAlign w:val="bottom"/>
            <w:gridSpan w:val="11"/>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39"/>
        </w:trPr>
        <w:tc>
          <w:tcPr>
            <w:tcW w:w="2420" w:type="dxa"/>
            <w:vAlign w:val="bottom"/>
            <w:tcBorders>
              <w:top w:val="single" w:sz="8" w:color="0000EE"/>
            </w:tcBorders>
            <w:gridSpan w:val="9"/>
          </w:tcPr>
          <w:p>
            <w:pPr>
              <w:spacing w:after="0"/>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Item 4. Mine Safety Disclosures</w:t>
              </w:r>
            </w:hyperlink>
          </w:p>
        </w:tc>
        <w:tc>
          <w:tcPr>
            <w:tcW w:w="6880" w:type="dxa"/>
            <w:vAlign w:val="bottom"/>
            <w:gridSpan w:val="1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39"/>
        </w:trPr>
        <w:tc>
          <w:tcPr>
            <w:tcW w:w="1640" w:type="dxa"/>
            <w:vAlign w:val="bottom"/>
            <w:tcBorders>
              <w:top w:val="single" w:sz="8" w:color="0000EE"/>
              <w:bottom w:val="single" w:sz="8" w:color="0000EE"/>
            </w:tcBorders>
            <w:gridSpan w:val="6"/>
          </w:tcPr>
          <w:p>
            <w:pPr>
              <w:spacing w:after="0"/>
              <w:rPr>
                <w:rFonts w:ascii="Arial" w:cs="Arial" w:eastAsia="Arial" w:hAnsi="Arial"/>
                <w:sz w:val="14"/>
                <w:szCs w:val="14"/>
                <w:b w:val="1"/>
                <w:bCs w:val="1"/>
                <w:color w:val="0000EE"/>
                <w:w w:val="97"/>
              </w:rPr>
            </w:pPr>
            <w:hyperlink w:anchor="page45">
              <w:r>
                <w:rPr>
                  <w:rFonts w:ascii="Arial" w:cs="Arial" w:eastAsia="Arial" w:hAnsi="Arial"/>
                  <w:sz w:val="14"/>
                  <w:szCs w:val="14"/>
                  <w:b w:val="1"/>
                  <w:bCs w:val="1"/>
                  <w:color w:val="0000EE"/>
                  <w:w w:val="97"/>
                </w:rPr>
                <w:t>Item 5. Other Information</w:t>
              </w:r>
            </w:hyperlink>
          </w:p>
        </w:tc>
        <w:tc>
          <w:tcPr>
            <w:tcW w:w="300" w:type="dxa"/>
            <w:vAlign w:val="bottom"/>
            <w:tcBorders>
              <w:top w:val="single" w:sz="8" w:color="0000EE"/>
            </w:tcBorders>
          </w:tcPr>
          <w:p>
            <w:pPr>
              <w:spacing w:after="0"/>
              <w:rPr>
                <w:sz w:val="24"/>
                <w:szCs w:val="24"/>
                <w:color w:val="auto"/>
              </w:rPr>
            </w:pPr>
          </w:p>
        </w:tc>
        <w:tc>
          <w:tcPr>
            <w:tcW w:w="7360" w:type="dxa"/>
            <w:vAlign w:val="bottom"/>
            <w:gridSpan w:val="1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39"/>
        </w:trPr>
        <w:tc>
          <w:tcPr>
            <w:tcW w:w="9300" w:type="dxa"/>
            <w:vAlign w:val="bottom"/>
            <w:gridSpan w:val="25"/>
          </w:tcPr>
          <w:p>
            <w:pPr>
              <w:spacing w:after="0"/>
              <w:rPr>
                <w:rFonts w:ascii="Arial" w:cs="Arial" w:eastAsia="Arial" w:hAnsi="Arial"/>
                <w:sz w:val="14"/>
                <w:szCs w:val="14"/>
                <w:b w:val="1"/>
                <w:bCs w:val="1"/>
                <w:color w:val="0000EE"/>
              </w:rPr>
            </w:pPr>
            <w:hyperlink w:anchor="page46">
              <w:r>
                <w:rPr>
                  <w:rFonts w:ascii="Arial" w:cs="Arial" w:eastAsia="Arial" w:hAnsi="Arial"/>
                  <w:sz w:val="14"/>
                  <w:szCs w:val="14"/>
                  <w:b w:val="1"/>
                  <w:bCs w:val="1"/>
                  <w:color w:val="0000EE"/>
                </w:rPr>
                <w:t>Item 6. Exhibits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439"/>
        </w:trPr>
        <w:tc>
          <w:tcPr>
            <w:tcW w:w="940" w:type="dxa"/>
            <w:vAlign w:val="bottom"/>
            <w:tcBorders>
              <w:top w:val="single" w:sz="8" w:color="0000EE"/>
              <w:bottom w:val="single" w:sz="8" w:color="0000EE"/>
            </w:tcBorders>
            <w:gridSpan w:val="2"/>
          </w:tcPr>
          <w:p>
            <w:pPr>
              <w:spacing w:after="0"/>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SIGNATURES</w:t>
              </w:r>
            </w:hyperlink>
          </w:p>
        </w:tc>
        <w:tc>
          <w:tcPr>
            <w:tcW w:w="40" w:type="dxa"/>
            <w:vAlign w:val="bottom"/>
            <w:tcBorders>
              <w:top w:val="single" w:sz="8" w:color="0000EE"/>
            </w:tcBorders>
          </w:tcPr>
          <w:p>
            <w:pPr>
              <w:spacing w:after="0"/>
              <w:rPr>
                <w:sz w:val="24"/>
                <w:szCs w:val="24"/>
                <w:color w:val="auto"/>
              </w:rPr>
            </w:pPr>
          </w:p>
        </w:tc>
        <w:tc>
          <w:tcPr>
            <w:tcW w:w="8320" w:type="dxa"/>
            <w:vAlign w:val="bottom"/>
            <w:gridSpan w:val="2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751"/>
        </w:trPr>
        <w:tc>
          <w:tcPr>
            <w:tcW w:w="5880" w:type="dxa"/>
            <w:vAlign w:val="bottom"/>
            <w:gridSpan w:val="17"/>
          </w:tcPr>
          <w:p>
            <w:pPr>
              <w:ind w:left="55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00"/>
        </w:trPr>
        <w:tc>
          <w:tcPr>
            <w:tcW w:w="3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2"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21"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Subsidiaries” refers to PNNT CI (Galls) Prime Investment Holdings, LLC, and PNNT Investment Holdings,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“Credit Facilities” refers to the BNP Credit Facility and the Truist Credit Facility collectively; “2024 Notes” refers to our 5.50% Notes due 2024; “2026 Notes” refers to our 4.50% Notes due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(cost—$634,123,304 and $713,683,209, respectively)</w:t>
            </w:r>
          </w:p>
        </w:tc>
        <w:tc>
          <w:tcPr>
            <w:tcW w:w="200" w:type="dxa"/>
            <w:vAlign w:val="bottom"/>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719,327,212</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735,674,666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(cost—$77,628,920 and $77,628,920, respectively)</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48,882,776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27,753,893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(cost—$409,894,837 and $374,260,162, respectively)</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379,988,526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318,342,859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investments (cost—$1,121,647,060 and $1,165,572,291, respectively)</w:t>
            </w:r>
          </w:p>
        </w:tc>
        <w:tc>
          <w:tcPr>
            <w:tcW w:w="2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1,148,198,514</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1,081,771,418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(cost—$14,207,092 and $25,801,087, respectively)</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14,212,253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25,806,002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4,881,211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5,005,715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Distribution receivable</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1,694,000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1,393,716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376,030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1,168,985,978</w:t>
            </w: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1,114,352,881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8,045,413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8,045,413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3,017,500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5,461,508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 payable, at fair value (cost—$214,544,900 and $388,252,000, respectively) (See Notes 5 and 10)</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213,489,240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368,701,972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2024 Notes payable, net (par—$86,250,000) (See Notes 5 and 10)</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84,336,685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83,837,560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2026 Notes payable, net (par—$150,000,000) (See Notes 5 and 10)</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145,639,797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SBA debentures payable, net (par—$63,500,000 and $118,500,000, respectively) (See Notes 5 and 10)</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62,110,290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115,772,677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net (See Note 3)</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4,357,898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4,369,637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3,765,084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2,022,614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1,142,576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432,648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525,904,483</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588,644,029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67,045,105 shares issued and outstanding</w:t>
            </w:r>
          </w:p>
        </w:tc>
        <w:tc>
          <w:tcPr>
            <w:tcW w:w="200" w:type="dxa"/>
            <w:vAlign w:val="bottom"/>
            <w:shd w:val="clear" w:color="auto" w:fill="CCECFF"/>
          </w:tcPr>
          <w:p>
            <w:pPr>
              <w:spacing w:after="0"/>
              <w:rPr>
                <w:sz w:val="12"/>
                <w:szCs w:val="12"/>
                <w:color w:val="auto"/>
              </w:rPr>
            </w:pPr>
          </w:p>
        </w:tc>
        <w:tc>
          <w:tcPr>
            <w:tcW w:w="13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787,625,031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787,625,031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Accumulated distributable net loss</w:t>
            </w:r>
          </w:p>
        </w:tc>
        <w:tc>
          <w:tcPr>
            <w:tcW w:w="200" w:type="dxa"/>
            <w:vAlign w:val="bottom"/>
            <w:shd w:val="clear" w:color="auto" w:fill="CCECFF"/>
          </w:tcPr>
          <w:p>
            <w:pPr>
              <w:spacing w:after="0"/>
              <w:rPr>
                <w:sz w:val="14"/>
                <w:szCs w:val="14"/>
                <w:color w:val="auto"/>
              </w:rPr>
            </w:pPr>
          </w:p>
        </w:tc>
        <w:tc>
          <w:tcPr>
            <w:tcW w:w="15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(144,610,581)</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(261,983,224)</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643,081,495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525,708,852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0" w:type="dxa"/>
            <w:vAlign w:val="bottom"/>
            <w:tcBorders>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1,168,985,978</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1,114,352,881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9.59</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2220" w:type="dxa"/>
            <w:vAlign w:val="bottom"/>
            <w:gridSpan w:val="5"/>
          </w:tcPr>
          <w:p>
            <w:pPr>
              <w:jc w:val="right"/>
              <w:ind w:right="319"/>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spacing w:after="0"/>
              <w:rPr>
                <w:sz w:val="13"/>
                <w:szCs w:val="13"/>
                <w:color w:val="auto"/>
              </w:rPr>
            </w:pPr>
          </w:p>
        </w:tc>
        <w:tc>
          <w:tcPr>
            <w:tcW w:w="4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60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11,972,559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20,118,883</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35,073,841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63,252,326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2,095,094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2,099,536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5,565,833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5,962,936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474,749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1,165,825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979,816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2,107,027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456,998</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2,278,866</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588,818</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6,732,901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1,793,442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1,977,974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1,434,567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4,982,468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5,830,555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 income</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1,694,000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4,667,000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20,493,242</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25,407,629</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58,458,857</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78,946,286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4,357,897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4,643,273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12,754,455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14,266,402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1,921,984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4,579,657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6,941,877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8,316,571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16,835,861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26,145,154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380,020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521,520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1,390,060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1,564,560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518,480</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643,480</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1,805,443</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1,936,322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performance-based incentive fee waiver and provision for taxes</w:t>
            </w:r>
          </w:p>
        </w:tc>
        <w:tc>
          <w:tcPr>
            <w:tcW w:w="4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12,198,274</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16,046,828</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32,785,819</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48,492,095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ind w:left="260"/>
              <w:spacing w:after="0" w:line="155" w:lineRule="exact"/>
              <w:rPr>
                <w:sz w:val="20"/>
                <w:szCs w:val="20"/>
                <w:color w:val="auto"/>
              </w:rPr>
            </w:pPr>
            <w:r>
              <w:rPr>
                <w:rFonts w:ascii="Arial" w:cs="Arial" w:eastAsia="Arial" w:hAnsi="Arial"/>
                <w:sz w:val="14"/>
                <w:szCs w:val="14"/>
                <w:color w:val="auto"/>
              </w:rPr>
              <w:t>Performance-based incentive fee waiver (See Note 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(1,921,984)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(1,921,984)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4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150,000</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450,000</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12,348,274</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14,424,844</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33,235,819</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47,470,111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8,144,968</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10,982,785</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25,223,038</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31,476,175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 on:</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41,687,247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(109,739)</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44,137,637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(10,719,114)</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(19,708,359)</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4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41,687,247</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(109,739)</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24,429,278</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(10,719,114)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4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(41,842,629)</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11,319,274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45,769,638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(12,334,358)</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25,512,201</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18,495,283</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64,581,297</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9"/>
              <w:spacing w:after="0"/>
              <w:rPr>
                <w:sz w:val="20"/>
                <w:szCs w:val="20"/>
                <w:color w:val="auto"/>
              </w:rPr>
            </w:pPr>
            <w:r>
              <w:rPr>
                <w:rFonts w:ascii="Arial" w:cs="Arial" w:eastAsia="Arial" w:hAnsi="Arial"/>
                <w:sz w:val="14"/>
                <w:szCs w:val="14"/>
                <w:color w:val="auto"/>
              </w:rPr>
              <w:t>(55,200,078)</w:t>
            </w: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(1,621,774)</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(25,073,673)</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(18,494,368)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21,301,111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4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(17,952,202)</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4,740,884</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91,856,567</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(46,233,325)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4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23,735,045</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4,631,145</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116,285,845</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(56,952,439)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4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31,880,013</w:t>
            </w:r>
          </w:p>
        </w:tc>
        <w:tc>
          <w:tcPr>
            <w:tcW w:w="2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15,613,930</w:t>
            </w:r>
          </w:p>
        </w:tc>
        <w:tc>
          <w:tcPr>
            <w:tcW w:w="2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141,508,883</w:t>
            </w:r>
          </w:p>
        </w:tc>
        <w:tc>
          <w:tcPr>
            <w:tcW w:w="2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(25,476,264</w:t>
            </w:r>
          </w:p>
        </w:tc>
        <w:tc>
          <w:tcPr>
            <w:tcW w:w="100" w:type="dxa"/>
            <w:vAlign w:val="bottom"/>
            <w:tcBorders>
              <w:bottom w:val="single" w:sz="8" w:color="CCECFF"/>
            </w:tcBorders>
            <w:shd w:val="clear" w:color="auto" w:fill="CCEC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w w:val="99"/>
              </w:rPr>
              <w:t>Net increase (decrease) in net assets resulting from operations per common share (See Note 7)</w:t>
            </w:r>
          </w:p>
        </w:tc>
        <w:tc>
          <w:tcPr>
            <w:tcW w:w="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Borders>
              <w:bottom w:val="single" w:sz="8" w:color="CCECFF"/>
            </w:tcBorders>
            <w:vMerge w:val="continue"/>
          </w:tcPr>
          <w:p>
            <w:pPr>
              <w:spacing w:after="0"/>
              <w:rPr>
                <w:sz w:val="15"/>
                <w:szCs w:val="15"/>
                <w:color w:val="auto"/>
              </w:rPr>
            </w:pPr>
          </w:p>
        </w:tc>
        <w:tc>
          <w:tcPr>
            <w:tcW w:w="480" w:type="dxa"/>
            <w:vAlign w:val="bottom"/>
            <w:tcBorders>
              <w:bottom w:val="single" w:sz="8" w:color="CCEC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0.48</w:t>
            </w:r>
          </w:p>
        </w:tc>
        <w:tc>
          <w:tcPr>
            <w:tcW w:w="22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22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2.11</w:t>
            </w:r>
          </w:p>
        </w:tc>
        <w:tc>
          <w:tcPr>
            <w:tcW w:w="220" w:type="dxa"/>
            <w:vAlign w:val="bottom"/>
            <w:tcBorders>
              <w:bottom w:val="single" w:sz="8" w:color="CCEC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(0.38)</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4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0.12</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0.38</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0.47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55"/>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8,144,968</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10,982,785</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25,223,038</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31,476,175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41,687,247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(109,739)</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24,429,278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(10,719,114)</w:t>
            </w: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(16,330,428)</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29,814,557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110,350,935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(67,534,436)</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(1,621,774)</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(25,073,673)</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(18,494,368)</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21,301,111</w:t>
            </w:r>
          </w:p>
        </w:tc>
        <w:tc>
          <w:tcPr>
            <w:tcW w:w="100" w:type="dxa"/>
            <w:vAlign w:val="bottom"/>
            <w:shd w:val="clear" w:color="auto" w:fill="CCECFF"/>
          </w:tcPr>
          <w:p>
            <w:pPr>
              <w:spacing w:after="0"/>
              <w:rPr>
                <w:sz w:val="14"/>
                <w:szCs w:val="14"/>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31,880,013</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15,613,930</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141,508,883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(25,476,264)</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(8,045,413)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(8,045,413)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(24,136,240)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(32,181,650)</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23,834,600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7,568,517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117,372,643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(57,657,914)</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619,246,895</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516,679,237</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525,708,852</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581,905,668</w:t>
            </w:r>
          </w:p>
        </w:tc>
        <w:tc>
          <w:tcPr>
            <w:tcW w:w="100" w:type="dxa"/>
            <w:vAlign w:val="bottom"/>
            <w:tcBorders>
              <w:bottom w:val="single" w:sz="8" w:color="CCECFF"/>
            </w:tcBorders>
          </w:tcPr>
          <w:p>
            <w:pPr>
              <w:spacing w:after="0"/>
              <w:rPr>
                <w:sz w:val="14"/>
                <w:szCs w:val="14"/>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643,081,495</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524,247,754</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643,081,495</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524,247,754</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141,508,883</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(25,476,264)</w:t>
            </w: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(110,350,935)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67,534,436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18,494,368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(21,301,111)</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(24,429,278)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10,719,114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(2,919,367)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(2,184,545)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(276,375,611)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(292,216,763)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(11,048,827)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(11,825,750)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358,632,487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114,085,199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2,012,037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1,302,122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124,503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995,645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distribution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(300,284)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prepaid expenses and 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376,030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(437,143)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payable for investments purchased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(2,444,008)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interest payable on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1,742,470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2,770,690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base management fee payable, net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(11,739)</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709,928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(71,729)</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95,720,657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(156,104,306)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(24,136,238)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(36,204,356)</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2024 Notes issuance</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10,912,500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Proceeds from 2026 Notes issuance</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145,464,500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(55,000,000)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(16,500,000)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BNP Credit Facility</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Truist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148,311,500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Truist Credit Facility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(322,018,601)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(188,000,000)</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(107,378,839)</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148,208,144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(11,658,182)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(7,896,162)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64,433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(55,030)</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25,806,002</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59,516,236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14,212,253</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51,565,044</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13,081,354</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22,072,342</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658,317</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805,976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16,515,842</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91,204,799</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20" w:type="dxa"/>
            <w:vAlign w:val="bottom"/>
          </w:tcPr>
          <w:p>
            <w:pPr>
              <w:spacing w:after="0"/>
              <w:rPr>
                <w:sz w:val="10"/>
                <w:szCs w:val="10"/>
                <w:color w:val="auto"/>
              </w:rPr>
            </w:pPr>
          </w:p>
        </w:tc>
        <w:tc>
          <w:tcPr>
            <w:tcW w:w="92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920" w:type="dxa"/>
            <w:vAlign w:val="bottom"/>
          </w:tcPr>
          <w:p>
            <w:pPr>
              <w:ind w:left="180"/>
              <w:spacing w:after="0"/>
              <w:rPr>
                <w:sz w:val="20"/>
                <w:szCs w:val="20"/>
                <w:color w:val="auto"/>
              </w:rPr>
            </w:pPr>
            <w:r>
              <w:rPr>
                <w:rFonts w:ascii="Arial" w:cs="Arial" w:eastAsia="Arial" w:hAnsi="Arial"/>
                <w:sz w:val="11"/>
                <w:szCs w:val="11"/>
                <w:b w:val="1"/>
                <w:bCs w:val="1"/>
                <w:color w:val="auto"/>
              </w:rPr>
              <w:t>Expiration</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39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3"/>
              </w:rPr>
              <w:t xml:space="preserve">Investments in Non-Controlled, Non-Affiliated Portfolio Companies—98.6% </w:t>
            </w:r>
            <w:r>
              <w:rPr>
                <w:rFonts w:ascii="Arial" w:cs="Arial" w:eastAsia="Arial" w:hAnsi="Arial"/>
                <w:sz w:val="9"/>
                <w:szCs w:val="9"/>
                <w:b w:val="1"/>
                <w:bCs w:val="1"/>
                <w:color w:val="auto"/>
                <w:w w:val="93"/>
              </w:rPr>
              <w:t>(1), (2)</w:t>
            </w:r>
          </w:p>
        </w:tc>
        <w:tc>
          <w:tcPr>
            <w:tcW w:w="2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b w:val="1"/>
                <w:bCs w:val="1"/>
                <w:color w:val="auto"/>
              </w:rPr>
              <w:t>First Lien Secured Debt—67.1%</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08/11/2025</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8,281,547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7,559,230</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8,447,178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Ad.net Acquisition,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05/06/2026</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center"/>
              <w:ind w:left="66"/>
              <w:spacing w:after="0"/>
              <w:rPr>
                <w:sz w:val="20"/>
                <w:szCs w:val="20"/>
                <w:color w:val="auto"/>
              </w:rPr>
            </w:pPr>
            <w:r>
              <w:rPr>
                <w:rFonts w:ascii="Arial" w:cs="Arial" w:eastAsia="Arial" w:hAnsi="Arial"/>
                <w:sz w:val="11"/>
                <w:szCs w:val="11"/>
                <w:color w:val="auto"/>
                <w:w w:val="85"/>
              </w:rPr>
              <w:t>6,666,667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6,568,578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6,566,667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Ad.net Acquisition, LLC (Revolver)</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05/06/2026</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89"/>
              </w:rPr>
              <w:t>94,444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94,444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93,028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05/06/2026</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center"/>
              <w:ind w:left="66"/>
              <w:spacing w:after="0"/>
              <w:rPr>
                <w:sz w:val="20"/>
                <w:szCs w:val="20"/>
                <w:color w:val="auto"/>
              </w:rPr>
            </w:pPr>
            <w:r>
              <w:rPr>
                <w:rFonts w:ascii="Arial" w:cs="Arial" w:eastAsia="Arial" w:hAnsi="Arial"/>
                <w:sz w:val="11"/>
                <w:szCs w:val="11"/>
                <w:color w:val="auto"/>
                <w:w w:val="85"/>
              </w:rPr>
              <w:t>461,111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(6,917)</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 (Revolver)</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07/24/2025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89"/>
              </w:rPr>
              <w:t>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47,250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07/24/2025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center"/>
              <w:ind w:left="66"/>
              <w:spacing w:after="0"/>
              <w:rPr>
                <w:sz w:val="20"/>
                <w:szCs w:val="20"/>
                <w:color w:val="auto"/>
              </w:rPr>
            </w:pPr>
            <w:r>
              <w:rPr>
                <w:rFonts w:ascii="Arial" w:cs="Arial" w:eastAsia="Arial" w:hAnsi="Arial"/>
                <w:sz w:val="11"/>
                <w:szCs w:val="11"/>
                <w:color w:val="auto"/>
                <w:w w:val="85"/>
              </w:rPr>
              <w:t>137,500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(7,562)</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12/21/2023</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15,835,726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15,662,946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15,677,369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07/31/2025</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1,335,239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1,335,239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1,335,239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06/29/2022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(9,375)</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12/29/2026</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(15,000)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02/13/2023</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6,153,097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6,122,942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6,153,097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Broder Bros., Co.</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12/02/2022</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25,476,418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25,477,026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24,712,126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02/09/2026</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3,578,714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3,520,673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3,474,573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Compex Legal Services, Inc. (Revolver)</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02/07/2025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458,962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458,962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445,606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02/07/2025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(5,724)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Crash Champions,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08/05/2025</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2,800,000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2,773,287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2,730,000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Crash Champions,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05/14/2022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(48,000)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01/24/2025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DermaRite Industries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03/03/2022</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8,433,635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8,410,936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8,433,635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DRS Holdings III, Inc.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11/03/2025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9,900,538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9,950,000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11/03/2025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1,782,555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(8,913)</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ECL Entertainment,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03/31/2028</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8,769,231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8,683,050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8,944,615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12/23/2025</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(2,588)</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Gantech Acquisition Corp.</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05/14/2026</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19,606,416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19,600,000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05/14/2026</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1,991,084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(39,822)</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12/31/2022</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(15,000)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12/31/2026</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HW Holdco,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12/10/2024</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2,547,581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2,531,061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2,509,367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HW Holdco, LLC (Revolver)</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12/10/2024</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2,167,742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2,167,742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2,135,226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12/10/2024</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1,219,355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(18,290)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06/27/2023</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19,514,976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19,458,342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19,563,764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IMIA Holdings, Inc.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04/09/2027</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13,623,288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13,362,534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13,350,822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04/09/2027</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1,673,705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(33,474)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Integrity Marketing Acquisition,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08/27/2025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16,541,605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16,436,870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16,293,481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12/22/2021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2,695,203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2,686,815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2,695,203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12/20/2023</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11,830,000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11,733,297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11,517,688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 (Revolver)</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12/20/2023</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872,143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872,143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849,118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12/20/2023</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1,065,952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(28,141)</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10/31/2024</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0"/>
              </w:rPr>
              <w:t>Leisure, Amusement, Motion Pictures, Entertainment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775,092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726,804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Lightspeed Buyer Inc.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02/03/2026</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1,552,452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1,539,149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1,529,166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08/03/2021</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882,075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(4,410)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Lightspeed Buyer Inc. (Revolver)</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02/03/2026</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388,593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388,593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382,765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02/03/2026</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777,187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(11,658)</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Lombart Brothers, Inc.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04/13/2023</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1,038,371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1,038,371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1,038,371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 (Revolver)</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04/13/2023</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737,293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737,293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737,293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Mars Acquisition Holdings Corp.</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85"/>
              </w:rPr>
              <w:t>5/14/2026</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8,000,000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7,842,903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7,840,000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85"/>
              </w:rPr>
              <w:t>5/14/2026</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806,142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(16,123)</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MBS Holdings, Inc.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04/16/2027</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694,444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(13,889)</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05/23/2024</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2,795,763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2,769,831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2,746,837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05/23/2024</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(44,071)</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OIS Management Services,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06/15/2026</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2,955,000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2,955,000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06/15/2023</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06/15/2023</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One Stop Mailing,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05/07/2027</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Cargo Transport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14,701,455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14,737,500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05/18/2026</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15,710,625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15,465,973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15,396,413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05/18/2026</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2,419,355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(48,387)</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08/07/2025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22,998,761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19,745,280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20,583,891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11.50%)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PRA Events, Inc. (Revolver)</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08/07/2025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L+1,050</w:t>
            </w:r>
          </w:p>
        </w:tc>
        <w:tc>
          <w:tcPr>
            <w:tcW w:w="660" w:type="dxa"/>
            <w:vAlign w:val="bottom"/>
          </w:tcPr>
          <w:p>
            <w:pPr>
              <w:jc w:val="right"/>
              <w:spacing w:after="0"/>
              <w:rPr>
                <w:sz w:val="20"/>
                <w:szCs w:val="20"/>
                <w:color w:val="auto"/>
              </w:rPr>
            </w:pPr>
            <w:r>
              <w:rPr>
                <w:rFonts w:ascii="Arial" w:cs="Arial" w:eastAsia="Arial" w:hAnsi="Arial"/>
                <w:sz w:val="11"/>
                <w:szCs w:val="11"/>
                <w:color w:val="auto"/>
              </w:rPr>
              <w:t>2,390,931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2,052,702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2,139,883</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11.50%)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09/09/2024</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21,881,250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21,620,983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20,349,563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Questex, LLC (Revolver)</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09/09/2024</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2,154,255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2,154,255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2,003,457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09/09/2024</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1,436,170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(100,532)</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03/31/2025</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2,227,142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(62,805)</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Rancho Health MSO, Inc.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12/18/2025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3,665,813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3,590,724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3,601,661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12/18/2022</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(18,375)</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Rancho Health MSO, Inc. (Revolver)</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12/18/2025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515,812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9"/>
                <w:szCs w:val="9"/>
                <w:color w:val="auto"/>
              </w:rPr>
              <w:t>(7)</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01/29/2026</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1,126,761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(11,268)</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06/28/2022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27,767,736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27,650,002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27,351,220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Research Now Group, Inc. and Dynata,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12/20/2024</w:t>
            </w:r>
          </w:p>
        </w:tc>
        <w:tc>
          <w:tcPr>
            <w:tcW w:w="270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2,891,260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2,891,260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2,851,505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06/20/2025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03/10/2025</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16,251,968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16,014,542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15,683,150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01/03/2025</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(31,098)</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Sargent &amp; Greenleaf Inc. (Revolver)</w:t>
            </w:r>
          </w:p>
        </w:tc>
        <w:tc>
          <w:tcPr>
            <w:tcW w:w="920" w:type="dxa"/>
            <w:vAlign w:val="bottom"/>
          </w:tcPr>
          <w:p>
            <w:pPr>
              <w:jc w:val="center"/>
              <w:ind w:right="6"/>
              <w:spacing w:after="0"/>
              <w:rPr>
                <w:sz w:val="20"/>
                <w:szCs w:val="20"/>
                <w:color w:val="auto"/>
              </w:rPr>
            </w:pPr>
            <w:r>
              <w:rPr>
                <w:rFonts w:ascii="Arial" w:cs="Arial" w:eastAsia="Arial" w:hAnsi="Arial"/>
                <w:sz w:val="11"/>
                <w:szCs w:val="11"/>
                <w:color w:val="auto"/>
                <w:w w:val="90"/>
              </w:rPr>
              <w:t>12/20/2024</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298,972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298,972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297,477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920" w:type="dxa"/>
            <w:vAlign w:val="bottom"/>
            <w:shd w:val="clear" w:color="auto" w:fill="CCECFF"/>
          </w:tcPr>
          <w:p>
            <w:pPr>
              <w:jc w:val="center"/>
              <w:ind w:right="6"/>
              <w:spacing w:after="0"/>
              <w:rPr>
                <w:sz w:val="20"/>
                <w:szCs w:val="20"/>
                <w:color w:val="auto"/>
              </w:rPr>
            </w:pPr>
            <w:r>
              <w:rPr>
                <w:rFonts w:ascii="Arial" w:cs="Arial" w:eastAsia="Arial" w:hAnsi="Arial"/>
                <w:sz w:val="11"/>
                <w:szCs w:val="11"/>
                <w:color w:val="auto"/>
                <w:w w:val="90"/>
              </w:rPr>
              <w:t>12/20/2024</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298,972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(1,495)</w:t>
            </w:r>
          </w:p>
        </w:tc>
      </w:tr>
    </w:tbl>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Pr>
          <w:p>
            <w:pPr>
              <w:spacing w:after="0"/>
              <w:rPr>
                <w:sz w:val="11"/>
                <w:szCs w:val="11"/>
                <w:color w:val="auto"/>
              </w:rPr>
            </w:pPr>
          </w:p>
        </w:tc>
      </w:tr>
      <w:tr>
        <w:trPr>
          <w:trHeight w:val="132"/>
        </w:trPr>
        <w:tc>
          <w:tcPr>
            <w:tcW w:w="3020" w:type="dxa"/>
            <w:vAlign w:val="bottom"/>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07/14/2025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514,739</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509,764</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482,568</w:t>
            </w:r>
          </w:p>
        </w:tc>
        <w:tc>
          <w:tcPr>
            <w:tcW w:w="100" w:type="dxa"/>
            <w:vAlign w:val="bottom"/>
          </w:tcPr>
          <w:p>
            <w:pPr>
              <w:spacing w:after="0"/>
              <w:rPr>
                <w:sz w:val="11"/>
                <w:szCs w:val="11"/>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07/14/2025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15,832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Schlesinger Global, Inc. (Revolver)</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07/14/2025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(1,390)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Sigma Defense Systems,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12/18/2025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6,561,403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6,413,251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6,430,174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Sigma Defense Systems, LLC (Revolver)</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12/18/2025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380,348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380,348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372,741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12/18/2025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(11,410)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Signature Systems Holding Company - Term Loan II</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12/31/2021</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L+750</w:t>
            </w:r>
          </w:p>
        </w:tc>
        <w:tc>
          <w:tcPr>
            <w:tcW w:w="660" w:type="dxa"/>
            <w:vAlign w:val="bottom"/>
          </w:tcPr>
          <w:p>
            <w:pPr>
              <w:jc w:val="right"/>
              <w:spacing w:after="0"/>
              <w:rPr>
                <w:sz w:val="20"/>
                <w:szCs w:val="20"/>
                <w:color w:val="auto"/>
              </w:rPr>
            </w:pPr>
            <w:r>
              <w:rPr>
                <w:rFonts w:ascii="Arial" w:cs="Arial" w:eastAsia="Arial" w:hAnsi="Arial"/>
                <w:sz w:val="11"/>
                <w:szCs w:val="11"/>
                <w:color w:val="auto"/>
              </w:rPr>
              <w:t>806,452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798,448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790,323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05/03/2024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1,209,677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1,209,677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1,185,484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05/03/2024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806,452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(16,129)</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01/17/2024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Spear Education,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14,935,938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14,811,118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14,935,938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02/26/2022</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Spectacle Gary Holdings,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21,546,000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20,950,185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23,431,275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03/01/2026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620,155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(8),(11)</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11/24/2025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1,775,602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1,775,602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1,722,334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03/26/2026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15,545,143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15,369,968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15,389,692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03/26/2026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2,702,152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(27,021)</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4,136,641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4,136,641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4,136,641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1,643,571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04/01/2026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363,610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(1,273)</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02/13/2023</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8,034,021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8,034,021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8,034,020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03/31/2027</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24,336,404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24,314,062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1,632,819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1,615,783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1,623,750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02/27/2022</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(8,658)</w:t>
            </w: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430,587,493</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431,196,452</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Second Lien Secured Debt—14.2%</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Atlas Purchaser,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05/07/2029</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16,493,629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16,830,000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Data Axle,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20,204,273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20,400,000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32,096,343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31,118,750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Inventus Power,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09/29/2024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13,500,000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13,245,552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13,230,000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QuantiTech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02/04/2027</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VT Topco, Inc.</w:t>
            </w:r>
          </w:p>
        </w:tc>
        <w:tc>
          <w:tcPr>
            <w:tcW w:w="640" w:type="dxa"/>
            <w:vAlign w:val="bottom"/>
            <w:tcBorders>
              <w:bottom w:val="single" w:sz="8" w:color="CCECFF"/>
            </w:tcBorders>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7.10%</w:t>
            </w:r>
          </w:p>
        </w:tc>
        <w:tc>
          <w:tcPr>
            <w:tcW w:w="10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9,958,354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9,900,000</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92,145,284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91,626,125</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Pr>
          <w:p>
            <w:pPr>
              <w:spacing w:after="0"/>
              <w:rPr>
                <w:sz w:val="20"/>
                <w:szCs w:val="20"/>
                <w:color w:val="auto"/>
              </w:rPr>
            </w:pPr>
            <w:r>
              <w:rPr>
                <w:rFonts w:ascii="Arial" w:cs="Arial" w:eastAsia="Arial" w:hAnsi="Arial"/>
                <w:sz w:val="11"/>
                <w:szCs w:val="11"/>
                <w:b w:val="1"/>
                <w:bCs w:val="1"/>
                <w:color w:val="auto"/>
              </w:rPr>
              <w:t>Subordinated Debt/Corporate Notes—8.6%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14,263,093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14,083,298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14,191,777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2.00%)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12/30/2023</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41,120,269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40,782,553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41,325,870</w:t>
            </w:r>
          </w:p>
        </w:tc>
        <w:tc>
          <w:tcPr>
            <w:tcW w:w="100" w:type="dxa"/>
            <w:vAlign w:val="bottom"/>
          </w:tcPr>
          <w:p>
            <w:pPr>
              <w:spacing w:after="0"/>
              <w:rPr>
                <w:sz w:val="12"/>
                <w:szCs w:val="12"/>
                <w:color w:val="auto"/>
              </w:rPr>
            </w:pPr>
          </w:p>
        </w:tc>
      </w:tr>
      <w:tr>
        <w:trPr>
          <w:trHeight w:val="131"/>
        </w:trPr>
        <w:tc>
          <w:tcPr>
            <w:tcW w:w="30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13.00%)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54,865,851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55,517,647</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Interests—3.8%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Ad.net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930,206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16.00%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178,304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17,607,478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20,311,808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Mars Intermediate Holdings II,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414,000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414,000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676,524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159,808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186,532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1,527,026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1,358,016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219</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219,012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255,740</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21,267,324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24,432,826</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Interests/Warrants—18.1% </w:t>
            </w:r>
            <w:r>
              <w:rPr>
                <w:rFonts w:ascii="Arial" w:cs="Arial" w:eastAsia="Arial" w:hAnsi="Arial"/>
                <w:sz w:val="9"/>
                <w:szCs w:val="9"/>
                <w:b w:val="1"/>
                <w:bCs w:val="1"/>
                <w:color w:val="auto"/>
                <w:w w:val="98"/>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Ad.net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1,157,814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39,635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586,975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845,080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Atlas Investment Aggregator,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Telecomunications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1,717,000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2,852,080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829,200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419,364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134,180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1,409,866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2,523,354</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Cowboy Parent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1,570,218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Crash Champion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213,998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594,427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516,652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1,004,625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692,475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1,053,800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2,136,192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8,896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1,758,681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GCOM InvestCo LP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809,488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452,289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675,325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891,429</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4,892,722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40" w:type="dxa"/>
            <w:vAlign w:val="bottom"/>
          </w:tcPr>
          <w:p>
            <w:pPr>
              <w:spacing w:after="0"/>
              <w:rPr>
                <w:sz w:val="10"/>
                <w:szCs w:val="10"/>
                <w:color w:val="auto"/>
              </w:rPr>
            </w:pP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450,000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625,660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Infogroup Parent Holdings, Inc. (Data Axle,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2,609,348</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396,000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415,578</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61,206,426</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9,462,933</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(5)</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975,294</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960,832</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785,497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309,959</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Mars Intermidiate Holdings II,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10,082</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1,262,432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1,893,428</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3,261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112,559</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978,695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1,219,574</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Oral Surgery (ITC)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62,500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65,957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400,551</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22,632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RFMG Parent, LP (Rancho Health MSO, Inc.)</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1,050,000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36,585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365,854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218,694</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80,370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1,749,600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4,186,635</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232,558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232,558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286,182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68,124</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3,021,880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1,273,813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UniVista Insurance</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400,000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231,400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388,832</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ZS Juniper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Personal, Food and Miscellaneous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1,056,250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4,566,979</w:t>
            </w:r>
          </w:p>
        </w:tc>
        <w:tc>
          <w:tcPr>
            <w:tcW w:w="100" w:type="dxa"/>
            <w:vAlign w:val="bottom"/>
          </w:tcPr>
          <w:p>
            <w:pPr>
              <w:spacing w:after="0"/>
              <w:rPr>
                <w:sz w:val="12"/>
                <w:szCs w:val="12"/>
                <w:color w:val="auto"/>
              </w:rPr>
            </w:pPr>
          </w:p>
        </w:tc>
      </w:tr>
      <w:tr>
        <w:trPr>
          <w:trHeight w:val="131"/>
        </w:trPr>
        <w:tc>
          <w:tcPr>
            <w:tcW w:w="3040" w:type="dxa"/>
            <w:vAlign w:val="bottom"/>
            <w:tcBorders>
              <w:bottom w:val="single" w:sz="8" w:color="CCECFF"/>
            </w:tcBorders>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35,257,351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116,554,162</w:t>
            </w:r>
          </w:p>
        </w:tc>
        <w:tc>
          <w:tcPr>
            <w:tcW w:w="100" w:type="dxa"/>
            <w:vAlign w:val="bottom"/>
            <w:shd w:val="clear" w:color="auto" w:fill="CCECFF"/>
          </w:tcPr>
          <w:p>
            <w:pPr>
              <w:spacing w:after="0"/>
              <w:rPr>
                <w:sz w:val="11"/>
                <w:szCs w:val="11"/>
                <w:color w:val="auto"/>
              </w:rPr>
            </w:pPr>
          </w:p>
        </w:tc>
      </w:tr>
      <w:tr>
        <w:trPr>
          <w:trHeight w:val="128"/>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634,123,303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719,327,212</w:t>
            </w:r>
          </w:p>
        </w:tc>
        <w:tc>
          <w:tcPr>
            <w:tcW w:w="100" w:type="dxa"/>
            <w:vAlign w:val="bottom"/>
            <w:tcBorders>
              <w:bottom w:val="single" w:sz="8" w:color="CCECFF"/>
            </w:tcBorders>
          </w:tcPr>
          <w:p>
            <w:pPr>
              <w:spacing w:after="0"/>
              <w:rPr>
                <w:sz w:val="11"/>
                <w:szCs w:val="11"/>
                <w:color w:val="auto"/>
              </w:rPr>
            </w:pPr>
          </w:p>
        </w:tc>
      </w:tr>
      <w:tr>
        <w:trPr>
          <w:trHeight w:val="129"/>
        </w:trPr>
        <w:tc>
          <w:tcPr>
            <w:tcW w:w="390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w w:val="99"/>
              </w:rPr>
              <w:t xml:space="preserve">Investments in Non-Controlled, Affiliated Portfolio Companies—7.6% </w:t>
            </w:r>
            <w:r>
              <w:rPr>
                <w:rFonts w:ascii="Arial" w:cs="Arial" w:eastAsia="Arial" w:hAnsi="Arial"/>
                <w:sz w:val="9"/>
                <w:szCs w:val="9"/>
                <w:b w:val="1"/>
                <w:bCs w:val="1"/>
                <w:color w:val="auto"/>
                <w:w w:val="99"/>
              </w:rPr>
              <w:t>(1), (2)</w:t>
            </w: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Interests—6.2%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40,127,353</w:t>
            </w:r>
          </w:p>
        </w:tc>
        <w:tc>
          <w:tcPr>
            <w:tcW w:w="10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21,565,389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40,127,353</w:t>
            </w:r>
          </w:p>
        </w:tc>
        <w:tc>
          <w:tcPr>
            <w:tcW w:w="100" w:type="dxa"/>
            <w:vAlign w:val="bottom"/>
            <w:shd w:val="clear" w:color="auto" w:fill="CCECFF"/>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 xml:space="preserve">Common Equity/Partnership Interests/Warrants—1.4%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24,789,935</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8,755,423</w:t>
            </w:r>
          </w:p>
        </w:tc>
        <w:tc>
          <w:tcPr>
            <w:tcW w:w="100" w:type="dxa"/>
            <w:vAlign w:val="bottom"/>
            <w:shd w:val="clear" w:color="auto" w:fill="CCECFF"/>
          </w:tcPr>
          <w:p>
            <w:pPr>
              <w:spacing w:after="0"/>
              <w:rPr>
                <w:sz w:val="11"/>
                <w:szCs w:val="11"/>
                <w:color w:val="auto"/>
              </w:rPr>
            </w:pPr>
          </w:p>
        </w:tc>
      </w:tr>
      <w:tr>
        <w:trPr>
          <w:trHeight w:val="129"/>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56,063,531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8,755,423</w:t>
            </w:r>
          </w:p>
        </w:tc>
        <w:tc>
          <w:tcPr>
            <w:tcW w:w="100" w:type="dxa"/>
            <w:vAlign w:val="bottom"/>
            <w:tcBorders>
              <w:bottom w:val="single" w:sz="8" w:color="CCECFF"/>
            </w:tcBorders>
          </w:tcPr>
          <w:p>
            <w:pPr>
              <w:spacing w:after="0"/>
              <w:rPr>
                <w:sz w:val="11"/>
                <w:szCs w:val="11"/>
                <w:color w:val="auto"/>
              </w:rPr>
            </w:pPr>
          </w:p>
        </w:tc>
      </w:tr>
      <w:tr>
        <w:trPr>
          <w:trHeight w:val="128"/>
        </w:trPr>
        <w:tc>
          <w:tcPr>
            <w:tcW w:w="390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77,628,920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48,882,776</w:t>
            </w:r>
          </w:p>
        </w:tc>
        <w:tc>
          <w:tcPr>
            <w:tcW w:w="100" w:type="dxa"/>
            <w:vAlign w:val="bottom"/>
            <w:shd w:val="clear" w:color="auto" w:fill="CCECFF"/>
          </w:tcPr>
          <w:p>
            <w:pPr>
              <w:spacing w:after="0"/>
              <w:rPr>
                <w:sz w:val="11"/>
                <w:szCs w:val="11"/>
                <w:color w:val="auto"/>
              </w:rPr>
            </w:pPr>
          </w:p>
        </w:tc>
      </w:tr>
      <w:tr>
        <w:trPr>
          <w:trHeight w:val="128"/>
        </w:trPr>
        <w:tc>
          <w:tcPr>
            <w:tcW w:w="3900" w:type="dxa"/>
            <w:vAlign w:val="bottom"/>
            <w:gridSpan w:val="4"/>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Companies—59.1% </w:t>
            </w:r>
            <w:r>
              <w:rPr>
                <w:rFonts w:ascii="Arial" w:cs="Arial" w:eastAsia="Arial" w:hAnsi="Arial"/>
                <w:sz w:val="9"/>
                <w:szCs w:val="9"/>
                <w:b w:val="1"/>
                <w:bCs w:val="1"/>
                <w:color w:val="auto"/>
              </w:rPr>
              <w:t>(1), (2)</w:t>
            </w: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First Lien Secured Debt—6.4%</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20" w:type="dxa"/>
            <w:vAlign w:val="bottom"/>
            <w:tcBorders>
              <w:bottom w:val="single" w:sz="8" w:color="CCECFF"/>
            </w:tcBorders>
            <w:gridSpan w:val="2"/>
          </w:tcPr>
          <w:p>
            <w:pPr>
              <w:ind w:left="120"/>
              <w:spacing w:after="0"/>
              <w:rPr>
                <w:sz w:val="20"/>
                <w:szCs w:val="20"/>
                <w:color w:val="auto"/>
              </w:rPr>
            </w:pPr>
            <w:r>
              <w:rPr>
                <w:rFonts w:ascii="Arial" w:cs="Arial" w:eastAsia="Arial" w:hAnsi="Arial"/>
                <w:sz w:val="11"/>
                <w:szCs w:val="11"/>
                <w:color w:val="auto"/>
                <w:w w:val="87"/>
              </w:rPr>
              <w:t>03/13/2024</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7.50%</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1"/>
                <w:szCs w:val="11"/>
                <w:color w:val="auto"/>
              </w:rPr>
              <w:t>£  30,000,000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41,696,550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41,443,500</w:t>
            </w:r>
          </w:p>
        </w:tc>
        <w:tc>
          <w:tcPr>
            <w:tcW w:w="100" w:type="dxa"/>
            <w:vAlign w:val="bottom"/>
            <w:tcBorders>
              <w:bottom w:val="single" w:sz="8" w:color="CCECFF"/>
            </w:tcBorders>
          </w:tcPr>
          <w:p>
            <w:pPr>
              <w:spacing w:after="0"/>
              <w:rPr>
                <w:sz w:val="11"/>
                <w:szCs w:val="11"/>
                <w:color w:val="auto"/>
              </w:rPr>
            </w:pPr>
          </w:p>
        </w:tc>
      </w:tr>
      <w:tr>
        <w:trPr>
          <w:trHeight w:val="129"/>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41,696,550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41,443,500</w:t>
            </w:r>
          </w:p>
        </w:tc>
        <w:tc>
          <w:tcPr>
            <w:tcW w:w="100" w:type="dxa"/>
            <w:vAlign w:val="bottom"/>
            <w:shd w:val="clear" w:color="auto" w:fill="CCECFF"/>
          </w:tcPr>
          <w:p>
            <w:pPr>
              <w:spacing w:after="0"/>
              <w:rPr>
                <w:sz w:val="11"/>
                <w:szCs w:val="1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Maturity /</w:t>
            </w: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2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Second Lien Secured Debt—10.5%</w:t>
            </w:r>
          </w:p>
        </w:tc>
        <w:tc>
          <w:tcPr>
            <w:tcW w:w="98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Mailsouth Inc.</w:t>
            </w:r>
          </w:p>
        </w:tc>
        <w:tc>
          <w:tcPr>
            <w:tcW w:w="980" w:type="dxa"/>
            <w:vAlign w:val="bottom"/>
            <w:shd w:val="clear" w:color="auto" w:fill="CCECFF"/>
          </w:tcPr>
          <w:p>
            <w:pPr>
              <w:ind w:left="120"/>
              <w:spacing w:after="0"/>
              <w:rPr>
                <w:sz w:val="20"/>
                <w:szCs w:val="20"/>
                <w:color w:val="auto"/>
              </w:rPr>
            </w:pPr>
            <w:r>
              <w:rPr>
                <w:rFonts w:ascii="Arial" w:cs="Arial" w:eastAsia="Arial" w:hAnsi="Arial"/>
                <w:sz w:val="11"/>
                <w:szCs w:val="11"/>
                <w:color w:val="auto"/>
              </w:rPr>
              <w:t>04/23/2025</w:t>
            </w:r>
          </w:p>
        </w:tc>
        <w:tc>
          <w:tcPr>
            <w:tcW w:w="258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15.00%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10,687,269</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10,687,267</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10,687,268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PT Network Intermediate Holdings, LLC</w:t>
            </w:r>
          </w:p>
        </w:tc>
        <w:tc>
          <w:tcPr>
            <w:tcW w:w="980" w:type="dxa"/>
            <w:vAlign w:val="bottom"/>
          </w:tcPr>
          <w:p>
            <w:pPr>
              <w:ind w:left="120"/>
              <w:spacing w:after="0"/>
              <w:rPr>
                <w:sz w:val="20"/>
                <w:szCs w:val="20"/>
                <w:color w:val="auto"/>
              </w:rPr>
            </w:pPr>
            <w:r>
              <w:rPr>
                <w:rFonts w:ascii="Arial" w:cs="Arial" w:eastAsia="Arial" w:hAnsi="Arial"/>
                <w:sz w:val="11"/>
                <w:szCs w:val="11"/>
                <w:color w:val="auto"/>
              </w:rPr>
              <w:t>11/30/2024</w:t>
            </w:r>
          </w:p>
        </w:tc>
        <w:tc>
          <w:tcPr>
            <w:tcW w:w="258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56,996,697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56,677,904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56,996,697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98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67,365,171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67,683,965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Subordinated Debt—10.0%</w:t>
            </w:r>
          </w:p>
        </w:tc>
        <w:tc>
          <w:tcPr>
            <w:tcW w:w="9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980" w:type="dxa"/>
            <w:vAlign w:val="bottom"/>
            <w:shd w:val="clear" w:color="auto" w:fill="CCECFF"/>
          </w:tcPr>
          <w:p>
            <w:pPr>
              <w:ind w:left="120"/>
              <w:spacing w:after="0"/>
              <w:rPr>
                <w:sz w:val="20"/>
                <w:szCs w:val="20"/>
                <w:color w:val="auto"/>
              </w:rPr>
            </w:pPr>
            <w:r>
              <w:rPr>
                <w:rFonts w:ascii="Arial" w:cs="Arial" w:eastAsia="Arial" w:hAnsi="Arial"/>
                <w:sz w:val="11"/>
                <w:szCs w:val="11"/>
                <w:color w:val="auto"/>
              </w:rPr>
              <w:t>07/31/2027</w:t>
            </w:r>
          </w:p>
        </w:tc>
        <w:tc>
          <w:tcPr>
            <w:tcW w:w="258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64,154,570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64,154,571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64,154,571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Subordinated Debt</w:t>
            </w:r>
          </w:p>
        </w:tc>
        <w:tc>
          <w:tcPr>
            <w:tcW w:w="98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Equity—2.0% </w:t>
            </w:r>
            <w:r>
              <w:rPr>
                <w:rFonts w:ascii="Arial" w:cs="Arial" w:eastAsia="Arial" w:hAnsi="Arial"/>
                <w:sz w:val="9"/>
                <w:szCs w:val="9"/>
                <w:b w:val="1"/>
                <w:bCs w:val="1"/>
                <w:color w:val="auto"/>
              </w:rPr>
              <w:t>(6)</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CI (PTN) Investment Holdings II, LLC</w:t>
            </w:r>
          </w:p>
        </w:tc>
        <w:tc>
          <w:tcPr>
            <w:tcW w:w="980" w:type="dxa"/>
            <w:vAlign w:val="bottom"/>
          </w:tcPr>
          <w:p>
            <w:pPr>
              <w:ind w:left="360"/>
              <w:spacing w:after="0"/>
              <w:rPr>
                <w:sz w:val="20"/>
                <w:szCs w:val="20"/>
                <w:color w:val="auto"/>
              </w:rPr>
            </w:pPr>
            <w:r>
              <w:rPr>
                <w:rFonts w:ascii="Arial" w:cs="Arial" w:eastAsia="Arial" w:hAnsi="Arial"/>
                <w:sz w:val="11"/>
                <w:szCs w:val="11"/>
                <w:color w:val="auto"/>
              </w:rPr>
              <w:t>—</w:t>
            </w:r>
          </w:p>
        </w:tc>
        <w:tc>
          <w:tcPr>
            <w:tcW w:w="258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9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980" w:type="dxa"/>
            <w:vAlign w:val="bottom"/>
            <w:shd w:val="clear" w:color="auto" w:fill="CCECFF"/>
          </w:tcPr>
          <w:p>
            <w:pPr>
              <w:spacing w:after="0"/>
              <w:rPr>
                <w:sz w:val="11"/>
                <w:szCs w:val="11"/>
                <w:color w:val="auto"/>
              </w:rPr>
            </w:pPr>
          </w:p>
        </w:tc>
        <w:tc>
          <w:tcPr>
            <w:tcW w:w="258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10,725,000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13,110,532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Preferred Equity</w:t>
            </w:r>
          </w:p>
        </w:tc>
        <w:tc>
          <w:tcPr>
            <w:tcW w:w="98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13,110,532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Equity—30.1% </w:t>
            </w:r>
            <w:r>
              <w:rPr>
                <w:rFonts w:ascii="Arial" w:cs="Arial" w:eastAsia="Arial" w:hAnsi="Arial"/>
                <w:sz w:val="9"/>
                <w:szCs w:val="9"/>
                <w:b w:val="1"/>
                <w:bCs w:val="1"/>
                <w:color w:val="auto"/>
              </w:rPr>
              <w:t>(6)</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980" w:type="dxa"/>
            <w:vAlign w:val="bottom"/>
          </w:tcPr>
          <w:p>
            <w:pPr>
              <w:ind w:left="360"/>
              <w:spacing w:after="0"/>
              <w:rPr>
                <w:sz w:val="20"/>
                <w:szCs w:val="20"/>
                <w:color w:val="auto"/>
              </w:rPr>
            </w:pPr>
            <w:r>
              <w:rPr>
                <w:rFonts w:ascii="Arial" w:cs="Arial" w:eastAsia="Arial" w:hAnsi="Arial"/>
                <w:sz w:val="11"/>
                <w:szCs w:val="11"/>
                <w:color w:val="auto"/>
              </w:rPr>
              <w:t>—</w:t>
            </w:r>
          </w:p>
        </w:tc>
        <w:tc>
          <w:tcPr>
            <w:tcW w:w="258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1,817,756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98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58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MSpark, LLC</w:t>
            </w:r>
          </w:p>
        </w:tc>
        <w:tc>
          <w:tcPr>
            <w:tcW w:w="980" w:type="dxa"/>
            <w:vAlign w:val="bottom"/>
          </w:tcPr>
          <w:p>
            <w:pPr>
              <w:ind w:left="360"/>
              <w:spacing w:after="0"/>
              <w:rPr>
                <w:sz w:val="20"/>
                <w:szCs w:val="20"/>
                <w:color w:val="auto"/>
              </w:rPr>
            </w:pPr>
            <w:r>
              <w:rPr>
                <w:rFonts w:ascii="Arial" w:cs="Arial" w:eastAsia="Arial" w:hAnsi="Arial"/>
                <w:sz w:val="11"/>
                <w:szCs w:val="11"/>
                <w:color w:val="auto"/>
              </w:rPr>
              <w:t>—</w:t>
            </w:r>
          </w:p>
        </w:tc>
        <w:tc>
          <w:tcPr>
            <w:tcW w:w="258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51,151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16,515,842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22,444,795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98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58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33,830,005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33,892,823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40,937,377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980" w:type="dxa"/>
            <w:vAlign w:val="bottom"/>
          </w:tcPr>
          <w:p>
            <w:pPr>
              <w:spacing w:after="0"/>
              <w:rPr>
                <w:sz w:val="11"/>
                <w:szCs w:val="11"/>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7,157,560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47,087,419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RAM Energy Holdings LLC</w:t>
            </w:r>
          </w:p>
        </w:tc>
        <w:tc>
          <w:tcPr>
            <w:tcW w:w="98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58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Energy and Utilities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180,805</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162,708,073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81,308,611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Common Equity</w:t>
            </w:r>
          </w:p>
        </w:tc>
        <w:tc>
          <w:tcPr>
            <w:tcW w:w="98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225,406,795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193,595,958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409,894,837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379,988,526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Investments—178.5%</w:t>
            </w:r>
          </w:p>
        </w:tc>
        <w:tc>
          <w:tcPr>
            <w:tcW w:w="98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1,121,647,058</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1,148,198,514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Equivalents—5.3%</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BlackRock Federal FD Institutional 30</w:t>
            </w:r>
          </w:p>
        </w:tc>
        <w:tc>
          <w:tcPr>
            <w:tcW w:w="9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11,306,801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11,306,801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BNY Mellon Cash Reserve and Cash</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2,900,291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2,905,452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Cash and Cash Equivalents</w:t>
            </w:r>
          </w:p>
        </w:tc>
        <w:tc>
          <w:tcPr>
            <w:tcW w:w="98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14,207,092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14,212,253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Equivalents—195.3%</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1,135,854,150</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1,162,410,767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1"/>
                <w:szCs w:val="11"/>
                <w:b w:val="1"/>
                <w:bCs w:val="1"/>
                <w:color w:val="auto"/>
              </w:rPr>
              <w:t>Liabilities in Excess of Other Assets—(95.3%)</w:t>
            </w:r>
          </w:p>
        </w:tc>
        <w:tc>
          <w:tcPr>
            <w:tcW w:w="980" w:type="dxa"/>
            <w:vAlign w:val="bottom"/>
            <w:tcBorders>
              <w:top w:val="single" w:sz="8" w:color="CCECFF"/>
            </w:tcBorders>
          </w:tcPr>
          <w:p>
            <w:pPr>
              <w:spacing w:after="0" w:line="20" w:lineRule="exact"/>
              <w:rPr>
                <w:sz w:val="1"/>
                <w:szCs w:val="1"/>
                <w:color w:val="auto"/>
              </w:rPr>
            </w:pPr>
          </w:p>
        </w:tc>
        <w:tc>
          <w:tcPr>
            <w:tcW w:w="24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6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(519,329,272)</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9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643,081,495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980" w:type="dxa"/>
            <w:vAlign w:val="bottom"/>
            <w:tcBorders>
              <w:top w:val="single" w:sz="8" w:color="CCECFF"/>
            </w:tcBorders>
          </w:tcPr>
          <w:p>
            <w:pPr>
              <w:spacing w:after="0" w:line="20" w:lineRule="exact"/>
              <w:rPr>
                <w:sz w:val="1"/>
                <w:szCs w:val="1"/>
                <w:color w:val="auto"/>
              </w:rPr>
            </w:pPr>
          </w:p>
        </w:tc>
        <w:tc>
          <w:tcPr>
            <w:tcW w:w="24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37" w:lineRule="exact"/>
        <w:rPr>
          <w:rFonts w:ascii="Arial" w:cs="Arial" w:eastAsia="Arial" w:hAnsi="Arial"/>
          <w:sz w:val="12"/>
          <w:szCs w:val="12"/>
          <w:color w:val="auto"/>
        </w:rPr>
      </w:pPr>
    </w:p>
    <w:p>
      <w:pPr>
        <w:ind w:left="380" w:right="20" w:hanging="372"/>
        <w:spacing w:after="0" w:line="297"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2021, qualifying assets represent 87% of the Company’s total assets and non-qualifying assets represent 13% of the Company’s total assets.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22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Maturity /</w:t>
            </w: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20" w:type="dxa"/>
            <w:vAlign w:val="bottom"/>
          </w:tcPr>
          <w:p>
            <w:pPr>
              <w:ind w:left="460"/>
              <w:spacing w:after="0"/>
              <w:rPr>
                <w:sz w:val="20"/>
                <w:szCs w:val="20"/>
                <w:color w:val="auto"/>
              </w:rPr>
            </w:pPr>
            <w:r>
              <w:rPr>
                <w:rFonts w:ascii="Arial" w:cs="Arial" w:eastAsia="Arial" w:hAnsi="Arial"/>
                <w:sz w:val="11"/>
                <w:szCs w:val="11"/>
                <w:b w:val="1"/>
                <w:bCs w:val="1"/>
                <w:color w:val="auto"/>
              </w:rPr>
              <w:t>Expiration</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Industry</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9"/>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Non-Controlled, Non-Affiliated Portfolio Companies—139.9% </w:t>
            </w:r>
            <w:r>
              <w:rPr>
                <w:rFonts w:ascii="Arial" w:cs="Arial" w:eastAsia="Arial" w:hAnsi="Arial"/>
                <w:sz w:val="9"/>
                <w:szCs w:val="9"/>
                <w:b w:val="1"/>
                <w:bCs w:val="1"/>
                <w:color w:val="auto"/>
                <w:w w:val="92"/>
              </w:rPr>
              <w:t>(1), (2)</w:t>
            </w:r>
          </w:p>
        </w:tc>
        <w:tc>
          <w:tcPr>
            <w:tcW w:w="25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Debt—76.5%</w:t>
            </w:r>
          </w:p>
        </w:tc>
        <w:tc>
          <w:tcPr>
            <w:tcW w:w="1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08/11/2025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7,543,090</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7,887,188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Altamira Technologies, LLC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07/24/2025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120,625</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07/24/2025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62,500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(2,188)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1220" w:type="dxa"/>
            <w:vAlign w:val="bottom"/>
          </w:tcPr>
          <w:p>
            <w:pPr>
              <w:ind w:left="460"/>
              <w:spacing w:after="0"/>
              <w:rPr>
                <w:sz w:val="20"/>
                <w:szCs w:val="20"/>
                <w:color w:val="auto"/>
              </w:rPr>
            </w:pPr>
            <w:r>
              <w:rPr>
                <w:rFonts w:ascii="Arial" w:cs="Arial" w:eastAsia="Arial" w:hAnsi="Arial"/>
                <w:sz w:val="11"/>
                <w:szCs w:val="11"/>
                <w:color w:val="auto"/>
              </w:rPr>
              <w:t>12/21/2023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15,957,113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15,736,757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15,637,971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07/31/2025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173,479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07/31/2021</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1,165,420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(34,963)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02/13/2023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6,722,525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6,674,529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6,580,680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Broder Bros., Co.</w:t>
            </w:r>
          </w:p>
        </w:tc>
        <w:tc>
          <w:tcPr>
            <w:tcW w:w="1220" w:type="dxa"/>
            <w:vAlign w:val="bottom"/>
          </w:tcPr>
          <w:p>
            <w:pPr>
              <w:ind w:left="460"/>
              <w:spacing w:after="0"/>
              <w:rPr>
                <w:sz w:val="20"/>
                <w:szCs w:val="20"/>
                <w:color w:val="auto"/>
              </w:rPr>
            </w:pPr>
            <w:r>
              <w:rPr>
                <w:rFonts w:ascii="Arial" w:cs="Arial" w:eastAsia="Arial" w:hAnsi="Arial"/>
                <w:sz w:val="11"/>
                <w:szCs w:val="11"/>
                <w:color w:val="auto"/>
              </w:rPr>
              <w:t>12/02/2022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25,907,420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25,907,420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23,510,984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02/09/2026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3,605,894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3,539,582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3,539,906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02/08/2021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1,549,743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(12,863)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02/07/2025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458,962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458,962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450,563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02/07/2025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196,698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(3,600)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Datalot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01/24/2025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1,790,310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DermaRite Industries LLC</w:t>
            </w:r>
          </w:p>
        </w:tc>
        <w:tc>
          <w:tcPr>
            <w:tcW w:w="1220" w:type="dxa"/>
            <w:vAlign w:val="bottom"/>
          </w:tcPr>
          <w:p>
            <w:pPr>
              <w:ind w:left="460"/>
              <w:spacing w:after="0"/>
              <w:rPr>
                <w:sz w:val="20"/>
                <w:szCs w:val="20"/>
                <w:color w:val="auto"/>
              </w:rPr>
            </w:pPr>
            <w:r>
              <w:rPr>
                <w:rFonts w:ascii="Arial" w:cs="Arial" w:eastAsia="Arial" w:hAnsi="Arial"/>
                <w:sz w:val="11"/>
                <w:szCs w:val="11"/>
                <w:color w:val="auto"/>
              </w:rPr>
              <w:t>03/03/2022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Manufacturing / Basic Industries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8,975,884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8,924,948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8,975,884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11/03/2025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1,528,102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(27,964)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12/23/2025</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517,594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510,761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12/10/2024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2,567,177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2,547,350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2,490,162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12/10/2024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(101,613)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10/26/2025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5,572,968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5,461,508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5,517,238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Impact Group, LLC</w:t>
            </w:r>
          </w:p>
        </w:tc>
        <w:tc>
          <w:tcPr>
            <w:tcW w:w="1220" w:type="dxa"/>
            <w:vAlign w:val="bottom"/>
          </w:tcPr>
          <w:p>
            <w:pPr>
              <w:ind w:left="460"/>
              <w:spacing w:after="0"/>
              <w:rPr>
                <w:sz w:val="20"/>
                <w:szCs w:val="20"/>
                <w:color w:val="auto"/>
              </w:rPr>
            </w:pPr>
            <w:r>
              <w:rPr>
                <w:rFonts w:ascii="Arial" w:cs="Arial" w:eastAsia="Arial" w:hAnsi="Arial"/>
                <w:sz w:val="11"/>
                <w:szCs w:val="11"/>
                <w:color w:val="auto"/>
              </w:rPr>
              <w:t>06/27/2023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tcPr>
          <w:p>
            <w:pPr>
              <w:jc w:val="right"/>
              <w:spacing w:after="0"/>
              <w:rPr>
                <w:sz w:val="20"/>
                <w:szCs w:val="20"/>
                <w:color w:val="auto"/>
              </w:rPr>
            </w:pPr>
            <w:r>
              <w:rPr>
                <w:rFonts w:ascii="Arial" w:cs="Arial" w:eastAsia="Arial" w:hAnsi="Arial"/>
                <w:sz w:val="11"/>
                <w:szCs w:val="11"/>
                <w:color w:val="auto"/>
              </w:rPr>
              <w:t>19,888,478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19,811,644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19,987,920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08/27/2025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23,574,241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23,403,071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23,338,498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07/15/2021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592,800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(1,482)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12/22/2021</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13,516,275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13,430,024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13,516,275</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122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11,921,000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11,797,407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11,658,738</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1,453,571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1,421,593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484,524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(10,660)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03/07/2025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827,586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(12,414)</w:t>
            </w:r>
          </w:p>
        </w:tc>
      </w:tr>
      <w:tr>
        <w:trPr>
          <w:trHeight w:val="139"/>
        </w:trPr>
        <w:tc>
          <w:tcPr>
            <w:tcW w:w="2740" w:type="dxa"/>
            <w:vAlign w:val="bottom"/>
          </w:tcPr>
          <w:p>
            <w:pPr>
              <w:spacing w:after="0"/>
              <w:rPr>
                <w:sz w:val="20"/>
                <w:szCs w:val="20"/>
                <w:color w:val="auto"/>
              </w:rPr>
            </w:pPr>
            <w:r>
              <w:rPr>
                <w:rFonts w:ascii="Arial" w:cs="Arial" w:eastAsia="Arial" w:hAnsi="Arial"/>
                <w:sz w:val="11"/>
                <w:szCs w:val="11"/>
                <w:color w:val="auto"/>
              </w:rPr>
              <w:t>LAV Gear Holdings, Inc.</w:t>
            </w:r>
          </w:p>
        </w:tc>
        <w:tc>
          <w:tcPr>
            <w:tcW w:w="1220" w:type="dxa"/>
            <w:vAlign w:val="bottom"/>
          </w:tcPr>
          <w:p>
            <w:pPr>
              <w:ind w:left="460"/>
              <w:spacing w:after="0"/>
              <w:rPr>
                <w:sz w:val="20"/>
                <w:szCs w:val="20"/>
                <w:color w:val="auto"/>
              </w:rPr>
            </w:pPr>
            <w:r>
              <w:rPr>
                <w:rFonts w:ascii="Arial" w:cs="Arial" w:eastAsia="Arial" w:hAnsi="Arial"/>
                <w:sz w:val="11"/>
                <w:szCs w:val="11"/>
                <w:color w:val="auto"/>
              </w:rPr>
              <w:t>10/31/2024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Leisure, Amusement, Motion Pictures, Entertainment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751,480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744,986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692,188</w:t>
            </w:r>
          </w:p>
        </w:tc>
        <w:tc>
          <w:tcPr>
            <w:tcW w:w="100" w:type="dxa"/>
            <w:vAlign w:val="bottom"/>
          </w:tcPr>
          <w:p>
            <w:pPr>
              <w:spacing w:after="0"/>
              <w:rPr>
                <w:sz w:val="12"/>
                <w:szCs w:val="12"/>
                <w:color w:val="auto"/>
              </w:rPr>
            </w:pPr>
          </w:p>
        </w:tc>
      </w:tr>
      <w:tr>
        <w:trPr>
          <w:trHeight w:val="131"/>
        </w:trPr>
        <w:tc>
          <w:tcPr>
            <w:tcW w:w="2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(PIK 5.00%)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02/03/2026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1,564,213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1,548,989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1,544,661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08/03/2021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882,075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(2,205)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02/03/2026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1,165,780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1,165,780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1,151,208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04/13/2023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1,661,947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05/23/2024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2,901,820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2,868,498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2,763,983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05/23/2024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(119,621)</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02/27/2023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21,352,147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21,112,545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21,245,386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02/27/2023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485,560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02/27/2023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(10,060)</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220" w:type="dxa"/>
            <w:vAlign w:val="bottom"/>
          </w:tcPr>
          <w:p>
            <w:pPr>
              <w:ind w:left="460"/>
              <w:spacing w:after="0"/>
              <w:rPr>
                <w:sz w:val="20"/>
                <w:szCs w:val="20"/>
                <w:color w:val="auto"/>
              </w:rPr>
            </w:pPr>
            <w:r>
              <w:rPr>
                <w:rFonts w:ascii="Arial" w:cs="Arial" w:eastAsia="Arial" w:hAnsi="Arial"/>
                <w:sz w:val="11"/>
                <w:szCs w:val="11"/>
                <w:color w:val="auto"/>
              </w:rPr>
              <w:t>11/13/2024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7.40%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60" w:type="dxa"/>
            <w:vAlign w:val="bottom"/>
          </w:tcPr>
          <w:p>
            <w:pPr>
              <w:jc w:val="right"/>
              <w:spacing w:after="0"/>
              <w:rPr>
                <w:sz w:val="20"/>
                <w:szCs w:val="20"/>
                <w:color w:val="auto"/>
              </w:rPr>
            </w:pPr>
            <w:r>
              <w:rPr>
                <w:rFonts w:ascii="Arial" w:cs="Arial" w:eastAsia="Arial" w:hAnsi="Arial"/>
                <w:sz w:val="11"/>
                <w:szCs w:val="11"/>
                <w:color w:val="auto"/>
              </w:rPr>
              <w:t>11,437,714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11,219,222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10,637,074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08/08/2022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19,180,820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18,839,885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16,150,251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PRA Events, Inc.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08/08/2022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1,684,000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Provation Medical,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03/11/2024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7.15%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26,527,500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26,094,813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26,179,990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Questex, LLC</w:t>
            </w:r>
          </w:p>
        </w:tc>
        <w:tc>
          <w:tcPr>
            <w:tcW w:w="122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22,050,000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21,733,659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20,286,000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Questex, LLC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09/09/2024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1,651,596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(143,617)</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Radius Aerospace,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03/31/2025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1,336,285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1,298,602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03/31/2025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890,857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(25,122)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06/28/2022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29,546,453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29,334,375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28,364,595</w:t>
            </w:r>
          </w:p>
        </w:tc>
        <w:tc>
          <w:tcPr>
            <w:tcW w:w="100" w:type="dxa"/>
            <w:vAlign w:val="bottom"/>
            <w:shd w:val="clear" w:color="auto" w:fill="CCECFF"/>
          </w:tcPr>
          <w:p>
            <w:pPr>
              <w:spacing w:after="0"/>
              <w:rPr>
                <w:sz w:val="11"/>
                <w:szCs w:val="11"/>
                <w:color w:val="auto"/>
              </w:rPr>
            </w:pPr>
          </w:p>
        </w:tc>
      </w:tr>
      <w:tr>
        <w:trPr>
          <w:trHeight w:val="125"/>
        </w:trPr>
        <w:tc>
          <w:tcPr>
            <w:tcW w:w="2740" w:type="dxa"/>
            <w:vAlign w:val="bottom"/>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740" w:type="dxa"/>
            <w:vAlign w:val="bottom"/>
          </w:tcPr>
          <w:p>
            <w:pPr>
              <w:ind w:left="80"/>
              <w:spacing w:after="0"/>
              <w:rPr>
                <w:sz w:val="20"/>
                <w:szCs w:val="20"/>
                <w:color w:val="auto"/>
              </w:rPr>
            </w:pPr>
            <w:r>
              <w:rPr>
                <w:rFonts w:ascii="Arial" w:cs="Arial" w:eastAsia="Arial" w:hAnsi="Arial"/>
                <w:sz w:val="11"/>
                <w:szCs w:val="11"/>
                <w:color w:val="auto"/>
              </w:rPr>
              <w:t>Sampling International LLC</w:t>
            </w:r>
          </w:p>
        </w:tc>
        <w:tc>
          <w:tcPr>
            <w:tcW w:w="1220" w:type="dxa"/>
            <w:vAlign w:val="bottom"/>
          </w:tcPr>
          <w:p>
            <w:pPr>
              <w:ind w:left="460"/>
              <w:spacing w:after="0"/>
              <w:rPr>
                <w:sz w:val="20"/>
                <w:szCs w:val="20"/>
                <w:color w:val="auto"/>
              </w:rPr>
            </w:pPr>
            <w:r>
              <w:rPr>
                <w:rFonts w:ascii="Arial" w:cs="Arial" w:eastAsia="Arial" w:hAnsi="Arial"/>
                <w:sz w:val="11"/>
                <w:szCs w:val="11"/>
                <w:color w:val="auto"/>
              </w:rPr>
              <w:t>12/20/2024</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2,913,731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2,913,731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2,752,019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06/20/2025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(12,764)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1220" w:type="dxa"/>
            <w:vAlign w:val="bottom"/>
          </w:tcPr>
          <w:p>
            <w:pPr>
              <w:ind w:left="460"/>
              <w:spacing w:after="0"/>
              <w:rPr>
                <w:sz w:val="20"/>
                <w:szCs w:val="20"/>
                <w:color w:val="auto"/>
              </w:rPr>
            </w:pPr>
            <w:r>
              <w:rPr>
                <w:rFonts w:ascii="Arial" w:cs="Arial" w:eastAsia="Arial" w:hAnsi="Arial"/>
                <w:sz w:val="11"/>
                <w:szCs w:val="11"/>
                <w:color w:val="auto"/>
              </w:rPr>
              <w:t>03/10/2025</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15,671,250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15,389,332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14,848,509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597,943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(10,763)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07/07/2021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1,829,268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(43,902)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01/03/2025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(17,561)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220" w:type="dxa"/>
            <w:vAlign w:val="bottom"/>
          </w:tcPr>
          <w:p>
            <w:pPr>
              <w:ind w:left="460"/>
              <w:spacing w:after="0"/>
              <w:rPr>
                <w:sz w:val="20"/>
                <w:szCs w:val="20"/>
                <w:color w:val="auto"/>
              </w:rPr>
            </w:pPr>
            <w:r>
              <w:rPr>
                <w:rFonts w:ascii="Arial" w:cs="Arial" w:eastAsia="Arial" w:hAnsi="Arial"/>
                <w:sz w:val="11"/>
                <w:szCs w:val="11"/>
                <w:color w:val="auto"/>
              </w:rPr>
              <w:t>07/14/2025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516,273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510,389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478,844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07/14/2025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14,617</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07/14/2025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(1,615)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05/03/2024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1,129,032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1,129,032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1,092,339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05/03/2024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(28,831)</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01/17/2024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0"/>
              </w:rPr>
              <w:t>Communications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1,235,014</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01/17/2024</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Communications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(4,579)</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02/26/2025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15,049,375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14,906,170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14,673,140</w:t>
            </w:r>
          </w:p>
        </w:tc>
        <w:tc>
          <w:tcPr>
            <w:tcW w:w="100" w:type="dxa"/>
            <w:vAlign w:val="bottom"/>
            <w:shd w:val="clear" w:color="auto" w:fill="CCECFF"/>
          </w:tcPr>
          <w:p>
            <w:pPr>
              <w:spacing w:after="0"/>
              <w:rPr>
                <w:sz w:val="11"/>
                <w:szCs w:val="1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02/26/2022</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(171,875)</w:t>
            </w: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CECFF"/>
            </w:tcBorders>
          </w:tcPr>
          <w:p>
            <w:pPr>
              <w:spacing w:after="0"/>
              <w:rPr>
                <w:sz w:val="11"/>
                <w:szCs w:val="11"/>
                <w:color w:val="auto"/>
              </w:rPr>
            </w:pPr>
          </w:p>
        </w:tc>
      </w:tr>
      <w:tr>
        <w:trPr>
          <w:trHeight w:val="129"/>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20,478,378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5"/>
              </w:rPr>
              <w:t>$  19,804,843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19,864,027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1,121,622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(33,649)</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(8),(11)</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11/24/2025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1,789,156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1,789,156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1,735,482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17,660,607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17,410,805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17,528,153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01/18/2024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2,702,151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(20,267)</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1,137,857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1,115,100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(10,114)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Tyto Athene,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08/27/2024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6,027,680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5,998,741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6,008,392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US Med Acquisition,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08/13/2021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8,301,563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8,301,563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8,218,547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21,515,625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21,203,376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21,515,625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9,145,221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8,970,259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9,053,770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(10,037)</w:t>
            </w:r>
          </w:p>
        </w:tc>
      </w:tr>
      <w:tr>
        <w:trPr>
          <w:trHeight w:val="128"/>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412,081,391</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402,168,282</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Debt—32.0%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8.66%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14,281,633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13,920,000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19,382,758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32,062,567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31,460,000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Infogroup,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20,157,649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20,145,000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MailSouth,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10/23/2024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36,828,975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36,224,201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18,782,777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9.59%</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19,359,314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19,329,294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VT Topco,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7.15%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9,956,408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Winter Park Intermediate,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34,816,687</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186,241,217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168,364,214</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Notes—9.6%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14,051,843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13,842,572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13,665,417</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12/30/2023</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37,371,131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36,938,019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36,903,992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13.00%)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50,780,591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50,569,409</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Interests—4.1% </w:t>
            </w:r>
            <w:r>
              <w:rPr>
                <w:rFonts w:ascii="Arial" w:cs="Arial" w:eastAsia="Arial" w:hAnsi="Arial"/>
                <w:sz w:val="9"/>
                <w:szCs w:val="9"/>
                <w:b w:val="1"/>
                <w:bCs w:val="1"/>
                <w:color w:val="auto"/>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167,083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16.00%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178,304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17,607,478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17,652,053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64,277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71,233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491,723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1,308,363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357,199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129,098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1,346,530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1,409,711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219,010</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237,288</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20,875,841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21,332,028</w:t>
            </w:r>
          </w:p>
        </w:tc>
        <w:tc>
          <w:tcPr>
            <w:tcW w:w="100" w:type="dxa"/>
            <w:vAlign w:val="bottom"/>
          </w:tcPr>
          <w:p>
            <w:pPr>
              <w:spacing w:after="0"/>
              <w:rPr>
                <w:sz w:val="11"/>
                <w:szCs w:val="11"/>
                <w:color w:val="auto"/>
              </w:rPr>
            </w:pPr>
          </w:p>
        </w:tc>
      </w:tr>
      <w:tr>
        <w:trPr>
          <w:trHeight w:val="129"/>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Interests/Warrants—17.7% </w:t>
            </w:r>
            <w:r>
              <w:rPr>
                <w:rFonts w:ascii="Arial" w:cs="Arial" w:eastAsia="Arial" w:hAnsi="Arial"/>
                <w:sz w:val="9"/>
                <w:szCs w:val="9"/>
                <w:b w:val="1"/>
                <w:bCs w:val="1"/>
                <w:color w:val="auto"/>
                <w:w w:val="98"/>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1,002,599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81,148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586,975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2,236,540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2,852,080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696,346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122,870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1,270,646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1,647,095</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Cowboy Parent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1,165,785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3,448,658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5,072,041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254,307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1,004,625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1,029,685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217,635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1,408,259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889,376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1,053,800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1,565,301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8,662</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999,520</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111,574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2,886,104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2,522,594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4,317,307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18,761,506</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12,010,531</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(5)</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987,895</w:t>
            </w:r>
          </w:p>
        </w:tc>
        <w:tc>
          <w:tcPr>
            <w:tcW w:w="10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161,252</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593,924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313,596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987,611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103,995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36,585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365,854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70,870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1,749,600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4,756,165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56,482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3,021,880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WBB Equity,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2,753,143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3,778,704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23,022,380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231,400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254,847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1,056,250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2,614,078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43,704,169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93,240,733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713,683,209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735,674,666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tcPr>
          <w:p>
            <w:pPr>
              <w:spacing w:after="0"/>
              <w:rPr>
                <w:sz w:val="20"/>
                <w:szCs w:val="20"/>
                <w:color w:val="auto"/>
              </w:rPr>
            </w:pPr>
            <w:r>
              <w:rPr>
                <w:rFonts w:ascii="Arial" w:cs="Arial" w:eastAsia="Arial" w:hAnsi="Arial"/>
                <w:sz w:val="11"/>
                <w:szCs w:val="11"/>
                <w:b w:val="1"/>
                <w:bCs w:val="1"/>
                <w:color w:val="auto"/>
                <w:w w:val="97"/>
              </w:rPr>
              <w:t xml:space="preserve">Investments in Non-Controlled, Affiliated Portfolio Companies—5.3% </w:t>
            </w:r>
            <w:r>
              <w:rPr>
                <w:rFonts w:ascii="Arial" w:cs="Arial" w:eastAsia="Arial" w:hAnsi="Arial"/>
                <w:sz w:val="9"/>
                <w:szCs w:val="9"/>
                <w:b w:val="1"/>
                <w:bCs w:val="1"/>
                <w:color w:val="auto"/>
                <w:w w:val="97"/>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Interests—5.1%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5,055,851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21,795,244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21,565,389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26,851,095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Interests/Warrants—0.2% </w:t>
            </w:r>
            <w:r>
              <w:rPr>
                <w:rFonts w:ascii="Arial" w:cs="Arial" w:eastAsia="Arial" w:hAnsi="Arial"/>
                <w:sz w:val="9"/>
                <w:szCs w:val="9"/>
                <w:b w:val="1"/>
                <w:bCs w:val="1"/>
                <w:color w:val="auto"/>
                <w:w w:val="98"/>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24,789,935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902,798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56,063,531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902,798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77,628,920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27,753,893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Companies—60.6% </w:t>
            </w:r>
            <w:r>
              <w:rPr>
                <w:rFonts w:ascii="Arial" w:cs="Arial" w:eastAsia="Arial" w:hAnsi="Arial"/>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First Lien Secured Debt—7.0%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28,500,000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39,682,375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36,844,800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39,682,375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36,844,800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Debt—10.0%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PT Network Intermediate Holdings, LLC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11/30/2024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52,479,266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52,094,291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52,479,266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52,094,291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52,479,266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b w:val="1"/>
                <w:bCs w:val="1"/>
                <w:color w:val="auto"/>
              </w:rPr>
              <w:t>Subordinated Debt—12.0%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07/31/2027</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63,000,000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63,000,000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63,000,000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63,000,000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Equity—2.3%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10,725,000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12,215,888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12,215,888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Equity—29.3%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927,315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33,221,176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33,221,176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36,262,577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26,689,495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89,923,518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208,211,746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153,802,905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374,260,162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318,342,859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Investments—205.8%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1,165,572,291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1,081,771,418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b w:val="1"/>
                <w:bCs w:val="1"/>
                <w:color w:val="auto"/>
              </w:rPr>
              <w:t>Cash and Cash Equivalents—4.9%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2,277,244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23,523,843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23,528,758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25,801,087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25,806,002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Equivalents—210.7%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1,191,373,378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1,107,577,420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Assets—(110.7%)</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5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(581,868,568)</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525,708,852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 w:name="page15"/>
    <w:bookmarkEnd w:id="14"/>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7" w:lineRule="exact"/>
        <w:rPr>
          <w:rFonts w:ascii="Arial" w:cs="Arial" w:eastAsia="Arial" w:hAnsi="Arial"/>
          <w:sz w:val="12"/>
          <w:szCs w:val="12"/>
          <w:color w:val="auto"/>
        </w:rPr>
      </w:pPr>
    </w:p>
    <w:p>
      <w:pPr>
        <w:ind w:left="372" w:hanging="372"/>
        <w:spacing w:after="0" w:line="278" w:lineRule="auto"/>
        <w:tabs>
          <w:tab w:leader="none" w:pos="372"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87% of the Company’s total assets and non-qualifying assets represent 13%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90" w:right="35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4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ind w:left="5140"/>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8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8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9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prior to deconsolidation, had irrevocably directed that the management fee owed to it with respect to such services be paid to us so long as the Investment Adviser remains the servicer. This arrangement did not increase our consolidated management fee. The BNP Credit Facility allows Funding I to borrow up to $275 million at LIBOR (or an alternative risk-free floating interest rate index) plus 260 basis points during the reinvestment period. The BNP Credit Facility is secured by all of the assets held by Funding I. Funding I is no longer a subsidiary of PennantPark Investment as result of the joint venture described below.</w:t>
      </w:r>
    </w:p>
    <w:p>
      <w:pPr>
        <w:spacing w:after="0" w:line="190" w:lineRule="exact"/>
        <w:rPr>
          <w:sz w:val="20"/>
          <w:szCs w:val="20"/>
          <w:color w:val="auto"/>
        </w:rPr>
      </w:pPr>
    </w:p>
    <w:p>
      <w:pPr>
        <w:ind w:right="220" w:firstLine="438"/>
        <w:spacing w:after="0" w:line="255"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w:t>
      </w:r>
    </w:p>
    <w:p>
      <w:pPr>
        <w:spacing w:after="0" w:line="246" w:lineRule="auto"/>
        <w:rPr>
          <w:sz w:val="20"/>
          <w:szCs w:val="20"/>
          <w:color w:val="auto"/>
        </w:rPr>
      </w:pPr>
      <w:r>
        <w:rPr>
          <w:rFonts w:ascii="Arial" w:cs="Arial" w:eastAsia="Arial" w:hAnsi="Arial"/>
          <w:sz w:val="13"/>
          <w:szCs w:val="13"/>
          <w:color w:val="auto"/>
        </w:rPr>
        <w:t>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94"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7"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intend to affirm such exclusion on an annual basis, and, therefore, is not subject to registration or regulation as a commodity pool operator under the Commodity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21" w:lineRule="exact"/>
        <w:rPr>
          <w:sz w:val="20"/>
          <w:szCs w:val="20"/>
          <w:color w:val="auto"/>
        </w:rPr>
      </w:pPr>
    </w:p>
    <w:p>
      <w:pPr>
        <w:ind w:firstLine="438"/>
        <w:spacing w:after="0" w:line="271"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78"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17" w:lineRule="exact"/>
        <w:rPr>
          <w:sz w:val="20"/>
          <w:szCs w:val="20"/>
          <w:color w:val="auto"/>
        </w:rPr>
      </w:pPr>
    </w:p>
    <w:p>
      <w:pPr>
        <w:ind w:left="620" w:hanging="369"/>
        <w:spacing w:after="0"/>
        <w:tabs>
          <w:tab w:leader="none" w:pos="6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6" w:name="page17"/>
    <w:bookmarkEnd w:id="16"/>
    <w:p>
      <w:pPr>
        <w:ind w:firstLine="438"/>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7" w:lineRule="exact"/>
        <w:rPr>
          <w:sz w:val="20"/>
          <w:szCs w:val="20"/>
          <w:color w:val="auto"/>
        </w:rPr>
      </w:pPr>
    </w:p>
    <w:p>
      <w:pPr>
        <w:ind w:left="800" w:right="40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87" w:lineRule="exact"/>
        <w:rPr>
          <w:rFonts w:ascii="Arial" w:cs="Arial" w:eastAsia="Arial" w:hAnsi="Arial"/>
          <w:sz w:val="14"/>
          <w:szCs w:val="14"/>
          <w:color w:val="auto"/>
        </w:rPr>
      </w:pPr>
    </w:p>
    <w:p>
      <w:pPr>
        <w:ind w:left="800" w:hanging="360"/>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17"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81"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96"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38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620" w:hanging="369"/>
        <w:spacing w:after="0"/>
        <w:tabs>
          <w:tab w:leader="none" w:pos="6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Facilities during the reporting period, including the reversal of previously recorded unrealized appreciation or depreciation, when gains or losses are realized.</w:t>
      </w:r>
    </w:p>
    <w:p>
      <w:pPr>
        <w:spacing w:after="0" w:line="198"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2"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2021, we did not have any portfolio companies on non-accrual. As of September 30, 2020, we had two portfolio companies on non-accrual, representing 4.9% and 3.4% of our overall portfolio on a cost and fair value basis, respectively.</w:t>
      </w:r>
    </w:p>
    <w:p>
      <w:pPr>
        <w:spacing w:after="0" w:line="197" w:lineRule="exact"/>
        <w:rPr>
          <w:sz w:val="20"/>
          <w:szCs w:val="20"/>
          <w:color w:val="auto"/>
        </w:rPr>
      </w:pPr>
    </w:p>
    <w:p>
      <w:pPr>
        <w:ind w:left="620" w:hanging="369"/>
        <w:spacing w:after="0"/>
        <w:tabs>
          <w:tab w:leader="none" w:pos="6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17" w:lineRule="exact"/>
        <w:rPr>
          <w:sz w:val="20"/>
          <w:szCs w:val="20"/>
          <w:color w:val="auto"/>
        </w:rPr>
      </w:pPr>
    </w:p>
    <w:p>
      <w:pPr>
        <w:ind w:firstLine="438"/>
        <w:spacing w:after="0" w:line="269" w:lineRule="auto"/>
        <w:rPr>
          <w:sz w:val="20"/>
          <w:szCs w:val="20"/>
          <w:color w:val="auto"/>
        </w:rPr>
      </w:pPr>
      <w:r>
        <w:rPr>
          <w:rFonts w:ascii="Arial" w:cs="Arial" w:eastAsia="Arial" w:hAnsi="Arial"/>
          <w:sz w:val="12"/>
          <w:szCs w:val="12"/>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Additionally, certain of the Company’s consolidated subsidiaries are subject to U.S. federal and state and local income taxes. For the three and nine months ended June 30, 2021, we recorded a provision for taxes of $0.2 million and $0.5 million (approximately 75% of which was for U.S. federal excise tax and the remainder for U.S. federal, state and local income taxes related to the Taxable Subsidiaries), respectively. For the three and nine months ended June 30, 2020, we recorded a provision for taxes of $0.3 million and $0.9 million (approximately one-half of which was for U.S. federal excise tax and the remainder for U.S. federal, state and local income taxes related to the Taxable Subsidiaries), respectively.</w:t>
      </w:r>
    </w:p>
    <w:p>
      <w:pPr>
        <w:spacing w:after="0" w:line="180"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300" w:firstLine="438"/>
        <w:spacing w:after="0" w:line="296" w:lineRule="auto"/>
        <w:rPr>
          <w:sz w:val="20"/>
          <w:szCs w:val="20"/>
          <w:color w:val="auto"/>
        </w:rPr>
      </w:pPr>
      <w:r>
        <w:rPr>
          <w:rFonts w:ascii="Arial" w:cs="Arial" w:eastAsia="Arial" w:hAnsi="Arial"/>
          <w:sz w:val="12"/>
          <w:szCs w:val="12"/>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ind w:left="620" w:hanging="369"/>
        <w:spacing w:after="0"/>
        <w:tabs>
          <w:tab w:leader="none" w:pos="6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17" w:name="page18"/>
    <w:bookmarkEnd w:id="17"/>
    <w:p>
      <w:pPr>
        <w:ind w:right="26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87" w:lineRule="exact"/>
        <w:rPr>
          <w:sz w:val="20"/>
          <w:szCs w:val="20"/>
          <w:color w:val="auto"/>
        </w:rPr>
      </w:pPr>
    </w:p>
    <w:p>
      <w:pPr>
        <w:ind w:left="620" w:hanging="369"/>
        <w:spacing w:after="0"/>
        <w:tabs>
          <w:tab w:leader="none" w:pos="6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00" w:hanging="360"/>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85"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96" w:lineRule="exact"/>
        <w:rPr>
          <w:sz w:val="20"/>
          <w:szCs w:val="20"/>
          <w:color w:val="auto"/>
        </w:rPr>
      </w:pPr>
    </w:p>
    <w:p>
      <w:pPr>
        <w:ind w:left="620" w:hanging="369"/>
        <w:spacing w:after="0"/>
        <w:tabs>
          <w:tab w:leader="none" w:pos="6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SBIC II and our Taxable Subsidiaries in our Consolidated Financial Statements. We do not consolidate our investment in PSLF. See further description of our investment in PSLF in Note 4.</w:t>
      </w:r>
    </w:p>
    <w:p>
      <w:pPr>
        <w:spacing w:after="0" w:line="182" w:lineRule="exact"/>
        <w:rPr>
          <w:sz w:val="20"/>
          <w:szCs w:val="20"/>
          <w:color w:val="auto"/>
        </w:rPr>
      </w:pPr>
    </w:p>
    <w:p>
      <w:pPr>
        <w:ind w:left="620" w:hanging="369"/>
        <w:spacing w:after="0"/>
        <w:tabs>
          <w:tab w:leader="none" w:pos="6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221"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servicer to Funding I and, prior to deconsolidation, had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 a base management fee and an incentive fee or, collectively, Management Fees.</w:t>
      </w:r>
    </w:p>
    <w:p>
      <w:pPr>
        <w:spacing w:after="0" w:line="194"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2021, the Investment Adviser earned a base management fee of $4.4 million and $12.8 million, respectively, from us. For the three and nine months ended June 30, 2020, the Investment Adviser earned a base management fee of $4.6 million and $14.3 million, respectively, from us.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40" w:firstLine="438"/>
        <w:spacing w:after="0" w:line="243"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14" w:lineRule="exact"/>
        <w:rPr>
          <w:sz w:val="20"/>
          <w:szCs w:val="20"/>
          <w:color w:val="auto"/>
        </w:rPr>
      </w:pPr>
    </w:p>
    <w:p>
      <w:pPr>
        <w:jc w:val="both"/>
        <w:ind w:right="260" w:firstLine="438"/>
        <w:spacing w:after="0" w:line="296" w:lineRule="auto"/>
        <w:rPr>
          <w:sz w:val="20"/>
          <w:szCs w:val="20"/>
          <w:color w:val="auto"/>
        </w:rPr>
      </w:pPr>
      <w:r>
        <w:rPr>
          <w:rFonts w:ascii="Arial" w:cs="Arial" w:eastAsia="Arial" w:hAnsi="Arial"/>
          <w:sz w:val="12"/>
          <w:szCs w:val="12"/>
          <w:color w:val="auto"/>
        </w:rPr>
        <w:t>Beginning April 1, 2020 and through June 30, 2021, the Investment Adviser has voluntarily agreed, in consultation with our board of directors, to irrevocably waive the performance-based incentive fees. For the three and nine months ended June 30, 2021, the Investment Adviser did not earn an incentive fee on net investment income from us. For the three and nine months ended June 30, 2020, the Investment Adviser earned zero (after a waiver of $1.9 million) and $2.7 million (after a waiver of $1.9 million), respectively, in incentive fees on net investment income from us.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18" w:name="page19"/>
    <w:bookmarkEnd w:id="18"/>
    <w:p>
      <w:pPr>
        <w:ind w:right="14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2021 and 2020, the Investment Adviser did not accrue an incentive fee on capital gains as calculated under the Investment Management Agreement (as described above).</w:t>
      </w:r>
    </w:p>
    <w:p>
      <w:pPr>
        <w:spacing w:after="0" w:line="94"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nine months ended June 30, 2021 and 2020, the Investment Adviser did not accrue an incentive fee on capital gains as calculated under GAAP.</w:t>
      </w:r>
    </w:p>
    <w:p>
      <w:pPr>
        <w:spacing w:after="0" w:line="192" w:lineRule="exact"/>
        <w:rPr>
          <w:sz w:val="20"/>
          <w:szCs w:val="20"/>
          <w:color w:val="auto"/>
        </w:rPr>
      </w:pPr>
    </w:p>
    <w:p>
      <w:pPr>
        <w:ind w:right="120" w:firstLine="438"/>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2021, we reimbursed the Investment Adviser approximately $0.1 million and $0.8 million, respectively, including expenses the Investment Adviser incurred on behalf of the Administrator, for the services described above. For the three and nine months ended June 30, 2020, we reimbursed the Investment Adviser approximately $0.3 million and $1.2 million, respectively, including expenses the Investment Adviser incurred on behalf of the Administrator, for the services described above.</w:t>
      </w:r>
    </w:p>
    <w:p>
      <w:pPr>
        <w:spacing w:after="0" w:line="198"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There were no transactions subject to Rule 17a-7 under the 1940 Act during both the three and nine months ended June 30, 2021. For each of three and nine months ended June 30, 2020, the Company purchased $15.0 million in total investments from an affiliated fund managed by our Investment Adviser in accordance with, and pursuant to, procedures adopted under Rule 17a-7 of the 1940 Act.</w:t>
      </w:r>
    </w:p>
    <w:p>
      <w:pPr>
        <w:spacing w:after="0" w:line="19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For the three and nine months ended June 30, 2021, we sold $54.1 million and $91.9 million in investments to PSLF at fair value, respectively, and recognized $0.1 million and $0.6 million of net realized gains,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21"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Purchases of investments, including PIK interest, for the three and nine months ended June 30, 2021 totaled $137.4 million and $287.4 million, respectively. For the same periods in the prior year, purchases of investments, including PIK interest, totaled $15.3 million and $304.0 million, respectively. Sales and repayments of investments for the three and nine months ended June 30, 2021 totaled $191.0 million and $358.6 million, respectively. For the same periods in the prior year, sales and repayments of investments totaled $66.5 million and $114.1 million, respectively.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472,284,044</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472,639,952</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451,763,766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439,013,082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159,510,457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159,310,091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238,335,508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220,843,480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54,865,851</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55,517,647</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50,780,591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50,569,409</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Subordinated notes in PSLF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64,154,570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64,154,570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63,000,000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63,000,000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336,939,315</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355,638,877</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328,471,250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272,082,870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 in PSLF</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33,892,823</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40,937,377</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33,221,176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36,262,577</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1,121,647,060</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1,148,198,514</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1,165,572,291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1,081,771,418</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14,207,092</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14,212,253</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25,801,087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25,806,002</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1,135,854,152</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1,162,410,767</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1,191,373,378</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1,107,577,420</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19" w:name="page20"/>
    <w:bookmarkEnd w:id="19"/>
    <w:p>
      <w:pPr>
        <w:ind w:right="5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200" w:type="dxa"/>
            <w:vAlign w:val="bottom"/>
          </w:tcPr>
          <w:p>
            <w:pPr>
              <w:jc w:val="right"/>
              <w:ind w:right="528"/>
              <w:spacing w:after="0"/>
              <w:rPr>
                <w:sz w:val="20"/>
                <w:szCs w:val="20"/>
                <w:color w:val="auto"/>
              </w:rPr>
            </w:pPr>
            <w:r>
              <w:rPr>
                <w:rFonts w:ascii="Arial" w:cs="Arial" w:eastAsia="Arial" w:hAnsi="Arial"/>
                <w:sz w:val="14"/>
                <w:szCs w:val="14"/>
                <w:b w:val="1"/>
                <w:bCs w:val="1"/>
                <w:color w:val="auto"/>
              </w:rPr>
              <w:t xml:space="preserve">June 30, 2021 </w:t>
            </w:r>
            <w:r>
              <w:rPr>
                <w:rFonts w:ascii="Arial" w:cs="Arial" w:eastAsia="Arial" w:hAnsi="Arial"/>
                <w:sz w:val="12"/>
                <w:szCs w:val="12"/>
                <w:b w:val="1"/>
                <w:bCs w:val="1"/>
                <w:color w:val="auto"/>
              </w:rPr>
              <w:t>(1)</w:t>
            </w:r>
          </w:p>
        </w:tc>
        <w:tc>
          <w:tcPr>
            <w:tcW w:w="520" w:type="dxa"/>
            <w:vAlign w:val="bottom"/>
          </w:tcPr>
          <w:p>
            <w:pPr>
              <w:spacing w:after="0"/>
              <w:rPr>
                <w:sz w:val="18"/>
                <w:szCs w:val="18"/>
                <w:color w:val="auto"/>
              </w:rPr>
            </w:pPr>
          </w:p>
        </w:tc>
        <w:tc>
          <w:tcPr>
            <w:tcW w:w="2760" w:type="dxa"/>
            <w:vAlign w:val="bottom"/>
          </w:tcPr>
          <w:p>
            <w:pPr>
              <w:jc w:val="right"/>
              <w:ind w:right="628"/>
              <w:spacing w:after="0"/>
              <w:rPr>
                <w:sz w:val="20"/>
                <w:szCs w:val="20"/>
                <w:color w:val="auto"/>
              </w:rPr>
            </w:pPr>
            <w:r>
              <w:rPr>
                <w:rFonts w:ascii="Arial" w:cs="Arial" w:eastAsia="Arial" w:hAnsi="Arial"/>
                <w:sz w:val="14"/>
                <w:szCs w:val="14"/>
                <w:b w:val="1"/>
                <w:bCs w:val="1"/>
                <w:color w:val="auto"/>
              </w:rPr>
              <w:t xml:space="preserve">September 30, 2020 </w:t>
            </w:r>
            <w:r>
              <w:rPr>
                <w:rFonts w:ascii="Arial" w:cs="Arial" w:eastAsia="Arial" w:hAnsi="Arial"/>
                <w:sz w:val="12"/>
                <w:szCs w:val="12"/>
                <w:b w:val="1"/>
                <w:bCs w:val="1"/>
                <w:color w:val="auto"/>
              </w:rPr>
              <w:t>(1)</w:t>
            </w:r>
          </w:p>
        </w:tc>
        <w:tc>
          <w:tcPr>
            <w:tcW w:w="320" w:type="dxa"/>
            <w:vAlign w:val="bottom"/>
          </w:tcPr>
          <w:p>
            <w:pPr>
              <w:spacing w:after="0"/>
              <w:rPr>
                <w:sz w:val="18"/>
                <w:szCs w:val="18"/>
                <w:color w:val="auto"/>
              </w:rPr>
            </w:pPr>
          </w:p>
        </w:tc>
      </w:tr>
      <w:tr>
        <w:trPr>
          <w:trHeight w:val="155"/>
        </w:trPr>
        <w:tc>
          <w:tcPr>
            <w:tcW w:w="524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00" w:type="dxa"/>
            <w:vAlign w:val="bottom"/>
            <w:tcBorders>
              <w:top w:val="single" w:sz="8" w:color="CCECFF"/>
            </w:tcBorders>
            <w:shd w:val="clear" w:color="auto" w:fill="CCECFF"/>
          </w:tcPr>
          <w:p>
            <w:pPr>
              <w:spacing w:after="0"/>
              <w:rPr>
                <w:sz w:val="13"/>
                <w:szCs w:val="13"/>
                <w:color w:val="auto"/>
              </w:rPr>
            </w:pPr>
          </w:p>
        </w:tc>
        <w:tc>
          <w:tcPr>
            <w:tcW w:w="2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w:t>
            </w:r>
          </w:p>
        </w:tc>
        <w:tc>
          <w:tcPr>
            <w:tcW w:w="520" w:type="dxa"/>
            <w:vAlign w:val="bottom"/>
            <w:tcBorders>
              <w:top w:val="single" w:sz="8" w:color="CCECFF"/>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w:t>
            </w:r>
          </w:p>
        </w:tc>
        <w:tc>
          <w:tcPr>
            <w:tcW w:w="320" w:type="dxa"/>
            <w:vAlign w:val="bottom"/>
            <w:tcBorders>
              <w:top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Energy and Utilities</w:t>
            </w:r>
          </w:p>
        </w:tc>
        <w:tc>
          <w:tcPr>
            <w:tcW w:w="2200" w:type="dxa"/>
            <w:vAlign w:val="bottom"/>
          </w:tcPr>
          <w:p>
            <w:pPr>
              <w:jc w:val="right"/>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Consumer Products</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Media</w:t>
            </w:r>
          </w:p>
        </w:tc>
        <w:tc>
          <w:tcPr>
            <w:tcW w:w="2200" w:type="dxa"/>
            <w:vAlign w:val="bottom"/>
          </w:tcPr>
          <w:p>
            <w:pPr>
              <w:jc w:val="right"/>
              <w:spacing w:after="0"/>
              <w:rPr>
                <w:sz w:val="20"/>
                <w:szCs w:val="20"/>
                <w:color w:val="auto"/>
              </w:rPr>
            </w:pPr>
            <w:r>
              <w:rPr>
                <w:rFonts w:ascii="Arial" w:cs="Arial" w:eastAsia="Arial" w:hAnsi="Arial"/>
                <w:sz w:val="14"/>
                <w:szCs w:val="14"/>
                <w:color w:val="auto"/>
              </w:rPr>
              <w:t>7</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Distribution</w:t>
            </w:r>
          </w:p>
        </w:tc>
        <w:tc>
          <w:tcPr>
            <w:tcW w:w="2200" w:type="dxa"/>
            <w:vAlign w:val="bottom"/>
          </w:tcPr>
          <w:p>
            <w:pPr>
              <w:jc w:val="right"/>
              <w:spacing w:after="0"/>
              <w:rPr>
                <w:sz w:val="20"/>
                <w:szCs w:val="20"/>
                <w:color w:val="auto"/>
              </w:rPr>
            </w:pPr>
            <w:r>
              <w:rPr>
                <w:rFonts w:ascii="Arial" w:cs="Arial" w:eastAsia="Arial" w:hAnsi="Arial"/>
                <w:sz w:val="14"/>
                <w:szCs w:val="14"/>
                <w:color w:val="auto"/>
              </w:rPr>
              <w:t>6</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Hotels, Motels, Inns and Gaming</w:t>
            </w:r>
          </w:p>
        </w:tc>
        <w:tc>
          <w:tcPr>
            <w:tcW w:w="2200" w:type="dxa"/>
            <w:vAlign w:val="bottom"/>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Education</w:t>
            </w:r>
          </w:p>
        </w:tc>
        <w:tc>
          <w:tcPr>
            <w:tcW w:w="2200" w:type="dxa"/>
            <w:vAlign w:val="bottom"/>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Personal, Food and Miscellaneous Services</w:t>
            </w:r>
          </w:p>
        </w:tc>
        <w:tc>
          <w:tcPr>
            <w:tcW w:w="2200" w:type="dxa"/>
            <w:vAlign w:val="bottom"/>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Aerospace and Defense</w:t>
            </w: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Electronics</w:t>
            </w: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Insurance</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Other Media</w:t>
            </w: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Transportation</w:t>
            </w: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Cargo Transportation</w:t>
            </w: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4"/>
                <w:szCs w:val="14"/>
                <w:color w:val="auto"/>
              </w:rPr>
            </w:pPr>
          </w:p>
        </w:tc>
        <w:tc>
          <w:tcPr>
            <w:tcW w:w="2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r>
      <w:tr>
        <w:trPr>
          <w:trHeight w:val="162"/>
        </w:trPr>
        <w:tc>
          <w:tcPr>
            <w:tcW w:w="5440" w:type="dxa"/>
            <w:vAlign w:val="bottom"/>
            <w:gridSpan w:val="3"/>
          </w:tcPr>
          <w:p>
            <w:pPr>
              <w:spacing w:after="0"/>
              <w:rPr>
                <w:sz w:val="20"/>
                <w:szCs w:val="20"/>
                <w:color w:val="auto"/>
              </w:rPr>
            </w:pPr>
            <w:r>
              <w:rPr>
                <w:rFonts w:ascii="Arial" w:cs="Arial" w:eastAsia="Arial" w:hAnsi="Arial"/>
                <w:sz w:val="14"/>
                <w:szCs w:val="14"/>
                <w:color w:val="auto"/>
              </w:rPr>
              <w:t>Manufacturing / Basic Industries</w:t>
            </w:r>
          </w:p>
        </w:tc>
        <w:tc>
          <w:tcPr>
            <w:tcW w:w="2200" w:type="dxa"/>
            <w:vAlign w:val="bottom"/>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r>
      <w:tr>
        <w:trPr>
          <w:trHeight w:val="162"/>
        </w:trPr>
        <w:tc>
          <w:tcPr>
            <w:tcW w:w="5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Other</w:t>
            </w: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4"/>
                <w:szCs w:val="14"/>
                <w:color w:val="auto"/>
              </w:rPr>
            </w:pPr>
          </w:p>
        </w:tc>
        <w:tc>
          <w:tcPr>
            <w:tcW w:w="2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ECFF"/>
          </w:tcPr>
          <w:p>
            <w:pPr>
              <w:spacing w:after="0"/>
              <w:rPr>
                <w:sz w:val="14"/>
                <w:szCs w:val="14"/>
                <w:color w:val="auto"/>
              </w:rPr>
            </w:pPr>
          </w:p>
        </w:tc>
      </w:tr>
      <w:tr>
        <w:trPr>
          <w:trHeight w:val="155"/>
        </w:trPr>
        <w:tc>
          <w:tcPr>
            <w:tcW w:w="544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2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52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3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20"/>
        </w:trPr>
        <w:tc>
          <w:tcPr>
            <w:tcW w:w="2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20" w:type="dxa"/>
            <w:vAlign w:val="bottom"/>
          </w:tcPr>
          <w:p>
            <w:pPr>
              <w:spacing w:after="0"/>
              <w:rPr>
                <w:sz w:val="3"/>
                <w:szCs w:val="3"/>
                <w:color w:val="auto"/>
              </w:rPr>
            </w:pPr>
          </w:p>
        </w:tc>
      </w:tr>
    </w:tbl>
    <w:p>
      <w:pPr>
        <w:spacing w:after="0" w:line="3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9"/>
          <w:szCs w:val="9"/>
          <w:b w:val="1"/>
          <w:bCs w:val="1"/>
          <w:color w:val="auto"/>
        </w:rPr>
      </w:pPr>
      <w:r>
        <w:rPr>
          <w:rFonts w:ascii="Arial" w:cs="Arial" w:eastAsia="Arial" w:hAnsi="Arial"/>
          <w:sz w:val="11"/>
          <w:szCs w:val="11"/>
          <w:color w:val="auto"/>
        </w:rPr>
        <w:t>Excludes investments in PSLF.</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21"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PSLF invests in portfolio companies in the same industries in which we may directly invest. We provide capital to PSLF in the form of subordinated notes and equity interests. As of June 30, 2021 and September 30, 2020, we and Pantheon owned 60.5% and 39.5%, respectively, and 72.0% and 28.0%, respectively, of each of the outstanding subordinated notes and equity interests in PSLF. As of the same dates, our investment in PSLF consisted of subordinated notes of $64.2 million and $63.0 million, respectively, and equity interests of $40.9 million and $36.3 million, respectively.</w:t>
      </w:r>
    </w:p>
    <w:p>
      <w:pPr>
        <w:spacing w:after="0" w:line="197" w:lineRule="exact"/>
        <w:rPr>
          <w:sz w:val="20"/>
          <w:szCs w:val="20"/>
          <w:color w:val="auto"/>
        </w:rPr>
      </w:pPr>
    </w:p>
    <w:p>
      <w:pPr>
        <w:jc w:val="both"/>
        <w:ind w:right="80" w:firstLine="438"/>
        <w:spacing w:after="0" w:line="264" w:lineRule="auto"/>
        <w:rPr>
          <w:sz w:val="20"/>
          <w:szCs w:val="20"/>
          <w:color w:val="auto"/>
        </w:rPr>
      </w:pPr>
      <w:r>
        <w:rPr>
          <w:rFonts w:ascii="Arial" w:cs="Arial" w:eastAsia="Arial" w:hAnsi="Arial"/>
          <w:sz w:val="13"/>
          <w:szCs w:val="13"/>
          <w:color w:val="auto"/>
        </w:rPr>
        <w:t>As of June 30, 2021 and September 30, 2020, PSLF had total assets of $397.2 million and $361.8 million, respectively. As of June 30, 2021, PSLF had $58.0 million of unused borrowing capacity under the PSLF Credit Facility (as defined below), subject to leverage and borrowing base restrictions, and cash and cash equivalents of $10.0 million. As of September 30, 2020, PSLF had $36.5 million of unused borrowing capacity under the PSLF Credit Facility, subject to leverage and borrowing base restrictions, and cash and cash equivalents of $7.5 million.</w:t>
      </w:r>
    </w:p>
    <w:p>
      <w:pPr>
        <w:spacing w:after="0" w:line="182"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or (iii) the presence of four members of the Member Designees’ Committee, provided that two individuals are present that were elected, designated or appointed by each of us and Pantheon.</w:t>
      </w:r>
    </w:p>
    <w:p>
      <w:pPr>
        <w:spacing w:after="0" w:line="199"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Additionally, PSLF has entered into a $275.0 million (increased from $250.0 million on November 6, 2020)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ind w:left="440"/>
              <w:spacing w:after="0"/>
              <w:rPr>
                <w:sz w:val="20"/>
                <w:szCs w:val="20"/>
                <w:color w:val="auto"/>
              </w:rPr>
            </w:pPr>
            <w:r>
              <w:rPr>
                <w:rFonts w:ascii="Arial" w:cs="Arial" w:eastAsia="Arial" w:hAnsi="Arial"/>
                <w:sz w:val="14"/>
                <w:szCs w:val="14"/>
                <w:color w:val="auto"/>
              </w:rPr>
              <w:t>Below is a summary of PSLF’s portfolio at fair value:</w:t>
            </w: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c>
          <w:tcPr>
            <w:tcW w:w="20" w:type="dxa"/>
            <w:vAlign w:val="bottom"/>
          </w:tcPr>
          <w:p>
            <w:pPr>
              <w:spacing w:after="0"/>
              <w:rPr>
                <w:sz w:val="16"/>
                <w:szCs w:val="16"/>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386,162,497</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PSLF</w:t>
            </w:r>
          </w:p>
        </w:tc>
        <w:tc>
          <w:tcPr>
            <w:tcW w:w="26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16,861,382</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18,411,916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90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74,552,236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77,896,431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6"/>
        </w:trPr>
        <w:tc>
          <w:tcPr>
            <w:tcW w:w="4540" w:type="dxa"/>
            <w:vAlign w:val="bottom"/>
          </w:tcPr>
          <w:p>
            <w:pPr>
              <w:spacing w:after="0"/>
              <w:rPr>
                <w:sz w:val="24"/>
                <w:szCs w:val="24"/>
                <w:color w:val="auto"/>
              </w:rPr>
            </w:pPr>
          </w:p>
        </w:tc>
        <w:tc>
          <w:tcPr>
            <w:tcW w:w="2640" w:type="dxa"/>
            <w:vAlign w:val="bottom"/>
          </w:tcPr>
          <w:p>
            <w:pPr>
              <w:jc w:val="right"/>
              <w:ind w:right="1408"/>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4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6" w:right="319" w:bottom="1440" w:gutter="0" w:footer="0" w:header="0"/>
        </w:sectPr>
      </w:pPr>
    </w:p>
    <w:bookmarkStart w:id="20" w:name="page21"/>
    <w:bookmarkEnd w:id="20"/>
    <w:p>
      <w:pPr>
        <w:ind w:left="440"/>
        <w:spacing w:after="0"/>
        <w:rPr>
          <w:sz w:val="20"/>
          <w:szCs w:val="20"/>
          <w:color w:val="auto"/>
        </w:rPr>
      </w:pPr>
      <w:r>
        <w:rPr>
          <w:rFonts w:ascii="Arial" w:cs="Arial" w:eastAsia="Arial" w:hAnsi="Arial"/>
          <w:sz w:val="14"/>
          <w:szCs w:val="14"/>
          <w:color w:val="auto"/>
        </w:rPr>
        <w:t>Below is a listing of PSLF’s individual investments as of June 30,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Current</w:t>
            </w: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Coupon</w:t>
            </w: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 - 570.7%</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07/24/25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8.00%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933,731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923,507</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882,376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12/21/23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14,662,710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14,502,747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14,516,083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6,569,222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6,515,362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6,569,222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3,247,015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3,211,313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3,247,015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 xml:space="preserve">Apex Service Partners, LLC - Unfunded Term Loan B </w:t>
            </w:r>
            <w:r>
              <w:rPr>
                <w:rFonts w:ascii="Arial" w:cs="Arial" w:eastAsia="Arial" w:hAnsi="Arial"/>
                <w:sz w:val="9"/>
                <w:szCs w:val="9"/>
                <w:color w:val="auto"/>
              </w:rPr>
              <w:t>(3)</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07/31/21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146,162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12/29/26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7,351,135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7,350,563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02/13/23</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13,729,432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13,663,550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13,729,432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01/24/25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7,063,250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6,958,322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7,063,250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11/03/25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13,462,221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13,362,441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13,394,910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03/31/28</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8.25%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4,615,385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4,570,026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4,707,692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ECM Industries,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12/23/25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2,826,993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2,803,877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2,812,858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03/16/26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Banking, Finance, Insurance &amp; Real Estate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7,391,271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7,462,500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Hancock Roofing and Construction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12/31/26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5,970,000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5,829,304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5,910,301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12/19/25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7.50%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12,101,429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11,957,665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12,040,921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HW Holdco,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12/10/24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14,625,000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14,531,049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14,405,625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04/09/27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9,082,192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8,903,082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8,900,548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08/27/25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7,888,018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7,819,958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7,769,698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12/22/21</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9,710,145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9,710,145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9,710,145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12/20/23</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8.00%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L+700</w:t>
            </w:r>
          </w:p>
        </w:tc>
        <w:tc>
          <w:tcPr>
            <w:tcW w:w="680" w:type="dxa"/>
            <w:vAlign w:val="bottom"/>
          </w:tcPr>
          <w:p>
            <w:pPr>
              <w:jc w:val="right"/>
              <w:spacing w:after="0"/>
              <w:rPr>
                <w:sz w:val="20"/>
                <w:szCs w:val="20"/>
                <w:color w:val="auto"/>
              </w:rPr>
            </w:pPr>
            <w:r>
              <w:rPr>
                <w:rFonts w:ascii="Arial" w:cs="Arial" w:eastAsia="Arial" w:hAnsi="Arial"/>
                <w:sz w:val="11"/>
                <w:szCs w:val="11"/>
                <w:color w:val="auto"/>
              </w:rPr>
              <w:t>14,625,000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14,504,865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14,238,900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10/31/24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Leisure, Amusement, Motion Pictures, Entertainment</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8.50%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2,092,816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2,079,240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1,949,249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02/03/26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12,503,247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12,295,885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12,315,698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04/13/23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9.25%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L+825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16,861,382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16,759,474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16,861,382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04/01/27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5,955,000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5,685,488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5,798,681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04/16/27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7,351,195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7,350,000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MeritDirect,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05/23/24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13,562,089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13,436,291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13,324,752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05/08/26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5.65%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3,815,940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3,786,827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3,782,551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03/31/25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13,348,388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13,207,806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13,081,420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Recteq,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01/29/26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9,791,811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9,875,250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Research Now Group, LLC and Dynata,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14,732,824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14,633,280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14,530,248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1,945,941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1,960,000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01/03/25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7.75%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7,827,744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7,711,354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7,495,064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5,273,141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5,217,671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5,246,776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05/03/24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8.50%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13,687,500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13,574,447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13,413,750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01/17/24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Communications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11,915,073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11,778,913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11,915,073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12/11/26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5.35%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12,130,479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12,030,595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12,009,174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03/01/26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4,992,220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4,912,691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4,992,220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11/20/25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4,683,888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4,646,139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4,631,195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07/18/25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7,423,333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7,177,363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7,336,703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11/24/25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5"/>
              </w:rPr>
              <w:t>Food</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5,607,380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5,551,306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5,439,158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03/26/26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12,805,287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12,661,724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12,677,234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06/16/25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9,647,753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9,505,788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9,647,753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04/03/28</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9,876,222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9,940,088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04/03/24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color w:val="auto"/>
                <w:w w:val="97"/>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4,722,267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4,690,083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4,651,433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06/10/25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7.75%</w:t>
            </w:r>
          </w:p>
        </w:tc>
        <w:tc>
          <w:tcPr>
            <w:tcW w:w="2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7"/>
              </w:rPr>
              <w:t>1M L+675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14,285,128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14,078,457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13,856,573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8"/>
              </w:rPr>
              <w:t>02/27/26</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60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tcBorders>
              <w:bottom w:val="single" w:sz="8" w:color="CCECFF"/>
            </w:tcBorders>
          </w:tcPr>
          <w:p>
            <w:pPr>
              <w:spacing w:after="0"/>
              <w:rPr>
                <w:sz w:val="11"/>
                <w:szCs w:val="11"/>
                <w:color w:val="auto"/>
              </w:rPr>
            </w:pPr>
          </w:p>
        </w:tc>
        <w:tc>
          <w:tcPr>
            <w:tcW w:w="100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1"/>
                <w:szCs w:val="11"/>
                <w:color w:val="auto"/>
                <w:w w:val="97"/>
              </w:rPr>
              <w:t>1M L+500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7,443,467</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7,377,869</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7,369,033</w:t>
            </w:r>
          </w:p>
        </w:tc>
        <w:tc>
          <w:tcPr>
            <w:tcW w:w="120" w:type="dxa"/>
            <w:vAlign w:val="bottom"/>
            <w:tcBorders>
              <w:bottom w:val="single" w:sz="8" w:color="CCECFF"/>
            </w:tcBorders>
          </w:tcPr>
          <w:p>
            <w:pPr>
              <w:spacing w:after="0"/>
              <w:rPr>
                <w:sz w:val="11"/>
                <w:szCs w:val="1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386,273,479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386,162,497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Equivalents—18.9%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9,230,013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9,230,013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749,622</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749,622</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9,979,635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9,979,635</w:t>
            </w:r>
          </w:p>
        </w:tc>
        <w:tc>
          <w:tcPr>
            <w:tcW w:w="120" w:type="dxa"/>
            <w:vAlign w:val="bottom"/>
            <w:shd w:val="clear" w:color="auto" w:fill="CCECFF"/>
          </w:tcPr>
          <w:p>
            <w:pPr>
              <w:spacing w:after="0"/>
              <w:rPr>
                <w:sz w:val="11"/>
                <w:szCs w:val="11"/>
                <w:color w:val="auto"/>
              </w:rPr>
            </w:pPr>
          </w:p>
        </w:tc>
      </w:tr>
      <w:tr>
        <w:trPr>
          <w:trHeight w:val="129"/>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Equivalents—592.7%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w w:val="91"/>
              </w:rPr>
              <w:t>396,253,114</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396,142,132</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 w:lineRule="exact"/>
        <w:rPr>
          <w:sz w:val="20"/>
          <w:szCs w:val="20"/>
          <w:color w:val="auto"/>
        </w:rPr>
      </w:pPr>
    </w:p>
    <w:p>
      <w:pPr>
        <w:ind w:left="380" w:right="40" w:hanging="372"/>
        <w:spacing w:after="0" w:line="239" w:lineRule="auto"/>
        <w:tabs>
          <w:tab w:leader="none" w:pos="380" w:val="left"/>
        </w:tabs>
        <w:numPr>
          <w:ilvl w:val="0"/>
          <w:numId w:val="16"/>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rFonts w:ascii="Arial" w:cs="Arial" w:eastAsia="Arial" w:hAnsi="Arial"/>
          <w:sz w:val="9"/>
          <w:szCs w:val="9"/>
          <w:b w:val="1"/>
          <w:bCs w:val="1"/>
          <w:color w:val="auto"/>
        </w:rPr>
      </w:pPr>
    </w:p>
    <w:p>
      <w:pPr>
        <w:ind w:left="380" w:hanging="372"/>
        <w:spacing w:after="0"/>
        <w:tabs>
          <w:tab w:leader="none" w:pos="380" w:val="left"/>
        </w:tabs>
        <w:numPr>
          <w:ilvl w:val="0"/>
          <w:numId w:val="16"/>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spacing w:after="0" w:line="35" w:lineRule="exact"/>
        <w:rPr>
          <w:rFonts w:ascii="Arial" w:cs="Arial" w:eastAsia="Arial" w:hAnsi="Arial"/>
          <w:sz w:val="9"/>
          <w:szCs w:val="9"/>
          <w:b w:val="1"/>
          <w:bCs w:val="1"/>
          <w:color w:val="auto"/>
        </w:rPr>
      </w:pPr>
    </w:p>
    <w:p>
      <w:pPr>
        <w:ind w:left="380" w:hanging="372"/>
        <w:spacing w:after="0"/>
        <w:tabs>
          <w:tab w:leader="none" w:pos="380" w:val="left"/>
        </w:tabs>
        <w:numPr>
          <w:ilvl w:val="0"/>
          <w:numId w:val="16"/>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1" w:name="page22"/>
    <w:bookmarkEnd w:id="21"/>
    <w:p>
      <w:pPr>
        <w:ind w:left="440"/>
        <w:spacing w:after="0"/>
        <w:rPr>
          <w:sz w:val="20"/>
          <w:szCs w:val="20"/>
          <w:color w:val="auto"/>
        </w:rPr>
      </w:pPr>
      <w:r>
        <w:rPr>
          <w:rFonts w:ascii="Arial" w:cs="Arial" w:eastAsia="Arial" w:hAnsi="Arial"/>
          <w:sz w:val="14"/>
          <w:szCs w:val="14"/>
          <w:color w:val="auto"/>
        </w:rPr>
        <w:t>Below is a listing of PSLF’s individual investments as of September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9"/>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Advantage Sales &amp; Marketing</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Grocery</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L+325</w:t>
            </w:r>
          </w:p>
        </w:tc>
        <w:tc>
          <w:tcPr>
            <w:tcW w:w="680" w:type="dxa"/>
            <w:vAlign w:val="bottom"/>
          </w:tcPr>
          <w:p>
            <w:pPr>
              <w:jc w:val="right"/>
              <w:spacing w:after="0"/>
              <w:rPr>
                <w:sz w:val="20"/>
                <w:szCs w:val="20"/>
                <w:color w:val="auto"/>
              </w:rPr>
            </w:pPr>
            <w:r>
              <w:rPr>
                <w:rFonts w:ascii="Arial" w:cs="Arial" w:eastAsia="Arial" w:hAnsi="Arial"/>
                <w:sz w:val="11"/>
                <w:szCs w:val="11"/>
                <w:color w:val="auto"/>
              </w:rPr>
              <w:t>8,627,315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8,418,699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8,456,926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958,950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937,238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14,571,097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14,479,603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6,409,225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Bazaarvoice,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14,509,210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14,408,664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14,683,499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Cano Health,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18,174,687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18,411,916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6,991,975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7,125,435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13,448,313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13,316,490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2,858,818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12,028,384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11,888,732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14,619,623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14,295,375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443,354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14,583,983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14,413,275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9,978,792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10,001,050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1,998,623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1,856,411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12,365,207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12,440,731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16,770,520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15,882,625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13,914,921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13,407,926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5.72%</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3,990,631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13,608,176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13,503,840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14,728,854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14,023,302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1,958,417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1,905,678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7,748,712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7,697,903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5,378,893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5,350,411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13,786,875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12,351,398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12,393,282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5.40%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12,238,771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12,228,460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4,928,407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1,874,970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1,905,750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5,480,573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14,343,185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14,438,788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8,469,082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8,471,302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4,453,816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14,112,113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14,052,223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358,023,408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353,366,358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Equivalents—15.0%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Equivalents—716.6%</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365,560,127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360,903,077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Assets—(616.6)%</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(310,538,386)</w:t>
            </w:r>
          </w:p>
        </w:tc>
        <w:tc>
          <w:tcPr>
            <w:tcW w:w="0" w:type="dxa"/>
            <w:vAlign w:val="bottom"/>
          </w:tcPr>
          <w:p>
            <w:pPr>
              <w:spacing w:after="0"/>
              <w:rPr>
                <w:sz w:val="1"/>
                <w:szCs w:val="1"/>
                <w:color w:val="auto"/>
              </w:rPr>
            </w:pPr>
          </w:p>
        </w:tc>
      </w:tr>
      <w:tr>
        <w:trPr>
          <w:trHeight w:val="12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50,364,691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9"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rFonts w:ascii="Arial" w:cs="Arial" w:eastAsia="Arial" w:hAnsi="Arial"/>
          <w:sz w:val="9"/>
          <w:szCs w:val="9"/>
          <w:b w:val="1"/>
          <w:bCs w:val="1"/>
          <w:color w:val="auto"/>
        </w:rPr>
      </w:pPr>
    </w:p>
    <w:p>
      <w:pPr>
        <w:ind w:left="380" w:hanging="372"/>
        <w:spacing w:after="0"/>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2"/>
        </w:trPr>
        <w:tc>
          <w:tcPr>
            <w:tcW w:w="7440" w:type="dxa"/>
            <w:vAlign w:val="bottom"/>
            <w:gridSpan w:val="2"/>
          </w:tcPr>
          <w:p>
            <w:pPr>
              <w:ind w:left="440"/>
              <w:spacing w:after="0"/>
              <w:rPr>
                <w:sz w:val="20"/>
                <w:szCs w:val="20"/>
                <w:color w:val="auto"/>
              </w:rPr>
            </w:pPr>
            <w:r>
              <w:rPr>
                <w:rFonts w:ascii="Arial" w:cs="Arial" w:eastAsia="Arial" w:hAnsi="Arial"/>
                <w:sz w:val="14"/>
                <w:szCs w:val="14"/>
                <w:color w:val="auto"/>
              </w:rPr>
              <w:t>Below is the financial information for PSLF:</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4480" w:type="dxa"/>
            <w:vAlign w:val="bottom"/>
          </w:tcPr>
          <w:p>
            <w:pPr>
              <w:ind w:left="1520"/>
              <w:spacing w:after="0"/>
              <w:rPr>
                <w:sz w:val="20"/>
                <w:szCs w:val="20"/>
                <w:color w:val="auto"/>
              </w:rPr>
            </w:pPr>
            <w:r>
              <w:rPr>
                <w:rFonts w:ascii="Arial" w:cs="Arial" w:eastAsia="Arial" w:hAnsi="Arial"/>
                <w:sz w:val="14"/>
                <w:szCs w:val="14"/>
                <w:b w:val="1"/>
                <w:bCs w:val="1"/>
                <w:color w:val="auto"/>
              </w:rPr>
              <w:t>Statements of Assets and Liabilities</w:t>
            </w:r>
          </w:p>
        </w:tc>
        <w:tc>
          <w:tcPr>
            <w:tcW w:w="240" w:type="dxa"/>
            <w:vAlign w:val="bottom"/>
          </w:tcPr>
          <w:p>
            <w:pPr>
              <w:spacing w:after="0"/>
              <w:rPr>
                <w:sz w:val="17"/>
                <w:szCs w:val="17"/>
                <w:color w:val="auto"/>
              </w:rPr>
            </w:pPr>
          </w:p>
        </w:tc>
        <w:tc>
          <w:tcPr>
            <w:tcW w:w="1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7"/>
                <w:szCs w:val="17"/>
                <w:color w:val="auto"/>
              </w:rPr>
            </w:pP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7"/>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4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(cost—$386,273,477 and $358,023,408, respectively)</w:t>
            </w: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386,162,497</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Arial" w:cs="Arial" w:eastAsia="Arial" w:hAnsi="Arial"/>
                <w:sz w:val="14"/>
                <w:szCs w:val="14"/>
                <w:color w:val="auto"/>
              </w:rPr>
              <w:t>Cash and cash equivalents (cost—$9,979,635 and $7,536,719, respectively)</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9,979,635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4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1,023,279</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4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397,165,411</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Arial" w:cs="Arial" w:eastAsia="Arial" w:hAnsi="Arial"/>
                <w:sz w:val="14"/>
                <w:szCs w:val="14"/>
                <w:color w:val="auto"/>
              </w:rPr>
              <w:t>Distribution payable</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4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Arial" w:cs="Arial" w:eastAsia="Arial" w:hAnsi="Arial"/>
                <w:sz w:val="14"/>
                <w:szCs w:val="14"/>
                <w:color w:val="auto"/>
              </w:rPr>
              <w:t>Credit facility payable</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217,000,000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24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tcPr>
          <w:p>
            <w:pPr>
              <w:spacing w:after="0"/>
              <w:rPr>
                <w:sz w:val="20"/>
                <w:szCs w:val="20"/>
                <w:color w:val="auto"/>
              </w:rPr>
            </w:pPr>
            <w:r>
              <w:rPr>
                <w:rFonts w:ascii="Arial" w:cs="Arial" w:eastAsia="Arial" w:hAnsi="Arial"/>
                <w:sz w:val="14"/>
                <w:szCs w:val="14"/>
                <w:color w:val="auto"/>
              </w:rPr>
              <w:t>Interest payable on credit facility</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1,454,360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members notes</w:t>
            </w:r>
          </w:p>
        </w:tc>
        <w:tc>
          <w:tcPr>
            <w:tcW w:w="24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561,723</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329,500,324</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4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67,665,087</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397,165,411</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4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9"/>
          <w:szCs w:val="9"/>
          <w:b w:val="1"/>
          <w:bCs w:val="1"/>
          <w:color w:val="auto"/>
        </w:rPr>
      </w:pPr>
      <w:r>
        <w:rPr>
          <w:rFonts w:ascii="Arial" w:cs="Arial" w:eastAsia="Arial" w:hAnsi="Arial"/>
          <w:sz w:val="11"/>
          <w:szCs w:val="11"/>
          <w:color w:val="auto"/>
        </w:rPr>
        <w:t>As of June 30, 2021 and September 30, 2020, PSLF had unfunded commitments to fund investments of $0.1 million and zero,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0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 xml:space="preserve">Statements of Operations </w:t>
            </w:r>
            <w:r>
              <w:rPr>
                <w:rFonts w:ascii="Arial" w:cs="Arial" w:eastAsia="Arial" w:hAnsi="Arial"/>
                <w:sz w:val="12"/>
                <w:szCs w:val="12"/>
                <w:b w:val="1"/>
                <w:bCs w:val="1"/>
                <w:color w:val="auto"/>
              </w:rPr>
              <w:t>(1)</w:t>
            </w:r>
          </w:p>
        </w:tc>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w:t>
            </w:r>
          </w:p>
        </w:tc>
        <w:tc>
          <w:tcPr>
            <w:tcW w:w="440" w:type="dxa"/>
            <w:vAlign w:val="bottom"/>
          </w:tcPr>
          <w:p>
            <w:pPr>
              <w:spacing w:after="0"/>
              <w:rPr>
                <w:sz w:val="16"/>
                <w:szCs w:val="16"/>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ind w:right="76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spacing w:after="0"/>
              <w:rPr>
                <w:sz w:val="13"/>
                <w:szCs w:val="13"/>
                <w:color w:val="auto"/>
              </w:rPr>
            </w:pPr>
          </w:p>
        </w:tc>
        <w:tc>
          <w:tcPr>
            <w:tcW w:w="29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C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7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7,101,464</w:t>
            </w:r>
          </w:p>
        </w:tc>
        <w:tc>
          <w:tcPr>
            <w:tcW w:w="10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20,359,280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9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1,080,905</w:t>
            </w:r>
          </w:p>
        </w:tc>
        <w:tc>
          <w:tcPr>
            <w:tcW w:w="10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1,807,639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9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8,182,369</w:t>
            </w:r>
          </w:p>
        </w:tc>
        <w:tc>
          <w:tcPr>
            <w:tcW w:w="100" w:type="dxa"/>
            <w:vAlign w:val="bottom"/>
            <w:tcBorders>
              <w:bottom w:val="single" w:sz="8" w:color="CCEC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22,166,919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7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Interest and expenses on credit facility</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1,503,133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4,755,114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members notes</w:t>
            </w:r>
          </w:p>
        </w:tc>
        <w:tc>
          <w:tcPr>
            <w:tcW w:w="2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2,412,424</w:t>
            </w:r>
          </w:p>
        </w:tc>
        <w:tc>
          <w:tcPr>
            <w:tcW w:w="1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7,093,582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878,895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(2)</w:t>
            </w:r>
          </w:p>
        </w:tc>
        <w:tc>
          <w:tcPr>
            <w:tcW w:w="29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334,944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9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4,320,170</w:t>
            </w:r>
          </w:p>
        </w:tc>
        <w:tc>
          <w:tcPr>
            <w:tcW w:w="100" w:type="dxa"/>
            <w:vAlign w:val="bottom"/>
            <w:tcBorders>
              <w:bottom w:val="single" w:sz="8" w:color="CCEC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13,062,535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9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3,862,199</w:t>
            </w:r>
          </w:p>
        </w:tc>
        <w:tc>
          <w:tcPr>
            <w:tcW w:w="100" w:type="dxa"/>
            <w:vAlign w:val="bottom"/>
            <w:shd w:val="clear" w:color="auto" w:fill="CCECFF"/>
          </w:tcPr>
          <w:p>
            <w:pPr>
              <w:spacing w:after="0"/>
              <w:rPr>
                <w:sz w:val="13"/>
                <w:szCs w:val="13"/>
                <w:color w:val="auto"/>
              </w:rPr>
            </w:pPr>
          </w:p>
        </w:tc>
        <w:tc>
          <w:tcPr>
            <w:tcW w:w="440" w:type="dxa"/>
            <w:vAlign w:val="bottom"/>
            <w:tcBorders>
              <w:bottom w:val="single" w:sz="8" w:color="auto"/>
            </w:tcBorders>
            <w:shd w:val="clear" w:color="auto" w:fill="CCECFF"/>
          </w:tcPr>
          <w:p>
            <w:pPr>
              <w:spacing w:after="0"/>
              <w:rPr>
                <w:sz w:val="13"/>
                <w:szCs w:val="13"/>
                <w:color w:val="auto"/>
              </w:rPr>
            </w:pPr>
          </w:p>
        </w:tc>
        <w:tc>
          <w:tcPr>
            <w:tcW w:w="16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9,104,384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w:t>
            </w: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2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8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CFF"/>
          </w:tcPr>
          <w:p>
            <w:pPr>
              <w:spacing w:after="0"/>
              <w:rPr>
                <w:sz w:val="14"/>
                <w:szCs w:val="14"/>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change in unrealized appreciation on investments</w:t>
            </w:r>
          </w:p>
        </w:tc>
        <w:tc>
          <w:tcPr>
            <w:tcW w:w="29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91,664</w:t>
            </w:r>
          </w:p>
        </w:tc>
        <w:tc>
          <w:tcPr>
            <w:tcW w:w="10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4,546,070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w:t>
            </w:r>
          </w:p>
        </w:tc>
        <w:tc>
          <w:tcPr>
            <w:tcW w:w="29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91,664</w:t>
            </w:r>
          </w:p>
        </w:tc>
        <w:tc>
          <w:tcPr>
            <w:tcW w:w="100" w:type="dxa"/>
            <w:vAlign w:val="bottom"/>
            <w:shd w:val="clear" w:color="auto" w:fill="CCECFF"/>
          </w:tcPr>
          <w:p>
            <w:pPr>
              <w:spacing w:after="0"/>
              <w:rPr>
                <w:sz w:val="13"/>
                <w:szCs w:val="13"/>
                <w:color w:val="auto"/>
              </w:rPr>
            </w:pPr>
          </w:p>
        </w:tc>
        <w:tc>
          <w:tcPr>
            <w:tcW w:w="440" w:type="dxa"/>
            <w:vAlign w:val="bottom"/>
            <w:tcBorders>
              <w:bottom w:val="single" w:sz="8" w:color="auto"/>
            </w:tcBorders>
            <w:shd w:val="clear" w:color="auto" w:fill="CCECFF"/>
          </w:tcPr>
          <w:p>
            <w:pPr>
              <w:spacing w:after="0"/>
              <w:rPr>
                <w:sz w:val="13"/>
                <w:szCs w:val="13"/>
                <w:color w:val="auto"/>
              </w:rPr>
            </w:pPr>
          </w:p>
        </w:tc>
        <w:tc>
          <w:tcPr>
            <w:tcW w:w="16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5,010,407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9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3,953,863</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14,114,791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9"/>
          <w:szCs w:val="9"/>
          <w:b w:val="1"/>
          <w:bCs w:val="1"/>
          <w:color w:val="auto"/>
        </w:rPr>
      </w:pPr>
      <w:r>
        <w:rPr>
          <w:rFonts w:ascii="Arial" w:cs="Arial" w:eastAsia="Arial" w:hAnsi="Arial"/>
          <w:sz w:val="11"/>
          <w:szCs w:val="11"/>
          <w:color w:val="auto"/>
        </w:rPr>
        <w:t>PSLF commenced operations on July 31, 2020.</w:t>
      </w:r>
    </w:p>
    <w:p>
      <w:pPr>
        <w:spacing w:after="0" w:line="3" w:lineRule="exact"/>
        <w:rPr>
          <w:rFonts w:ascii="Arial" w:cs="Arial" w:eastAsia="Arial" w:hAnsi="Arial"/>
          <w:sz w:val="9"/>
          <w:szCs w:val="9"/>
          <w:b w:val="1"/>
          <w:bCs w:val="1"/>
          <w:color w:val="auto"/>
        </w:rPr>
      </w:pPr>
    </w:p>
    <w:p>
      <w:pPr>
        <w:ind w:left="380" w:hanging="372"/>
        <w:spacing w:after="0"/>
        <w:tabs>
          <w:tab w:leader="none" w:pos="380" w:val="left"/>
        </w:tabs>
        <w:numPr>
          <w:ilvl w:val="0"/>
          <w:numId w:val="19"/>
        </w:numPr>
        <w:rPr>
          <w:rFonts w:ascii="Arial" w:cs="Arial" w:eastAsia="Arial" w:hAnsi="Arial"/>
          <w:sz w:val="9"/>
          <w:szCs w:val="9"/>
          <w:b w:val="1"/>
          <w:bCs w:val="1"/>
          <w:color w:val="auto"/>
        </w:rPr>
      </w:pPr>
      <w:r>
        <w:rPr>
          <w:rFonts w:ascii="Arial" w:cs="Arial" w:eastAsia="Arial" w:hAnsi="Arial"/>
          <w:sz w:val="11"/>
          <w:szCs w:val="11"/>
          <w:color w:val="auto"/>
        </w:rPr>
        <w:t>No management or incentive fees are payable by PSLF. If any fees were to be charged, they would be separately disclosed in the Statement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21" w:lineRule="exact"/>
        <w:rPr>
          <w:sz w:val="20"/>
          <w:szCs w:val="20"/>
          <w:color w:val="auto"/>
        </w:rPr>
      </w:pPr>
    </w:p>
    <w:p>
      <w:pPr>
        <w:ind w:right="28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our 2026 Notes,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3" w:name="page24"/>
    <w:bookmarkEnd w:id="23"/>
    <w:p>
      <w:pPr>
        <w:ind w:right="60"/>
        <w:spacing w:after="0" w:line="253" w:lineRule="auto"/>
        <w:rPr>
          <w:sz w:val="20"/>
          <w:szCs w:val="20"/>
          <w:color w:val="auto"/>
        </w:rPr>
      </w:pPr>
      <w:r>
        <w:rPr>
          <w:rFonts w:ascii="Arial" w:cs="Arial" w:eastAsia="Arial" w:hAnsi="Arial"/>
          <w:sz w:val="14"/>
          <w:szCs w:val="14"/>
          <w:color w:val="auto"/>
        </w:rPr>
        <w:t>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8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7"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our 2026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our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97"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8"/>
              </w:rPr>
              <w:t>Fair Value at June</w:t>
            </w:r>
          </w:p>
        </w:tc>
        <w:tc>
          <w:tcPr>
            <w:tcW w:w="280" w:type="dxa"/>
            <w:vAlign w:val="bottom"/>
          </w:tcPr>
          <w:p>
            <w:pPr>
              <w:spacing w:after="0"/>
              <w:rPr>
                <w:sz w:val="14"/>
                <w:szCs w:val="14"/>
                <w:color w:val="auto"/>
              </w:rPr>
            </w:pPr>
          </w:p>
        </w:tc>
        <w:tc>
          <w:tcPr>
            <w:tcW w:w="2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Unobservable Input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30, 2021</w:t>
            </w:r>
          </w:p>
        </w:tc>
        <w:tc>
          <w:tcPr>
            <w:tcW w:w="28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26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77,993,672</w:t>
            </w:r>
          </w:p>
        </w:tc>
        <w:tc>
          <w:tcPr>
            <w:tcW w:w="280" w:type="dxa"/>
            <w:vAlign w:val="bottom"/>
            <w:tcBorders>
              <w:top w:val="single" w:sz="8" w:color="CCECFF"/>
            </w:tcBorders>
            <w:shd w:val="clear" w:color="auto" w:fill="CCECFF"/>
          </w:tcPr>
          <w:p>
            <w:pPr>
              <w:spacing w:after="0"/>
              <w:rPr>
                <w:sz w:val="13"/>
                <w:szCs w:val="13"/>
                <w:color w:val="auto"/>
              </w:rPr>
            </w:pPr>
          </w:p>
        </w:tc>
        <w:tc>
          <w:tcPr>
            <w:tcW w:w="21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80" w:type="dxa"/>
            <w:vAlign w:val="bottom"/>
            <w:tcBorders>
              <w:top w:val="single" w:sz="8" w:color="CCECFF"/>
            </w:tcBorders>
            <w:shd w:val="clear" w:color="auto" w:fill="CCECFF"/>
          </w:tcPr>
          <w:p>
            <w:pPr>
              <w:spacing w:after="0"/>
              <w:rPr>
                <w:sz w:val="13"/>
                <w:szCs w:val="13"/>
                <w:color w:val="auto"/>
              </w:rPr>
            </w:pPr>
          </w:p>
        </w:tc>
        <w:tc>
          <w:tcPr>
            <w:tcW w:w="216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80" w:type="dxa"/>
            <w:vAlign w:val="bottom"/>
            <w:tcBorders>
              <w:top w:val="single" w:sz="8" w:color="CCECFF"/>
            </w:tcBorders>
            <w:shd w:val="clear" w:color="auto" w:fill="CCECFF"/>
          </w:tcPr>
          <w:p>
            <w:pPr>
              <w:spacing w:after="0"/>
              <w:rPr>
                <w:sz w:val="13"/>
                <w:szCs w:val="13"/>
                <w:color w:val="auto"/>
              </w:rPr>
            </w:pPr>
          </w:p>
        </w:tc>
        <w:tc>
          <w:tcPr>
            <w:tcW w:w="216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394,646,280</w:t>
            </w:r>
          </w:p>
        </w:tc>
        <w:tc>
          <w:tcPr>
            <w:tcW w:w="280" w:type="dxa"/>
            <w:vAlign w:val="bottom"/>
          </w:tcPr>
          <w:p>
            <w:pPr>
              <w:spacing w:after="0"/>
              <w:rPr>
                <w:sz w:val="14"/>
                <w:szCs w:val="14"/>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5.7% – 14.4% (8.4%)</w:t>
            </w:r>
          </w:p>
        </w:tc>
        <w:tc>
          <w:tcPr>
            <w:tcW w:w="0" w:type="dxa"/>
            <w:vAlign w:val="bottom"/>
          </w:tcPr>
          <w:p>
            <w:pPr>
              <w:spacing w:after="0"/>
              <w:rPr>
                <w:sz w:val="1"/>
                <w:szCs w:val="1"/>
                <w:color w:val="auto"/>
              </w:rPr>
            </w:pPr>
          </w:p>
        </w:tc>
      </w:tr>
      <w:tr>
        <w:trPr>
          <w:trHeight w:val="162"/>
        </w:trPr>
        <w:tc>
          <w:tcPr>
            <w:tcW w:w="26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26,730,000</w:t>
            </w:r>
          </w:p>
        </w:tc>
        <w:tc>
          <w:tcPr>
            <w:tcW w:w="280" w:type="dxa"/>
            <w:vAlign w:val="bottom"/>
            <w:shd w:val="clear" w:color="auto" w:fill="CCECFF"/>
          </w:tcPr>
          <w:p>
            <w:pPr>
              <w:spacing w:after="0"/>
              <w:rPr>
                <w:sz w:val="14"/>
                <w:szCs w:val="14"/>
                <w:color w:val="auto"/>
              </w:rPr>
            </w:pPr>
          </w:p>
        </w:tc>
        <w:tc>
          <w:tcPr>
            <w:tcW w:w="232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3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Broker/Dealer bids or quotes</w:t>
            </w:r>
          </w:p>
        </w:tc>
        <w:tc>
          <w:tcPr>
            <w:tcW w:w="216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121,892,822</w:t>
            </w:r>
          </w:p>
        </w:tc>
        <w:tc>
          <w:tcPr>
            <w:tcW w:w="280" w:type="dxa"/>
            <w:vAlign w:val="bottom"/>
          </w:tcPr>
          <w:p>
            <w:pPr>
              <w:spacing w:after="0"/>
              <w:rPr>
                <w:sz w:val="14"/>
                <w:szCs w:val="14"/>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10.3% –11.4% (10.7%)</w:t>
            </w:r>
          </w:p>
        </w:tc>
        <w:tc>
          <w:tcPr>
            <w:tcW w:w="0" w:type="dxa"/>
            <w:vAlign w:val="bottom"/>
          </w:tcPr>
          <w:p>
            <w:pPr>
              <w:spacing w:after="0"/>
              <w:rPr>
                <w:sz w:val="1"/>
                <w:szCs w:val="1"/>
                <w:color w:val="auto"/>
              </w:rPr>
            </w:pPr>
          </w:p>
        </w:tc>
      </w:tr>
      <w:tr>
        <w:trPr>
          <w:trHeight w:val="162"/>
        </w:trPr>
        <w:tc>
          <w:tcPr>
            <w:tcW w:w="26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10,687,269</w:t>
            </w:r>
          </w:p>
        </w:tc>
        <w:tc>
          <w:tcPr>
            <w:tcW w:w="280" w:type="dxa"/>
            <w:vAlign w:val="bottom"/>
            <w:shd w:val="clear" w:color="auto" w:fill="CCECFF"/>
          </w:tcPr>
          <w:p>
            <w:pPr>
              <w:spacing w:after="0"/>
              <w:rPr>
                <w:sz w:val="14"/>
                <w:szCs w:val="14"/>
                <w:color w:val="auto"/>
              </w:rPr>
            </w:pPr>
          </w:p>
        </w:tc>
        <w:tc>
          <w:tcPr>
            <w:tcW w:w="232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Enterprise Market Value</w:t>
            </w:r>
          </w:p>
        </w:tc>
        <w:tc>
          <w:tcPr>
            <w:tcW w:w="23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21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5.9x</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119,672,217</w:t>
            </w:r>
          </w:p>
        </w:tc>
        <w:tc>
          <w:tcPr>
            <w:tcW w:w="280" w:type="dxa"/>
            <w:vAlign w:val="bottom"/>
          </w:tcPr>
          <w:p>
            <w:pPr>
              <w:spacing w:after="0"/>
              <w:rPr>
                <w:sz w:val="14"/>
                <w:szCs w:val="14"/>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2160" w:type="dxa"/>
            <w:vAlign w:val="bottom"/>
          </w:tcPr>
          <w:p>
            <w:pPr>
              <w:jc w:val="center"/>
              <w:spacing w:after="0"/>
              <w:rPr>
                <w:sz w:val="20"/>
                <w:szCs w:val="20"/>
                <w:color w:val="auto"/>
              </w:rPr>
            </w:pPr>
            <w:r>
              <w:rPr>
                <w:rFonts w:ascii="Arial" w:cs="Arial" w:eastAsia="Arial" w:hAnsi="Arial"/>
                <w:sz w:val="14"/>
                <w:szCs w:val="14"/>
                <w:color w:val="auto"/>
                <w:w w:val="94"/>
              </w:rPr>
              <w:t>9.7% – 16.8% (12.4%)</w:t>
            </w:r>
          </w:p>
        </w:tc>
        <w:tc>
          <w:tcPr>
            <w:tcW w:w="0" w:type="dxa"/>
            <w:vAlign w:val="bottom"/>
          </w:tcPr>
          <w:p>
            <w:pPr>
              <w:spacing w:after="0"/>
              <w:rPr>
                <w:sz w:val="1"/>
                <w:szCs w:val="1"/>
                <w:color w:val="auto"/>
              </w:rPr>
            </w:pPr>
          </w:p>
        </w:tc>
      </w:tr>
      <w:tr>
        <w:trPr>
          <w:trHeight w:val="162"/>
        </w:trPr>
        <w:tc>
          <w:tcPr>
            <w:tcW w:w="26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271,871,536</w:t>
            </w:r>
          </w:p>
        </w:tc>
        <w:tc>
          <w:tcPr>
            <w:tcW w:w="280" w:type="dxa"/>
            <w:vAlign w:val="bottom"/>
            <w:shd w:val="clear" w:color="auto" w:fill="CCECFF"/>
          </w:tcPr>
          <w:p>
            <w:pPr>
              <w:spacing w:after="0"/>
              <w:rPr>
                <w:sz w:val="14"/>
                <w:szCs w:val="14"/>
                <w:color w:val="auto"/>
              </w:rPr>
            </w:pPr>
          </w:p>
        </w:tc>
        <w:tc>
          <w:tcPr>
            <w:tcW w:w="232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Enterprise Market Value</w:t>
            </w:r>
          </w:p>
        </w:tc>
        <w:tc>
          <w:tcPr>
            <w:tcW w:w="23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21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3.3x – 22.6x (8.1x)</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61,206,426</w:t>
            </w:r>
          </w:p>
        </w:tc>
        <w:tc>
          <w:tcPr>
            <w:tcW w:w="280" w:type="dxa"/>
            <w:vAlign w:val="bottom"/>
          </w:tcPr>
          <w:p>
            <w:pPr>
              <w:spacing w:after="0"/>
              <w:rPr>
                <w:sz w:val="14"/>
                <w:szCs w:val="14"/>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Enterprise Market Value</w:t>
            </w: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color w:val="auto"/>
              </w:rPr>
              <w:t xml:space="preserve">DLOM </w:t>
            </w:r>
            <w:r>
              <w:rPr>
                <w:rFonts w:ascii="Arial" w:cs="Arial" w:eastAsia="Arial" w:hAnsi="Arial"/>
                <w:sz w:val="12"/>
                <w:szCs w:val="12"/>
                <w:color w:val="auto"/>
              </w:rPr>
              <w:t>(2)</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9.3%</w:t>
            </w:r>
          </w:p>
        </w:tc>
        <w:tc>
          <w:tcPr>
            <w:tcW w:w="0" w:type="dxa"/>
            <w:vAlign w:val="bottom"/>
          </w:tcPr>
          <w:p>
            <w:pPr>
              <w:spacing w:after="0"/>
              <w:rPr>
                <w:sz w:val="1"/>
                <w:szCs w:val="1"/>
                <w:color w:val="auto"/>
              </w:rPr>
            </w:pPr>
          </w:p>
        </w:tc>
      </w:tr>
      <w:tr>
        <w:trPr>
          <w:trHeight w:val="162"/>
        </w:trPr>
        <w:tc>
          <w:tcPr>
            <w:tcW w:w="26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20,311,808</w:t>
            </w:r>
          </w:p>
        </w:tc>
        <w:tc>
          <w:tcPr>
            <w:tcW w:w="280" w:type="dxa"/>
            <w:vAlign w:val="bottom"/>
            <w:shd w:val="clear" w:color="auto" w:fill="CCECFF"/>
          </w:tcPr>
          <w:p>
            <w:pPr>
              <w:spacing w:after="0"/>
              <w:rPr>
                <w:sz w:val="14"/>
                <w:szCs w:val="14"/>
                <w:color w:val="auto"/>
              </w:rPr>
            </w:pPr>
          </w:p>
        </w:tc>
        <w:tc>
          <w:tcPr>
            <w:tcW w:w="232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3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21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10.3%</w:t>
            </w:r>
          </w:p>
        </w:tc>
        <w:tc>
          <w:tcPr>
            <w:tcW w:w="0" w:type="dxa"/>
            <w:vAlign w:val="bottom"/>
          </w:tcPr>
          <w:p>
            <w:pPr>
              <w:spacing w:after="0"/>
              <w:rPr>
                <w:sz w:val="1"/>
                <w:szCs w:val="1"/>
                <w:color w:val="auto"/>
              </w:rPr>
            </w:pPr>
          </w:p>
        </w:tc>
      </w:tr>
      <w:tr>
        <w:trPr>
          <w:trHeight w:val="195"/>
        </w:trPr>
        <w:tc>
          <w:tcPr>
            <w:tcW w:w="26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1,105,012,030</w:t>
            </w:r>
          </w:p>
        </w:tc>
        <w:tc>
          <w:tcPr>
            <w:tcW w:w="280" w:type="dxa"/>
            <w:vAlign w:val="bottom"/>
            <w:tcBorders>
              <w:bottom w:val="single" w:sz="8" w:color="CCECFF"/>
            </w:tcBorders>
          </w:tcPr>
          <w:p>
            <w:pPr>
              <w:spacing w:after="0"/>
              <w:rPr>
                <w:sz w:val="17"/>
                <w:szCs w:val="17"/>
                <w:color w:val="auto"/>
              </w:rPr>
            </w:pPr>
          </w:p>
        </w:tc>
        <w:tc>
          <w:tcPr>
            <w:tcW w:w="214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21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216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Truist Credit Facility</w:t>
            </w:r>
          </w:p>
        </w:tc>
        <w:tc>
          <w:tcPr>
            <w:tcW w:w="1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03"/>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213,489,240</w:t>
            </w:r>
          </w:p>
        </w:tc>
        <w:tc>
          <w:tcPr>
            <w:tcW w:w="280" w:type="dxa"/>
            <w:vAlign w:val="bottom"/>
            <w:tcBorders>
              <w:bottom w:val="single" w:sz="8" w:color="CCECFF"/>
            </w:tcBorders>
            <w:shd w:val="clear" w:color="auto" w:fill="CCECFF"/>
          </w:tcPr>
          <w:p>
            <w:pPr>
              <w:spacing w:after="0"/>
              <w:rPr>
                <w:sz w:val="12"/>
                <w:szCs w:val="12"/>
                <w:color w:val="auto"/>
              </w:rPr>
            </w:pPr>
          </w:p>
        </w:tc>
        <w:tc>
          <w:tcPr>
            <w:tcW w:w="232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3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7"/>
              </w:rPr>
              <w:t>Market Yield</w:t>
            </w:r>
          </w:p>
        </w:tc>
        <w:tc>
          <w:tcPr>
            <w:tcW w:w="216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2.4%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9"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1"/>
          <w:szCs w:val="11"/>
          <w:b w:val="1"/>
          <w:bCs w:val="1"/>
          <w:color w:val="auto"/>
        </w:rPr>
      </w:pPr>
      <w:r>
        <w:rPr>
          <w:rFonts w:ascii="Arial" w:cs="Arial" w:eastAsia="Arial" w:hAnsi="Arial"/>
          <w:sz w:val="11"/>
          <w:szCs w:val="11"/>
          <w:color w:val="auto"/>
        </w:rPr>
        <w:t>The weighted averages disclosed in the table above were weighted by their relative fair value.</w:t>
      </w:r>
    </w:p>
    <w:p>
      <w:pPr>
        <w:spacing w:after="0" w:line="89" w:lineRule="exact"/>
        <w:rPr>
          <w:rFonts w:ascii="Arial" w:cs="Arial" w:eastAsia="Arial" w:hAnsi="Arial"/>
          <w:sz w:val="11"/>
          <w:szCs w:val="11"/>
          <w:b w:val="1"/>
          <w:bCs w:val="1"/>
          <w:color w:val="auto"/>
        </w:rPr>
      </w:pPr>
    </w:p>
    <w:p>
      <w:pPr>
        <w:ind w:left="740" w:hanging="368"/>
        <w:spacing w:after="0"/>
        <w:tabs>
          <w:tab w:leader="none" w:pos="740" w:val="left"/>
        </w:tabs>
        <w:numPr>
          <w:ilvl w:val="0"/>
          <w:numId w:val="20"/>
        </w:numPr>
        <w:rPr>
          <w:rFonts w:ascii="Arial" w:cs="Arial" w:eastAsia="Arial" w:hAnsi="Arial"/>
          <w:sz w:val="11"/>
          <w:szCs w:val="11"/>
          <w:b w:val="1"/>
          <w:bCs w:val="1"/>
          <w:color w:val="auto"/>
        </w:rPr>
      </w:pPr>
      <w:r>
        <w:rPr>
          <w:rFonts w:ascii="Arial" w:cs="Arial" w:eastAsia="Arial" w:hAnsi="Arial"/>
          <w:sz w:val="11"/>
          <w:szCs w:val="11"/>
          <w:color w:val="auto"/>
        </w:rPr>
        <w:t>DLOM is defined as discount for lack of marketability.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 2020</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38,794,224</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400,218,858</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6.4% – 15.0% (9.0%)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202,060,703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8.4% – 11.0% (10.0%)</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18,782,777</w:t>
            </w:r>
          </w:p>
        </w:tc>
        <w:tc>
          <w:tcPr>
            <w:tcW w:w="28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Pr>
          <w:p>
            <w:pPr>
              <w:jc w:val="center"/>
              <w:spacing w:after="0"/>
              <w:rPr>
                <w:sz w:val="20"/>
                <w:szCs w:val="20"/>
                <w:color w:val="auto"/>
              </w:rPr>
            </w:pPr>
            <w:r>
              <w:rPr>
                <w:rFonts w:ascii="Arial" w:cs="Arial" w:eastAsia="Arial" w:hAnsi="Arial"/>
                <w:sz w:val="14"/>
                <w:szCs w:val="14"/>
                <w:color w:val="auto"/>
                <w:w w:val="98"/>
              </w:rPr>
              <w:t>8.5x</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113,569,409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9.4% – 16.1% (12.0%)</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253,101,893</w:t>
            </w:r>
          </w:p>
        </w:tc>
        <w:tc>
          <w:tcPr>
            <w:tcW w:w="28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4.6x – 22.0x (11.4x)</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17,652,053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19.1%</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1,044,179,917</w:t>
            </w:r>
          </w:p>
        </w:tc>
        <w:tc>
          <w:tcPr>
            <w:tcW w:w="28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Truist Credit Facility</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368,701,972</w:t>
            </w:r>
          </w:p>
        </w:tc>
        <w:tc>
          <w:tcPr>
            <w:tcW w:w="28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08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9"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9"/>
          <w:szCs w:val="9"/>
          <w:b w:val="1"/>
          <w:bCs w:val="1"/>
          <w:color w:val="auto"/>
        </w:rPr>
      </w:pPr>
      <w:r>
        <w:rPr>
          <w:rFonts w:ascii="Arial" w:cs="Arial" w:eastAsia="Arial" w:hAnsi="Arial"/>
          <w:sz w:val="11"/>
          <w:szCs w:val="11"/>
          <w:color w:val="auto"/>
        </w:rPr>
        <w:t>The weighted averages disclosed in the table above were weighted by their relative fair value.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440"/>
        <w:spacing w:after="0"/>
        <w:rPr>
          <w:sz w:val="20"/>
          <w:szCs w:val="20"/>
          <w:color w:val="auto"/>
        </w:rPr>
      </w:pPr>
      <w:r>
        <w:rPr>
          <w:rFonts w:ascii="Arial" w:cs="Arial" w:eastAsia="Arial" w:hAnsi="Arial"/>
          <w:sz w:val="14"/>
          <w:szCs w:val="14"/>
          <w:color w:val="auto"/>
        </w:rPr>
        <w:t>Our investments, cash and cash equivalents, Truist Credit Facility, SBA debentures, 2024 Notes, and 2026 Notes were categorized as follows in the fair value hierarchy: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at June 30,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Measured at Net</w:t>
            </w: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66"/>
        </w:trPr>
        <w:tc>
          <w:tcPr>
            <w:tcW w:w="3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751,622,260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751,622,260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396,576,254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2,249,107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353,389,770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40,937,377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1,148,198,514</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2,249,107</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1,105,012,030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40,937,377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14,212,253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14,212,253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1,162,410,767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16,461,360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1,105,012,030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40,937,377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color w:val="auto"/>
              </w:rPr>
              <w:t>Truist Credit Facility</w:t>
            </w: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213,489,240</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213,489,240</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62,110,290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62,110,290</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3"/>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88,044,000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88,044,000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2026 Notes</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145,639,797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145,639,797</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3"/>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509,283,327</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88,044,000</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145,639,797</w:t>
            </w:r>
          </w:p>
        </w:tc>
        <w:tc>
          <w:tcPr>
            <w:tcW w:w="2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275,599,530</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center"/>
              <w:ind w:left="688"/>
              <w:spacing w:after="0"/>
              <w:rPr>
                <w:sz w:val="20"/>
                <w:szCs w:val="20"/>
                <w:color w:val="auto"/>
              </w:rPr>
            </w:pPr>
            <w:r>
              <w:rPr>
                <w:rFonts w:ascii="Arial" w:cs="Arial" w:eastAsia="Arial" w:hAnsi="Arial"/>
                <w:sz w:val="14"/>
                <w:szCs w:val="14"/>
                <w:b w:val="1"/>
                <w:bCs w:val="1"/>
                <w:color w:val="auto"/>
                <w:w w:val="93"/>
              </w:rPr>
              <w:t>Fair Value at September 30, 2020</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Measured at Net</w:t>
            </w: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66"/>
        </w:trPr>
        <w:tc>
          <w:tcPr>
            <w:tcW w:w="3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308,345,447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1,328,924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270,753,946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36,262,577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1,081,771,418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1,328,924</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36,262,577</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25,806,002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25,806,002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1,107,577,420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27,134,926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36,262,577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color w:val="auto"/>
              </w:rPr>
              <w:t>Truist Credit Facility</w:t>
            </w: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368,701,972</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368,701,972</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83,837,560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83,837,560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568,312,209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83,837,560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484,474,649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9" w:lineRule="exact"/>
        <w:rPr>
          <w:sz w:val="20"/>
          <w:szCs w:val="20"/>
          <w:color w:val="auto"/>
        </w:rPr>
      </w:pPr>
    </w:p>
    <w:p>
      <w:pPr>
        <w:ind w:left="380" w:right="240" w:hanging="372"/>
        <w:spacing w:after="0" w:line="238" w:lineRule="auto"/>
        <w:tabs>
          <w:tab w:leader="none" w:pos="380" w:val="left"/>
        </w:tabs>
        <w:numPr>
          <w:ilvl w:val="0"/>
          <w:numId w:val="22"/>
        </w:numPr>
        <w:rPr>
          <w:rFonts w:ascii="Arial" w:cs="Arial" w:eastAsia="Arial" w:hAnsi="Arial"/>
          <w:sz w:val="9"/>
          <w:szCs w:val="9"/>
          <w:b w:val="1"/>
          <w:bCs w:val="1"/>
          <w:color w:val="auto"/>
        </w:rPr>
      </w:pPr>
      <w:r>
        <w:rPr>
          <w:rFonts w:ascii="Arial" w:cs="Arial" w:eastAsia="Arial" w:hAnsi="Arial"/>
          <w:sz w:val="11"/>
          <w:szCs w:val="11"/>
          <w:color w:val="auto"/>
        </w:rPr>
        <w:t>In accordance with ASC Subtopic 820-10, Fair Value Measurements and Disclosures, or ASC 820-10, our equity investment in PSLF is measured using the net asset value per share (or its equivalent) as a practical expedient for fair value, have not been classified in the fair value hierarchy.</w:t>
      </w:r>
    </w:p>
    <w:p>
      <w:pPr>
        <w:ind w:left="380" w:right="200" w:hanging="372"/>
        <w:spacing w:after="0" w:line="422" w:lineRule="auto"/>
        <w:tabs>
          <w:tab w:leader="none" w:pos="380" w:val="left"/>
        </w:tabs>
        <w:numPr>
          <w:ilvl w:val="0"/>
          <w:numId w:val="22"/>
        </w:numPr>
        <w:rPr>
          <w:rFonts w:ascii="Arial" w:cs="Arial" w:eastAsia="Arial" w:hAnsi="Arial"/>
          <w:sz w:val="8"/>
          <w:szCs w:val="8"/>
          <w:b w:val="1"/>
          <w:bCs w:val="1"/>
          <w:color w:val="auto"/>
        </w:rPr>
      </w:pPr>
      <w:r>
        <w:rPr>
          <w:rFonts w:ascii="Arial" w:cs="Arial" w:eastAsia="Arial" w:hAnsi="Arial"/>
          <w:sz w:val="10"/>
          <w:szCs w:val="10"/>
          <w:color w:val="auto"/>
        </w:rPr>
        <w:t>We elected not to apply ASC 825-10, Financial Instruments, or ASC 825-10 to the SBA debentures, or the 2024 Notes and the 2026 Notes and thus the balance reported in the Consolidated Statement of Assets and Liabilities represents the carrying value. As of June 30, 2021 and September 30, 2020, the carrying value of the 2024 Notes and the SBA debentures approximates the fair value. As of June 30, 2021, the carrying value of the 2026 Notes approximates the fair value.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investments measured at fair value using significant unobservable inputs (Level 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6"/>
          </w:tcPr>
          <w:p>
            <w:pPr>
              <w:jc w:val="center"/>
              <w:ind w:left="808"/>
              <w:spacing w:after="0"/>
              <w:rPr>
                <w:sz w:val="20"/>
                <w:szCs w:val="20"/>
                <w:color w:val="auto"/>
              </w:rPr>
            </w:pPr>
            <w:r>
              <w:rPr>
                <w:rFonts w:ascii="Arial" w:cs="Arial" w:eastAsia="Arial" w:hAnsi="Arial"/>
                <w:sz w:val="14"/>
                <w:szCs w:val="14"/>
                <w:b w:val="1"/>
                <w:bCs w:val="1"/>
                <w:color w:val="auto"/>
                <w:w w:val="93"/>
              </w:rPr>
              <w:t>Nine Months Ended June 30, 2021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2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9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270,753,946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Net realized (loss) gain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(7,473,490)</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31,836,942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24,363,452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31,261,232</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74,167,758</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105,428,990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313,041,034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37,058,017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350,099,051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(358,632,487)</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(60,426,893)</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(419,059,380)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9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751,622,260</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353,389,770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1,105,012,030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w w:val="96"/>
              </w:rPr>
              <w:t>unrealized appreciation on investments in our Consolidated Statements of Operations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29,987,082</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67,652,532</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97,639,614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6"/>
          </w:tcPr>
          <w:p>
            <w:pPr>
              <w:jc w:val="center"/>
              <w:ind w:left="808"/>
              <w:spacing w:after="0"/>
              <w:rPr>
                <w:sz w:val="20"/>
                <w:szCs w:val="20"/>
                <w:color w:val="auto"/>
              </w:rPr>
            </w:pPr>
            <w:r>
              <w:rPr>
                <w:rFonts w:ascii="Arial" w:cs="Arial" w:eastAsia="Arial" w:hAnsi="Arial"/>
                <w:sz w:val="14"/>
                <w:szCs w:val="14"/>
                <w:b w:val="1"/>
                <w:bCs w:val="1"/>
                <w:color w:val="auto"/>
                <w:w w:val="93"/>
              </w:rPr>
              <w:t>Nine Months Ended June 30,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2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9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Net realized gain (loss)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1,410,495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(12,127,225)</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(10,716,730)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(33,269,398)</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(33,057,028)</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(66,326,426)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212,317,320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91,616,533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303,933,853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(113,622,294)</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(462,905)</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(114,085,199)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12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1,092,615,257</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238,828,457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1,331,443,714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w w:val="96"/>
              </w:rPr>
              <w:t>unrealized depreciation on investments in our Consolidated Statements of Operations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(33,179,844)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(34,796,749)</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(67,976,593)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vMerge w:val="restart"/>
          </w:tcPr>
          <w:p>
            <w:pPr>
              <w:jc w:val="right"/>
              <w:ind w:right="468"/>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52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6" w:right="319" w:bottom="1440" w:gutter="0" w:footer="0" w:header="0"/>
        </w:sectPr>
      </w:pPr>
    </w:p>
    <w:bookmarkStart w:id="25" w:name="page26"/>
    <w:bookmarkEnd w:id="25"/>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liabilities measured at fair value using significant unobservable inputs (Level 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NineMonths Ended June 30,</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$380,252,000 and $472,636,000,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360,701,972</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465,390,214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18,494,368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(21,301,111)</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148,311,500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(314,018,600)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(89,000,000)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$214,544,900 and $662,636,000,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213,489,240</w:t>
            </w: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634,089,103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$214,544,900 and $662,636,000,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213,489,240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634,089,103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1"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As of June 30, 2021, we had outstanding non-U.S. dollar borrowings on our Truist Credit Facility.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40,044,900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40,062,050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September 17, 2021</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17,150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right="680" w:firstLine="438"/>
        <w:spacing w:after="0" w:line="253" w:lineRule="auto"/>
        <w:rPr>
          <w:sz w:val="20"/>
          <w:szCs w:val="20"/>
          <w:color w:val="auto"/>
        </w:rPr>
      </w:pPr>
      <w:r>
        <w:rPr>
          <w:rFonts w:ascii="Arial" w:cs="Arial" w:eastAsia="Arial" w:hAnsi="Arial"/>
          <w:sz w:val="14"/>
          <w:szCs w:val="14"/>
          <w:color w:val="auto"/>
        </w:rPr>
        <w:t>As of September 30, 2020, we had outstanding non-U.S. dollar borrowings on our Truist Credit Facility.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38,752,000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36,198,400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18,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the three and nine months ended June 30,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did not elect to apply ASC 825-10 to any other financial assets or liabilities, including the 2024 Notes, the 2026 Notes and the SBA debentures.</w:t>
      </w:r>
    </w:p>
    <w:p>
      <w:pPr>
        <w:spacing w:after="0" w:line="197"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For the three and nine months ended June 30, 2021, the Truist Credit Facility had a net change in unrealized appreciation of $1.6 million and $18.5 million, respectively. For the three and nine months ended June 30, 2020, our Credit Facilities had a net change in unrealized (appreciation) depreciation of $(25.1) million and $21.3 million, respectively. As of June 30, 2021 and September 30, 2020, the net unrealized depreciation on the Truist Credit Facility totaled $1.1 million and $19.6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21"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Net Change in</w:t>
            </w:r>
          </w:p>
        </w:tc>
        <w:tc>
          <w:tcPr>
            <w:tcW w:w="80" w:type="dxa"/>
            <w:vAlign w:val="bottom"/>
          </w:tcPr>
          <w:p>
            <w:pPr>
              <w:spacing w:after="0"/>
              <w:rPr>
                <w:sz w:val="14"/>
                <w:szCs w:val="14"/>
                <w:color w:val="auto"/>
              </w:rPr>
            </w:pP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PIK</w:t>
            </w:r>
          </w:p>
        </w:tc>
        <w:tc>
          <w:tcPr>
            <w:tcW w:w="200" w:type="dxa"/>
            <w:vAlign w:val="bottom"/>
          </w:tcPr>
          <w:p>
            <w:pPr>
              <w:spacing w:after="0"/>
              <w:rPr>
                <w:sz w:val="14"/>
                <w:szCs w:val="14"/>
                <w:color w:val="auto"/>
              </w:rPr>
            </w:pPr>
          </w:p>
        </w:tc>
        <w:tc>
          <w:tcPr>
            <w:tcW w:w="8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Dividend</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1600" w:type="dxa"/>
            <w:vAlign w:val="bottom"/>
            <w:vMerge w:val="continue"/>
          </w:tcPr>
          <w:p>
            <w:pPr>
              <w:spacing w:after="0"/>
              <w:rPr>
                <w:sz w:val="14"/>
                <w:szCs w:val="14"/>
                <w:color w:val="auto"/>
              </w:rPr>
            </w:pP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Additions</w:t>
            </w:r>
            <w:r>
              <w:rPr>
                <w:rFonts w:ascii="Arial" w:cs="Arial" w:eastAsia="Arial" w:hAnsi="Arial"/>
                <w:sz w:val="12"/>
                <w:szCs w:val="12"/>
                <w:b w:val="1"/>
                <w:bCs w:val="1"/>
                <w:color w:val="auto"/>
                <w:w w:val="90"/>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Reductions</w:t>
            </w: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5"/>
        </w:trPr>
        <w:tc>
          <w:tcPr>
            <w:tcW w:w="1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AKW Holdings Limited</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37,772,115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2,014,175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3,474,966</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43,261,256</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2,297,118</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Mailsouth Inc. </w:t>
            </w:r>
            <w:r>
              <w:rPr>
                <w:rFonts w:ascii="Arial" w:cs="Arial" w:eastAsia="Arial" w:hAnsi="Arial"/>
                <w:sz w:val="12"/>
                <w:szCs w:val="12"/>
                <w:color w:val="auto"/>
              </w:rPr>
              <w:t>(2)</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18,782,777</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10,687,269</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(19,708,359)</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23,370,377</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33,132,064</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856,673</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(19,708,359)</w:t>
            </w:r>
          </w:p>
        </w:tc>
        <w:tc>
          <w:tcPr>
            <w:tcW w:w="0" w:type="dxa"/>
            <w:vAlign w:val="bottom"/>
          </w:tcPr>
          <w:p>
            <w:pPr>
              <w:spacing w:after="0"/>
              <w:rPr>
                <w:sz w:val="1"/>
                <w:szCs w:val="1"/>
                <w:color w:val="auto"/>
              </w:rPr>
            </w:pPr>
          </w:p>
        </w:tc>
      </w:tr>
      <w:tr>
        <w:trPr>
          <w:trHeight w:val="143"/>
        </w:trPr>
        <w:tc>
          <w:tcPr>
            <w:tcW w:w="1600" w:type="dxa"/>
            <w:vAlign w:val="bottom"/>
          </w:tcPr>
          <w:p>
            <w:pPr>
              <w:spacing w:after="0" w:line="143" w:lineRule="exact"/>
              <w:rPr>
                <w:sz w:val="20"/>
                <w:szCs w:val="20"/>
                <w:color w:val="auto"/>
              </w:rPr>
            </w:pPr>
            <w:r>
              <w:rPr>
                <w:rFonts w:ascii="Arial" w:cs="Arial" w:eastAsia="Arial" w:hAnsi="Arial"/>
                <w:sz w:val="14"/>
                <w:szCs w:val="14"/>
                <w:color w:val="auto"/>
                <w:w w:val="98"/>
              </w:rPr>
              <w:t>PennantPark Senior Loan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tcPr>
          <w:p>
            <w:pPr>
              <w:spacing w:after="0"/>
              <w:rPr>
                <w:sz w:val="20"/>
                <w:szCs w:val="20"/>
                <w:color w:val="auto"/>
              </w:rPr>
            </w:pPr>
            <w:r>
              <w:rPr>
                <w:rFonts w:ascii="Arial" w:cs="Arial" w:eastAsia="Arial" w:hAnsi="Arial"/>
                <w:sz w:val="14"/>
                <w:szCs w:val="14"/>
                <w:color w:val="auto"/>
              </w:rPr>
              <w:t>Fund, LLC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99,262,577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1,826,218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4,003,153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105,091,948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4,369,602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4,667,000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CFF"/>
          </w:tcPr>
          <w:p>
            <w:pPr>
              <w:spacing w:after="0"/>
              <w:rPr>
                <w:sz w:val="20"/>
                <w:szCs w:val="20"/>
                <w:color w:val="auto"/>
              </w:rPr>
            </w:pPr>
            <w:r>
              <w:rPr>
                <w:rFonts w:ascii="Arial" w:cs="Arial" w:eastAsia="Arial" w:hAnsi="Arial"/>
                <w:sz w:val="14"/>
                <w:szCs w:val="14"/>
                <w:color w:val="auto"/>
              </w:rPr>
              <w:t>PT Networks, LLC</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91,384,649</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4,591,173</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21,218,826</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117,194,648</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66,181</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4,582,793</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RAM Energy LLC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89,923,518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(8,614,907)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81,308,611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60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Controlled</w:t>
            </w: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CFF"/>
          </w:tcPr>
          <w:p>
            <w:pPr>
              <w:ind w:left="140"/>
              <w:spacing w:after="0"/>
              <w:rPr>
                <w:sz w:val="20"/>
                <w:szCs w:val="20"/>
                <w:color w:val="auto"/>
              </w:rPr>
            </w:pPr>
            <w:r>
              <w:rPr>
                <w:rFonts w:ascii="Arial" w:cs="Arial" w:eastAsia="Arial" w:hAnsi="Arial"/>
                <w:sz w:val="14"/>
                <w:szCs w:val="14"/>
                <w:color w:val="auto"/>
              </w:rPr>
              <w:t>Affiliates</w:t>
            </w:r>
          </w:p>
        </w:tc>
        <w:tc>
          <w:tcPr>
            <w:tcW w:w="22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337,125,636</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19,118,835</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(19,708,359)</w:t>
            </w:r>
          </w:p>
        </w:tc>
        <w:tc>
          <w:tcPr>
            <w:tcW w:w="26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43,452,415</w:t>
            </w:r>
          </w:p>
        </w:tc>
        <w:tc>
          <w:tcPr>
            <w:tcW w:w="1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379,988,527</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6,732,901</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5,439,466</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9"/>
              </w:rPr>
              <w:t>4,667,000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(19,708,359)</w:t>
            </w:r>
          </w:p>
        </w:tc>
        <w:tc>
          <w:tcPr>
            <w:tcW w:w="0" w:type="dxa"/>
            <w:vAlign w:val="bottom"/>
          </w:tcPr>
          <w:p>
            <w:pPr>
              <w:spacing w:after="0"/>
              <w:rPr>
                <w:sz w:val="1"/>
                <w:szCs w:val="1"/>
                <w:color w:val="auto"/>
              </w:rPr>
            </w:pPr>
          </w:p>
        </w:tc>
      </w:tr>
      <w:tr>
        <w:trPr>
          <w:trHeight w:val="155"/>
        </w:trPr>
        <w:tc>
          <w:tcPr>
            <w:tcW w:w="1600" w:type="dxa"/>
            <w:vAlign w:val="bottom"/>
          </w:tcPr>
          <w:p>
            <w:pPr>
              <w:spacing w:after="0" w:line="155" w:lineRule="exact"/>
              <w:rPr>
                <w:sz w:val="20"/>
                <w:szCs w:val="20"/>
                <w:color w:val="auto"/>
              </w:rPr>
            </w:pPr>
            <w:r>
              <w:rPr>
                <w:rFonts w:ascii="Arial" w:cs="Arial" w:eastAsia="Arial" w:hAnsi="Arial"/>
                <w:sz w:val="14"/>
                <w:szCs w:val="14"/>
                <w:b w:val="1"/>
                <w:bCs w:val="1"/>
                <w:color w:val="auto"/>
                <w:w w:val="95"/>
              </w:rPr>
              <w:t>Non-Controlled Affiliates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22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5,055,851</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(5,055,851)</w:t>
            </w: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00" w:type="dxa"/>
            <w:vAlign w:val="bottom"/>
          </w:tcPr>
          <w:p>
            <w:pPr>
              <w:spacing w:after="0" w:line="143" w:lineRule="exact"/>
              <w:rPr>
                <w:sz w:val="20"/>
                <w:szCs w:val="20"/>
                <w:color w:val="auto"/>
              </w:rPr>
            </w:pPr>
            <w:r>
              <w:rPr>
                <w:rFonts w:ascii="Arial" w:cs="Arial" w:eastAsia="Arial" w:hAnsi="Arial"/>
                <w:sz w:val="14"/>
                <w:szCs w:val="14"/>
                <w:color w:val="auto"/>
              </w:rPr>
              <w:t>MidOcean JF Holdings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120"/>
              <w:spacing w:after="0"/>
              <w:rPr>
                <w:sz w:val="20"/>
                <w:szCs w:val="20"/>
                <w:color w:val="auto"/>
              </w:rPr>
            </w:pPr>
            <w:r>
              <w:rPr>
                <w:rFonts w:ascii="Arial" w:cs="Arial" w:eastAsia="Arial" w:hAnsi="Arial"/>
                <w:sz w:val="14"/>
                <w:szCs w:val="14"/>
                <w:color w:val="auto"/>
              </w:rPr>
              <w:t>Corp.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22,698,042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26,184,734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48,882,776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60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22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27,753,893</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21,128,883</w:t>
            </w:r>
          </w:p>
        </w:tc>
        <w:tc>
          <w:tcPr>
            <w:tcW w:w="1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48,882,776</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Non-Controlled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b w:val="1"/>
                <w:bCs w:val="1"/>
                <w:color w:val="auto"/>
              </w:rPr>
              <w:t>Affiliates</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364,879,529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19,118,835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(19,708,359)</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64,581,298</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428,871,303</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6,732,901</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5,439,466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4,667,000</w:t>
            </w: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(19,708,359)</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3455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51"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Includes PIK.</w:t>
      </w:r>
    </w:p>
    <w:p>
      <w:pPr>
        <w:spacing w:after="0" w:line="3" w:lineRule="exact"/>
        <w:rPr>
          <w:rFonts w:ascii="Arial" w:cs="Arial" w:eastAsia="Arial" w:hAnsi="Arial"/>
          <w:sz w:val="9"/>
          <w:szCs w:val="9"/>
          <w:b w:val="1"/>
          <w:bCs w:val="1"/>
          <w:color w:val="auto"/>
        </w:rPr>
      </w:pP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Mailsouth Inc. became a controlled affiliate during the quarter ended December 31, 2020.</w:t>
      </w:r>
    </w:p>
    <w:p>
      <w:pPr>
        <w:ind w:left="380" w:hanging="372"/>
        <w:spacing w:after="0" w:line="234" w:lineRule="auto"/>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color w:val="auto"/>
              </w:rPr>
              <w:t>7. CHANGE IN NET ASSETS FROM OPERATIONS PER COMMON SHARE</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19"/>
        </w:trPr>
        <w:tc>
          <w:tcPr>
            <w:tcW w:w="8480" w:type="dxa"/>
            <w:vAlign w:val="bottom"/>
            <w:gridSpan w:val="7"/>
          </w:tcPr>
          <w:p>
            <w:pPr>
              <w:ind w:left="440"/>
              <w:spacing w:after="0"/>
              <w:rPr>
                <w:sz w:val="20"/>
                <w:szCs w:val="20"/>
                <w:color w:val="auto"/>
              </w:rPr>
            </w:pPr>
            <w:r>
              <w:rPr>
                <w:rFonts w:ascii="Arial" w:cs="Arial" w:eastAsia="Arial" w:hAnsi="Arial"/>
                <w:sz w:val="14"/>
                <w:szCs w:val="14"/>
                <w:color w:val="auto"/>
                <w:w w:val="96"/>
              </w:rPr>
              <w:t>The following information sets forth the computation of basic and diluted per share net increase in net assets resulting from operations: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24"/>
                <w:szCs w:val="24"/>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June 30,</w:t>
            </w:r>
          </w:p>
        </w:tc>
      </w:tr>
      <w:tr>
        <w:trPr>
          <w:trHeight w:val="26"/>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56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31,880,013</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15,613,930</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141,508,883</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(25,476,264)</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67,045,105</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w w:val="99"/>
              </w:rPr>
              <w:t>Basic and diluted net increase (decrease)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(0.38)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21"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2021 and September 30, 2020, cash and cash equivalents consisted of money market funds in the amounts of $14.2 million and $25.8 million at fair value,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30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Nine Months Ended June 30,</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CECFF"/>
            </w:tcBorders>
          </w:tcPr>
          <w:p>
            <w:pPr>
              <w:spacing w:after="0"/>
              <w:rPr>
                <w:sz w:val="13"/>
                <w:szCs w:val="13"/>
                <w:color w:val="auto"/>
              </w:rPr>
            </w:pPr>
          </w:p>
        </w:tc>
        <w:tc>
          <w:tcPr>
            <w:tcW w:w="1560" w:type="dxa"/>
            <w:vAlign w:val="bottom"/>
            <w:tcBorders>
              <w:bottom w:val="single" w:sz="8" w:color="CCEC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CECFF"/>
            </w:tcBorders>
          </w:tcPr>
          <w:p>
            <w:pPr>
              <w:spacing w:after="0"/>
              <w:rPr>
                <w:sz w:val="13"/>
                <w:szCs w:val="13"/>
                <w:color w:val="auto"/>
              </w:rPr>
            </w:pPr>
          </w:p>
        </w:tc>
        <w:tc>
          <w:tcPr>
            <w:tcW w:w="40" w:type="dxa"/>
            <w:vAlign w:val="bottom"/>
            <w:tcBorders>
              <w:top w:val="single" w:sz="8" w:color="auto"/>
              <w:bottom w:val="single" w:sz="8" w:color="CCEC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76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5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700" w:type="dxa"/>
            <w:vAlign w:val="bottom"/>
            <w:gridSpan w:val="2"/>
          </w:tcPr>
          <w:p>
            <w:pPr>
              <w:jc w:val="right"/>
              <w:ind w:right="102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7.84</w:t>
            </w:r>
          </w:p>
        </w:tc>
        <w:tc>
          <w:tcPr>
            <w:tcW w:w="320" w:type="dxa"/>
            <w:vAlign w:val="bottom"/>
          </w:tcPr>
          <w:p>
            <w:pPr>
              <w:spacing w:after="0"/>
              <w:rPr>
                <w:sz w:val="14"/>
                <w:szCs w:val="14"/>
                <w:color w:val="auto"/>
              </w:rPr>
            </w:pPr>
          </w:p>
        </w:tc>
        <w:tc>
          <w:tcPr>
            <w:tcW w:w="80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8.68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5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3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0.47</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 xml:space="preserve">Net realized and change in unrealized gain (loss) </w:t>
            </w:r>
            <w:r>
              <w:rPr>
                <w:rFonts w:ascii="Arial" w:cs="Arial" w:eastAsia="Arial" w:hAnsi="Arial"/>
                <w:sz w:val="12"/>
                <w:szCs w:val="12"/>
                <w:color w:val="auto"/>
              </w:rPr>
              <w:t>(1)</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55"/>
        </w:trPr>
        <w:tc>
          <w:tcPr>
            <w:tcW w:w="53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5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2.11</w:t>
            </w:r>
          </w:p>
        </w:tc>
        <w:tc>
          <w:tcPr>
            <w:tcW w:w="32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(0.38)</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(0.36)</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55"/>
        </w:trPr>
        <w:tc>
          <w:tcPr>
            <w:tcW w:w="53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56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9.59</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760" w:type="dxa"/>
            <w:vAlign w:val="bottom"/>
            <w:tcBorders>
              <w:top w:val="single" w:sz="8" w:color="auto"/>
              <w:bottom w:val="single" w:sz="8" w:color="auto"/>
            </w:tcBorders>
            <w:shd w:val="clear" w:color="auto" w:fill="CCECFF"/>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7.82</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2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tcBorders>
              <w:bottom w:val="single" w:sz="8" w:color="CCECFF"/>
            </w:tcBorders>
            <w:vMerge w:val="continue"/>
          </w:tcPr>
          <w:p>
            <w:pPr>
              <w:spacing w:after="0"/>
              <w:rPr>
                <w:sz w:val="15"/>
                <w:szCs w:val="15"/>
                <w:color w:val="auto"/>
              </w:rPr>
            </w:pPr>
          </w:p>
        </w:tc>
        <w:tc>
          <w:tcPr>
            <w:tcW w:w="1560" w:type="dxa"/>
            <w:vAlign w:val="bottom"/>
            <w:tcBorders>
              <w:bottom w:val="single" w:sz="8" w:color="CCEC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6.68</w:t>
            </w:r>
          </w:p>
        </w:tc>
        <w:tc>
          <w:tcPr>
            <w:tcW w:w="320" w:type="dxa"/>
            <w:vAlign w:val="bottom"/>
            <w:tcBorders>
              <w:bottom w:val="single" w:sz="8" w:color="CCECFF"/>
            </w:tcBorders>
          </w:tcPr>
          <w:p>
            <w:pPr>
              <w:spacing w:after="0"/>
              <w:rPr>
                <w:sz w:val="15"/>
                <w:szCs w:val="15"/>
                <w:color w:val="auto"/>
              </w:rPr>
            </w:pPr>
          </w:p>
        </w:tc>
        <w:tc>
          <w:tcPr>
            <w:tcW w:w="40" w:type="dxa"/>
            <w:vAlign w:val="bottom"/>
            <w:tcBorders>
              <w:bottom w:val="single" w:sz="8" w:color="CCECFF"/>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60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3.51</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5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123.38%</w:t>
            </w:r>
          </w:p>
        </w:tc>
        <w:tc>
          <w:tcPr>
            <w:tcW w:w="3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1560" w:type="dxa"/>
            <w:vAlign w:val="bottom"/>
            <w:tcBorders>
              <w:bottom w:val="single" w:sz="8" w:color="CCEC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32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Supplemental Data:</w:t>
            </w:r>
          </w:p>
        </w:tc>
        <w:tc>
          <w:tcPr>
            <w:tcW w:w="15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 xml:space="preserve">3.71% </w:t>
            </w:r>
            <w:r>
              <w:rPr>
                <w:rFonts w:ascii="Arial" w:cs="Arial" w:eastAsia="Arial" w:hAnsi="Arial"/>
                <w:sz w:val="12"/>
                <w:szCs w:val="12"/>
                <w:color w:val="auto"/>
              </w:rPr>
              <w:t>(8)</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interest and expenses on debt to average net assets </w:t>
            </w:r>
            <w:r>
              <w:rPr>
                <w:rFonts w:ascii="Arial" w:cs="Arial" w:eastAsia="Arial" w:hAnsi="Arial"/>
                <w:sz w:val="12"/>
                <w:szCs w:val="12"/>
                <w:color w:val="auto"/>
              </w:rPr>
              <w:t>(5)</w:t>
            </w:r>
          </w:p>
        </w:tc>
        <w:tc>
          <w:tcPr>
            <w:tcW w:w="15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3.80%</w:t>
            </w:r>
          </w:p>
        </w:tc>
        <w:tc>
          <w:tcPr>
            <w:tcW w:w="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 xml:space="preserve">7.51% </w:t>
            </w:r>
            <w:r>
              <w:rPr>
                <w:rFonts w:ascii="Arial" w:cs="Arial" w:eastAsia="Arial" w:hAnsi="Arial"/>
                <w:sz w:val="12"/>
                <w:szCs w:val="12"/>
                <w:color w:val="auto"/>
              </w:rPr>
              <w:t>(8)</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5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5.70%</w:t>
            </w:r>
          </w:p>
        </w:tc>
        <w:tc>
          <w:tcPr>
            <w:tcW w:w="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2700" w:type="dxa"/>
            <w:vAlign w:val="bottom"/>
            <w:gridSpan w:val="2"/>
          </w:tcPr>
          <w:p>
            <w:pPr>
              <w:jc w:val="right"/>
              <w:ind w:right="102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5"/>
              </w:rPr>
              <w:t>643,081,495</w:t>
            </w:r>
          </w:p>
        </w:tc>
        <w:tc>
          <w:tcPr>
            <w:tcW w:w="320" w:type="dxa"/>
            <w:vAlign w:val="bottom"/>
          </w:tcPr>
          <w:p>
            <w:pPr>
              <w:spacing w:after="0"/>
              <w:rPr>
                <w:sz w:val="14"/>
                <w:szCs w:val="14"/>
                <w:color w:val="auto"/>
              </w:rPr>
            </w:pPr>
          </w:p>
        </w:tc>
        <w:tc>
          <w:tcPr>
            <w:tcW w:w="80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524,247,754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5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649,964,608</w:t>
            </w:r>
          </w:p>
        </w:tc>
        <w:tc>
          <w:tcPr>
            <w:tcW w:w="32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760" w:type="dxa"/>
            <w:vAlign w:val="bottom"/>
            <w:tcBorders>
              <w:top w:val="single" w:sz="8" w:color="auto"/>
              <w:bottom w:val="single" w:sz="8" w:color="auto"/>
            </w:tcBorders>
            <w:shd w:val="clear" w:color="auto" w:fill="CCECFF"/>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824,718,011</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560" w:type="dxa"/>
            <w:vAlign w:val="bottom"/>
          </w:tcPr>
          <w:p>
            <w:pPr>
              <w:spacing w:after="0"/>
              <w:rPr>
                <w:sz w:val="13"/>
                <w:szCs w:val="13"/>
                <w:color w:val="auto"/>
              </w:rPr>
            </w:pPr>
          </w:p>
        </w:tc>
        <w:tc>
          <w:tcPr>
            <w:tcW w:w="1140" w:type="dxa"/>
            <w:vAlign w:val="bottom"/>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9.69</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12.30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2700" w:type="dxa"/>
            <w:vAlign w:val="bottom"/>
            <w:gridSpan w:val="2"/>
            <w:shd w:val="clear" w:color="auto" w:fill="CCECFF"/>
          </w:tcPr>
          <w:p>
            <w:pPr>
              <w:jc w:val="right"/>
              <w:ind w:right="102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2,424</w:t>
            </w:r>
          </w:p>
        </w:tc>
        <w:tc>
          <w:tcPr>
            <w:tcW w:w="32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6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1,672</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32.92%</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1"/>
          <w:szCs w:val="11"/>
          <w:b w:val="1"/>
          <w:bCs w:val="1"/>
          <w:color w:val="auto"/>
        </w:rPr>
      </w:pPr>
      <w:r>
        <w:rPr>
          <w:rFonts w:ascii="Arial" w:cs="Arial" w:eastAsia="Arial" w:hAnsi="Arial"/>
          <w:sz w:val="11"/>
          <w:szCs w:val="11"/>
          <w:color w:val="auto"/>
        </w:rPr>
        <w:t>Not annualized for periods less than one year.</w:t>
      </w:r>
    </w:p>
    <w:p>
      <w:pPr>
        <w:spacing w:after="0" w:line="3"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1"/>
          <w:szCs w:val="11"/>
          <w:b w:val="1"/>
          <w:bCs w:val="1"/>
          <w:color w:val="auto"/>
        </w:rPr>
        <w:t>**</w:t>
      </w:r>
      <w:r>
        <w:rPr>
          <w:rFonts w:ascii="Arial" w:cs="Arial" w:eastAsia="Arial" w:hAnsi="Arial"/>
          <w:sz w:val="9"/>
          <w:szCs w:val="9"/>
          <w:color w:val="auto"/>
        </w:rPr>
        <w:t>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455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31"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Based on the weighted average shares outstanding for the respective periods.</w:t>
      </w:r>
    </w:p>
    <w:p>
      <w:pPr>
        <w:ind w:left="380" w:hanging="372"/>
        <w:spacing w:after="0" w:line="230"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230"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230"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Excludes debt related costs.</w:t>
      </w:r>
    </w:p>
    <w:p>
      <w:pPr>
        <w:ind w:left="380" w:hanging="372"/>
        <w:spacing w:after="0" w:line="230"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Includes interest and expenses on debt (annualized) as well as Credit Facility amendment and debt issuance costs, if any, (not annualized).</w:t>
      </w:r>
    </w:p>
    <w:p>
      <w:pPr>
        <w:ind w:left="380" w:hanging="372"/>
        <w:spacing w:after="0" w:line="230"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Includes SBA debentures outstanding.</w:t>
      </w:r>
    </w:p>
    <w:p>
      <w:pPr>
        <w:ind w:left="380" w:right="240" w:hanging="372"/>
        <w:spacing w:after="0" w:line="230" w:lineRule="auto"/>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hanging="372"/>
        <w:spacing w:after="0"/>
        <w:tabs>
          <w:tab w:leader="none" w:pos="380" w:val="left"/>
        </w:tabs>
        <w:numPr>
          <w:ilvl w:val="0"/>
          <w:numId w:val="27"/>
        </w:numPr>
        <w:rPr>
          <w:rFonts w:ascii="Arial" w:cs="Arial" w:eastAsia="Arial" w:hAnsi="Arial"/>
          <w:sz w:val="9"/>
          <w:szCs w:val="9"/>
          <w:b w:val="1"/>
          <w:bCs w:val="1"/>
          <w:color w:val="auto"/>
        </w:rPr>
      </w:pPr>
      <w:r>
        <w:rPr>
          <w:rFonts w:ascii="Arial" w:cs="Arial" w:eastAsia="Arial" w:hAnsi="Arial"/>
          <w:sz w:val="11"/>
          <w:szCs w:val="11"/>
          <w:color w:val="auto"/>
        </w:rPr>
        <w:t>For the nine months ended June 30, 2021, the ratio of operating and total expenses before the performance-based incentive fee waiver to average net assets was 3.71% and 7.51%,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21"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annualized weighted average cost of debt for the nine months ended June 30, 2021 and 2020, inclusive of the fee on the undrawn commitment under the Truist Credit Facility and amortized upfront fees on SBA debentures, 2024 Notes and 2026 Notes, was 3.5% and 4.2%, respectively. As of June 30, 2021,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8"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2021 and September 30, 2020, our asset coverage ratio, as computed in accordance with the 1940 Act, was 244% and 208%,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2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On February 22, 2019, Funding I closed the BNP Credit Facility for up to $250.0 million (increased to $275.0 million as of November 6, 2020)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The BNP Credit Facility is secured by all of the assets of Funding I. Prior to deconsolidation on July 31, 2020, we owned 100% of the equity interest in Funding I and treated the indebtedness of Funding I as our leverage. Our Investment Adviser serves as the servicer to Funding I in connection with the BNP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217"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As of June 30, 2021, we had the multi-currency Truist Credit Facility for up to $435.0 million (decreased from $475.0 million on May 25, 2021 pursuant to its terms) in borrowings with certain lenders and Truist Bank (formerly SunTrust Bank), acting as administrative agent, and JPMorgan Chase Bank, N.A., acting as syndication agent for the lenders. As of June 30, 2021 and September 30, 2020, we had $214.5 million and $388.3 million, respectively, in outstanding borrowings under the Truist Credit Facility. The Truist Credit Facility had a weighted average interest rate of 2.5% and 2.5%, respectively, exclusive of the fee on undrawn commitments, as of June 30, 2021 and September 30, 2020. The Truist Credit Facility is a revolving facility with a stated maturity date of September 4, 2024, a one-year term-out period on September 4, 2023 and pricing set at 225 basis points over LIBOR (or an alternative risk-free floating interest rate index). As of June 30, 2021 and September 30, 2020, we had $220.5 million and $86.7 million of unused borrowing capacity under the Truist Credit Facility, respectively, subject to leverage and borrowing base restrictions. The Truist Credit Facility is secured by substantially all of our assets, excluding assets held by SBIC II. As of June 30, 2021, we were in compliance with the terms of the Truist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17"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$63.5 million and $118.5 million as of June 30, 2021 and September 30, 2020,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As of both June 30, 2021 and September 30, 2020, SBIC II had an initial $150.0 million in debt commitments, all of which were drawn. During the three and nine months ended June 30, 2021, $45.0 million and $55.0 million in SBA debentures were repaid, respectively. During the three and nine months ended June 30, 2020, zero and $16.5 million in SBA debentures were repaid, respectively. As of June 30, 2021 and September 30, 2020, the unamortized fees on the SBA debentures were $1.4 million and $2.7 million, respectively. The SBA debentures’ upfront fees of 3.4% consist of a commitment fee of 1.0% and an issuance discount of 2.4%, which are being amortized.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82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38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June 30, 2021</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155"/>
        </w:trPr>
        <w:tc>
          <w:tcPr>
            <w:tcW w:w="3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20, 2017</w:t>
            </w:r>
          </w:p>
        </w:tc>
        <w:tc>
          <w:tcPr>
            <w:tcW w:w="240" w:type="dxa"/>
            <w:vAlign w:val="bottom"/>
            <w:tcBorders>
              <w:top w:val="single" w:sz="8" w:color="CCECFF"/>
            </w:tcBorders>
            <w:shd w:val="clear" w:color="auto" w:fill="CCECFF"/>
          </w:tcPr>
          <w:p>
            <w:pPr>
              <w:spacing w:after="0"/>
              <w:rPr>
                <w:sz w:val="13"/>
                <w:szCs w:val="13"/>
                <w:color w:val="auto"/>
              </w:rPr>
            </w:pPr>
          </w:p>
        </w:tc>
        <w:tc>
          <w:tcPr>
            <w:tcW w:w="2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1, 2027</w:t>
            </w:r>
          </w:p>
        </w:tc>
        <w:tc>
          <w:tcPr>
            <w:tcW w:w="220" w:type="dxa"/>
            <w:vAlign w:val="bottom"/>
            <w:tcBorders>
              <w:top w:val="single" w:sz="8" w:color="CCECFF"/>
            </w:tcBorders>
            <w:shd w:val="clear" w:color="auto" w:fill="CCECFF"/>
          </w:tcPr>
          <w:p>
            <w:pPr>
              <w:spacing w:after="0"/>
              <w:rPr>
                <w:sz w:val="13"/>
                <w:szCs w:val="13"/>
                <w:color w:val="auto"/>
              </w:rPr>
            </w:pPr>
          </w:p>
        </w:tc>
        <w:tc>
          <w:tcPr>
            <w:tcW w:w="2060" w:type="dxa"/>
            <w:vAlign w:val="bottom"/>
            <w:tcBorders>
              <w:top w:val="single" w:sz="8" w:color="auto"/>
            </w:tcBorders>
            <w:shd w:val="clear" w:color="auto" w:fill="CCECFF"/>
          </w:tcPr>
          <w:p>
            <w:pPr>
              <w:ind w:left="1860"/>
              <w:spacing w:after="0" w:line="155" w:lineRule="exact"/>
              <w:rPr>
                <w:sz w:val="20"/>
                <w:szCs w:val="20"/>
                <w:color w:val="auto"/>
              </w:rPr>
            </w:pPr>
            <w:r>
              <w:rPr>
                <w:rFonts w:ascii="Arial" w:cs="Arial" w:eastAsia="Arial" w:hAnsi="Arial"/>
                <w:sz w:val="14"/>
                <w:szCs w:val="14"/>
                <w:color w:val="auto"/>
                <w:w w:val="92"/>
              </w:rPr>
              <w:t>2.9</w:t>
            </w:r>
          </w:p>
        </w:tc>
        <w:tc>
          <w:tcPr>
            <w:tcW w:w="4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2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27,500,000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30,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118,500,000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72"/>
        <w:spacing w:after="0" w:line="204" w:lineRule="auto"/>
        <w:tabs>
          <w:tab w:leader="none" w:pos="380" w:val="left"/>
        </w:tabs>
        <w:numPr>
          <w:ilvl w:val="0"/>
          <w:numId w:val="28"/>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345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84"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2021, SBIC II was in compliance with its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As of both June 30, 2021 and September 30, 2020, we had $86.3 million in aggregate principal amount of 2024 Notes outstanding. Interest on the 2024 Notes is paid quarterly on January 15, April 15, July 15 and October 15, at a rate of 5.50%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Facilities. The 2024 Notes may be repurchased from time to time in open market purchases and privately-negotiated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217" w:lineRule="exact"/>
        <w:rPr>
          <w:sz w:val="20"/>
          <w:szCs w:val="20"/>
          <w:color w:val="auto"/>
        </w:rPr>
      </w:pPr>
    </w:p>
    <w:p>
      <w:pPr>
        <w:ind w:firstLine="729"/>
        <w:spacing w:after="0" w:line="229"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June 30, 2021 and September 30, 2020, we had $57.1 million and $37.4 million, respectively, in commitments to fund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21"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We must determine which, if any, of our unconsolidated controlled portfolio companies is a "significant subsidiary" within the meaning of Regulation S-X. We have determined that, as of September 30, 2020, PennantPark Senior Loan Fund, LLC, PT Networks, LLC and RAM Energy Holdings LLC triggered at least one of the significance tests. As a result and in accordance with Rule 10-01(b) of Regulation S-X under the Securities Act, presented below is summarized unaudited financial information for PT Networks, LLC and RAM Energy Holdings LLC for the three and nine months ended June 30, 2021 and 2020. Similarly, while PennantPark Senior Loan Fund, LLC did not trigger the requirement to present summarized financial information in accordance with Rule 10-01(b) of Regulation S-X, the Statement of Assets and Liabilities as well as the Statement of Operations for PennantPark Senior Loan Fund, LLC has been included in Note 4.</w:t>
      </w:r>
    </w:p>
    <w:p>
      <w:pPr>
        <w:spacing w:after="0" w:line="190" w:lineRule="exact"/>
        <w:rPr>
          <w:sz w:val="20"/>
          <w:szCs w:val="20"/>
          <w:color w:val="auto"/>
        </w:rPr>
      </w:pPr>
    </w:p>
    <w:p>
      <w:pPr>
        <w:ind w:left="800" w:hanging="360"/>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PT Networks, LLC: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92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Nine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10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76,167</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48,150</w:t>
            </w:r>
          </w:p>
        </w:tc>
        <w:tc>
          <w:tcPr>
            <w:tcW w:w="280" w:type="dxa"/>
            <w:vAlign w:val="bottom"/>
            <w:tcBorders>
              <w:top w:val="single" w:sz="8" w:color="CCECFF"/>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196,564</w:t>
            </w:r>
          </w:p>
        </w:tc>
        <w:tc>
          <w:tcPr>
            <w:tcW w:w="30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8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156,797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(63,329)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(55,685)</w:t>
            </w:r>
          </w:p>
        </w:tc>
        <w:tc>
          <w:tcPr>
            <w:tcW w:w="10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(193,667)</w:t>
            </w:r>
          </w:p>
        </w:tc>
        <w:tc>
          <w:tcPr>
            <w:tcW w:w="10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(165,707)</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income (loss)</w:t>
            </w:r>
          </w:p>
        </w:tc>
        <w:tc>
          <w:tcPr>
            <w:tcW w:w="1040" w:type="dxa"/>
            <w:vAlign w:val="bottom"/>
            <w:shd w:val="clear" w:color="auto" w:fill="CCECFF"/>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12,838</w:t>
            </w:r>
          </w:p>
        </w:tc>
        <w:tc>
          <w:tcPr>
            <w:tcW w:w="1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8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(7,535)</w:t>
            </w:r>
          </w:p>
        </w:tc>
        <w:tc>
          <w:tcPr>
            <w:tcW w:w="1020" w:type="dxa"/>
            <w:vAlign w:val="bottom"/>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2,897</w:t>
            </w: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jc w:val="right"/>
              <w:ind w:right="88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800" w:hanging="360"/>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RAM Energy Holdings LLC: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340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23,044</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3,392</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50,134</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28,595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3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(9,393)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(46,450)</w:t>
            </w:r>
          </w:p>
        </w:tc>
        <w:tc>
          <w:tcPr>
            <w:tcW w:w="36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(27,090)</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(69,520)</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13,651</w:t>
            </w:r>
          </w:p>
        </w:tc>
        <w:tc>
          <w:tcPr>
            <w:tcW w:w="16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(43,058)</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23,044</w:t>
            </w:r>
          </w:p>
        </w:tc>
        <w:tc>
          <w:tcPr>
            <w:tcW w:w="300" w:type="dxa"/>
            <w:vAlign w:val="bottom"/>
            <w:shd w:val="clear" w:color="auto" w:fill="CCECFF"/>
          </w:tcPr>
          <w:p>
            <w:pPr>
              <w:spacing w:after="0"/>
              <w:rPr>
                <w:sz w:val="14"/>
                <w:szCs w:val="14"/>
                <w:color w:val="auto"/>
              </w:rPr>
            </w:pP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(40,925)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45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4"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9"/>
          <w:szCs w:val="9"/>
          <w:b w:val="1"/>
          <w:bCs w:val="1"/>
          <w:color w:val="auto"/>
        </w:rPr>
      </w:pPr>
      <w:r>
        <w:rPr>
          <w:rFonts w:ascii="Arial" w:cs="Arial" w:eastAsia="Arial" w:hAnsi="Arial"/>
          <w:sz w:val="11"/>
          <w:szCs w:val="11"/>
          <w:color w:val="auto"/>
        </w:rPr>
        <w:t>All amounts are in thousands.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Subsequent to quarter end, we had new originations of $69.0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ind w:right="5240"/>
        <w:spacing w:after="0" w:line="474"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39"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June 30, 2021, and the related consolidated statements of operations and changes in net assets for the three-month and nine-month periods ended June 30, 2021 and 2020, and cash flows for the nine-month periods ended June 30, 2021 and 2020,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1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2020, and the related consolidated statements of operations, changes in net assets, and cash flows for the year then ended (not presented herein), and in our report dated November 19, 2020, we expressed an unqualified opinion on those consolidated financial statements. In our opinion, the information set forth in the accompanying consolidated statement of assets and liabilities as of September 30, 2020,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21"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 including as a result of the current pandemic caused by COVID-19 or any worsening thereof;</w:t>
      </w:r>
    </w:p>
    <w:p>
      <w:pPr>
        <w:spacing w:after="0" w:line="215" w:lineRule="exact"/>
        <w:rPr>
          <w:rFonts w:ascii="Arial" w:cs="Arial" w:eastAsia="Arial" w:hAnsi="Arial"/>
          <w:sz w:val="13"/>
          <w:szCs w:val="13"/>
          <w:color w:val="auto"/>
        </w:rPr>
      </w:pPr>
    </w:p>
    <w:p>
      <w:pPr>
        <w:ind w:left="920" w:right="340" w:hanging="372"/>
        <w:spacing w:after="0" w:line="253"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thereof;</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and other world economic and political issues.</w:t>
      </w:r>
    </w:p>
    <w:p>
      <w:pPr>
        <w:spacing w:after="0" w:line="285"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96" w:lineRule="exact"/>
        <w:rPr>
          <w:sz w:val="20"/>
          <w:szCs w:val="20"/>
          <w:color w:val="auto"/>
        </w:rPr>
      </w:pPr>
    </w:p>
    <w:p>
      <w:pPr>
        <w:jc w:val="both"/>
        <w:ind w:right="40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8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17" w:lineRule="exact"/>
        <w:rPr>
          <w:sz w:val="20"/>
          <w:szCs w:val="20"/>
          <w:color w:val="auto"/>
        </w:rPr>
      </w:pPr>
    </w:p>
    <w:p>
      <w:pPr>
        <w:ind w:right="58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65" w:lineRule="exact"/>
        <w:rPr>
          <w:sz w:val="20"/>
          <w:szCs w:val="20"/>
          <w:color w:val="auto"/>
        </w:rPr>
      </w:pPr>
    </w:p>
    <w:p>
      <w:pPr>
        <w:ind w:right="320" w:firstLine="438"/>
        <w:spacing w:after="0" w:line="233" w:lineRule="auto"/>
        <w:rPr>
          <w:sz w:val="20"/>
          <w:szCs w:val="20"/>
          <w:color w:val="auto"/>
        </w:rPr>
      </w:pPr>
      <w:r>
        <w:rPr>
          <w:rFonts w:ascii="Arial" w:cs="Arial" w:eastAsia="Arial" w:hAnsi="Arial"/>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 w:name="page32"/>
    <w:bookmarkEnd w:id="31"/>
    <w:p>
      <w:pPr>
        <w:ind w:right="120"/>
        <w:spacing w:after="0" w:line="255" w:lineRule="auto"/>
        <w:rPr>
          <w:sz w:val="20"/>
          <w:szCs w:val="20"/>
          <w:color w:val="auto"/>
        </w:rPr>
      </w:pPr>
      <w:r>
        <w:rPr>
          <w:rFonts w:ascii="Arial" w:cs="Arial" w:eastAsia="Arial" w:hAnsi="Arial"/>
          <w:sz w:val="13"/>
          <w:szCs w:val="13"/>
          <w:color w:val="auto"/>
        </w:rPr>
        <w:t>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2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6" w:lineRule="exact"/>
        <w:rPr>
          <w:sz w:val="20"/>
          <w:szCs w:val="20"/>
          <w:color w:val="auto"/>
        </w:rPr>
      </w:pPr>
    </w:p>
    <w:p>
      <w:pPr>
        <w:ind w:right="40" w:firstLine="438"/>
        <w:spacing w:after="0" w:line="271"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217" w:lineRule="exact"/>
        <w:rPr>
          <w:sz w:val="20"/>
          <w:szCs w:val="20"/>
          <w:color w:val="auto"/>
        </w:rPr>
      </w:pPr>
    </w:p>
    <w:p>
      <w:pPr>
        <w:ind w:right="20" w:firstLine="451"/>
        <w:spacing w:after="0" w:line="228" w:lineRule="auto"/>
        <w:rPr>
          <w:sz w:val="20"/>
          <w:szCs w:val="20"/>
          <w:color w:val="auto"/>
        </w:rPr>
      </w:pPr>
      <w:r>
        <w:rPr>
          <w:rFonts w:ascii="Arial" w:cs="Arial" w:eastAsia="Arial" w:hAnsi="Arial"/>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COVID- 19 variants may create stress on the market and may affect some of our portfolio companies. We cannot predict the full impact of the COVID-19 pandemic, including any worsening thereof or its duration in the United States and globally and any impact to our business operations or the business operations of our portfolio companies.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98" w:lineRule="exact"/>
        <w:rPr>
          <w:sz w:val="20"/>
          <w:szCs w:val="20"/>
          <w:color w:val="auto"/>
        </w:rPr>
      </w:pPr>
    </w:p>
    <w:p>
      <w:pPr>
        <w:ind w:right="200" w:firstLine="451"/>
        <w:spacing w:after="0" w:line="231"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 to the vaccine, politicization of the vaccination process or general public skepticism of the safety and efficacy of the vaccine.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116" w:lineRule="exact"/>
        <w:rPr>
          <w:sz w:val="20"/>
          <w:szCs w:val="20"/>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85" w:lineRule="exact"/>
        <w:rPr>
          <w:sz w:val="20"/>
          <w:szCs w:val="20"/>
          <w:color w:val="auto"/>
        </w:rPr>
      </w:pPr>
    </w:p>
    <w:p>
      <w:pPr>
        <w:ind w:firstLine="451"/>
        <w:spacing w:after="0" w:line="228"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previous years. Although we had no non-accrual assets during the quarter ended June 30, 2021, the continuing impact of the COVID-19 pandemic, or any worsening thereof, may result in portfolio investments being placed on non-accrual status in the future.</w:t>
      </w:r>
    </w:p>
    <w:p>
      <w:pPr>
        <w:spacing w:after="0" w:line="198"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Additionally, as of June 30, 2021 and September 30, 2020, our asset coverage ratio, as computed in accordance with the 1940 Act, was 242% and 208%, respectively. The Truist Credit 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97"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We are also subject to financial risks, including changes in market interest rates. As of June 30, 2021, our debt portfolio consisted of 91%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floating interest rate index). In connection with the COVID-19 pandemic, the U.S. Federal Reserve and other central banks have reduced interest rates, which has caused LIBOR to decrease. Due to such rates,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140" w:firstLine="438"/>
        <w:spacing w:after="0" w:line="233"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have returned to the office.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7" w:lineRule="exact"/>
        <w:rPr>
          <w:sz w:val="20"/>
          <w:szCs w:val="20"/>
          <w:color w:val="auto"/>
        </w:rPr>
      </w:pPr>
    </w:p>
    <w:p>
      <w:pPr>
        <w:ind w:firstLine="438"/>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8" w:lineRule="exact"/>
        <w:rPr>
          <w:sz w:val="20"/>
          <w:szCs w:val="20"/>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2"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21" w:lineRule="exact"/>
        <w:rPr>
          <w:sz w:val="20"/>
          <w:szCs w:val="20"/>
          <w:color w:val="auto"/>
        </w:rPr>
      </w:pPr>
    </w:p>
    <w:p>
      <w:pPr>
        <w:ind w:right="300" w:firstLine="438"/>
        <w:spacing w:after="0" w:line="229" w:lineRule="auto"/>
        <w:rPr>
          <w:sz w:val="20"/>
          <w:szCs w:val="20"/>
          <w:color w:val="auto"/>
        </w:rPr>
      </w:pPr>
      <w:r>
        <w:rPr>
          <w:rFonts w:ascii="Arial" w:cs="Arial" w:eastAsia="Arial" w:hAnsi="Arial"/>
          <w:sz w:val="14"/>
          <w:szCs w:val="14"/>
          <w:color w:val="auto"/>
        </w:rPr>
        <w:t>As of June 30, 2021, our portfolio totaled $1,148.2 million, which consisted of $472.6 million of first lien secured debt, $159.3 million of second lien secured debt, $119.7 million of subordinated debt (including $64.2 million in PSLF) and $396.6 million of preferred and common equity (including $40.9 million in PSLF). Our debt portfolio consisted of 91% variable-rate investments. As of June 30, 2021, we did not have any portfolio companies on non-accrual. Overall, the portfolio had net unrealized appreciation of $26.6 million as of June 30, 2021. Our overall portfolio consisted of 86 companies with an average investment size of $13.4 million, had a weighted average yield on interest bearing debt investments of 9.2% and was invested 41% in first lien secured debt, 14% in second lien secured debt, 10% in subordinated debt (including 6% in PSLF) and 35% in preferred and common equity (including 4% in PSLF). As of June 30, 2021, all of the investments held by PSLF were first lien secured debt.</w:t>
      </w:r>
    </w:p>
    <w:p>
      <w:pPr>
        <w:spacing w:after="0" w:line="11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As of September 30, 2020, our portfolio totaled $1,081.8 million, which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194"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For the three months ended June 30, 2021, we invested $133.4 million in seven new and nine existing portfolio companies with a weighted average yield on debt investments of 7.9%. Sales and repayments of investments for the three months ended June 30, 2021 totaled $191.0 million. For the nine months ended June 30, 2021, we invested $276.4 million in 14 new and 32 existing portfolio companies with a weighted average yield on debt investments of 8.4%. Sales and repayments of investments for the nine months ended June 30, 2021 totaled $358.6 million.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3" w:name="page34"/>
    <w:bookmarkEnd w:id="33"/>
    <w:p>
      <w:pPr>
        <w:ind w:right="220" w:firstLine="438"/>
        <w:spacing w:after="0" w:line="264" w:lineRule="auto"/>
        <w:rPr>
          <w:sz w:val="20"/>
          <w:szCs w:val="20"/>
          <w:color w:val="auto"/>
        </w:rPr>
      </w:pPr>
      <w:r>
        <w:rPr>
          <w:rFonts w:ascii="Arial" w:cs="Arial" w:eastAsia="Arial" w:hAnsi="Arial"/>
          <w:sz w:val="13"/>
          <w:szCs w:val="13"/>
          <w:color w:val="auto"/>
        </w:rPr>
        <w:t>For the three months ended June 30, 2020, we invested $11.7 million in one new and 12 existing portfolio companies with a weighted average yield on debt investments of 6.8%. Sales and repayments of investments for the three months ended June 30, 2020 totaled $66.5 million. For the nine months ended June 30, 2020, we invested $292.2 million in 22 new and 51 existing portfolio companies with a weighted average yield on debt investments of 8.5%. Sales and repayments of investments for the nine months ended June 30, 2020 totaled $114.1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21"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As of June 30, 2021, PSLF’s portfolio totaled $386.2 million, consisted of 43 companies with an average investment size of $9.0 million and had a weighted average yield on debt investments of 7.2%.</w:t>
      </w:r>
    </w:p>
    <w:p>
      <w:pPr>
        <w:spacing w:after="0" w:line="187"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2020, PSLF’s portfolio totaled $353.4 million, consisted of 37 companies with an average investment size of $9.6 million and had a weighted average yield on debt investments of 7.3%.</w:t>
      </w:r>
    </w:p>
    <w:p>
      <w:pPr>
        <w:spacing w:after="0" w:line="187"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For the three months ended June 30, 2021, PSLF invested $54.1 million (of which $54.1 million was purchased from the Company) in six new and two existing portfolio companies with a weighted average yield on debt investments of 7.1%. PSLF’s sales and repayments of investments for the same period totaled $50.9 million. For the nine months ended June 30, 2021, PSLF invested $117.8 million (of which $91.9 million was purchased from the Company) in 12 new and eight existing portfolio companies with a weighted average yield on debt investments of 7.3%. PSLF’s sales and repayments of investments for the same period totaled $91.6 million.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21"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2"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5" w:lineRule="exact"/>
        <w:rPr>
          <w:sz w:val="20"/>
          <w:szCs w:val="20"/>
          <w:color w:val="auto"/>
        </w:rPr>
      </w:pPr>
    </w:p>
    <w:p>
      <w:pPr>
        <w:ind w:left="920" w:hanging="372"/>
        <w:spacing w:after="0" w:line="25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jc w:val="both"/>
        <w:ind w:left="920" w:right="60" w:hanging="372"/>
        <w:spacing w:after="0" w:line="264" w:lineRule="auto"/>
        <w:tabs>
          <w:tab w:leader="none" w:pos="9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72"/>
        <w:spacing w:after="0" w:line="238"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60" w:hanging="372"/>
        <w:spacing w:after="0" w:line="25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38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34" w:name="page35"/>
    <w:bookmarkEnd w:id="34"/>
    <w:p>
      <w:pPr>
        <w:jc w:val="both"/>
        <w:ind w:right="2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2026 Notes, our Credit Facilities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our 2026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9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for both the three and nine months ended June 30,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elected not to apply ASC 825-10 to any other financial assets or liabilities, including the 2024 Notes, 2026 Notes and the SBA debentures.</w:t>
      </w:r>
    </w:p>
    <w:p>
      <w:pPr>
        <w:spacing w:after="0" w:line="197"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For the three and nine months ended June 30, 2021, the Truist Credit Facility had a net change in unrealized appreciation of $1.6 million and $18.5 million, respectively. For the three and nine months ended June 30, 2020, our Credit Facilities had a net change in unrealized depreciation of $(25.1) million and $21.3 million, respectively. As of June 30, 2021 and September 30, 2020, the net unrealized depreciation on the Truist Credit Facility totaled $1.1 million and $19.6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17" w:lineRule="exact"/>
        <w:rPr>
          <w:sz w:val="20"/>
          <w:szCs w:val="20"/>
          <w:color w:val="auto"/>
        </w:rPr>
      </w:pPr>
    </w:p>
    <w:p>
      <w:pPr>
        <w:ind w:right="100" w:firstLine="496"/>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Facilities during the reporting period, including any reversal of previously recorded unrealized appreciation or depreciation, when gains or losses are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84" w:lineRule="exact"/>
        <w:rPr>
          <w:rFonts w:ascii="Arial" w:cs="Arial" w:eastAsia="Arial" w:hAnsi="Arial"/>
          <w:sz w:val="14"/>
          <w:szCs w:val="14"/>
          <w:color w:val="auto"/>
        </w:rPr>
      </w:pPr>
    </w:p>
    <w:p>
      <w:pPr>
        <w:ind w:left="920" w:hanging="372"/>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85"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8"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2" w:lineRule="exact"/>
        <w:rPr>
          <w:sz w:val="20"/>
          <w:szCs w:val="20"/>
          <w:color w:val="auto"/>
        </w:rPr>
      </w:pPr>
    </w:p>
    <w:p>
      <w:pPr>
        <w:ind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64" w:lineRule="exact"/>
        <w:rPr>
          <w:sz w:val="20"/>
          <w:szCs w:val="20"/>
          <w:color w:val="auto"/>
        </w:rPr>
      </w:pPr>
    </w:p>
    <w:p>
      <w:pPr>
        <w:ind w:right="14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2021 and 2020.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17" w:lineRule="exact"/>
        <w:rPr>
          <w:sz w:val="20"/>
          <w:szCs w:val="20"/>
          <w:color w:val="auto"/>
        </w:rPr>
      </w:pPr>
    </w:p>
    <w:p>
      <w:pPr>
        <w:ind w:right="140" w:firstLine="438"/>
        <w:spacing w:after="0" w:line="251" w:lineRule="auto"/>
        <w:rPr>
          <w:sz w:val="20"/>
          <w:szCs w:val="20"/>
          <w:color w:val="auto"/>
        </w:rPr>
      </w:pPr>
      <w:r>
        <w:rPr>
          <w:rFonts w:ascii="Arial" w:cs="Arial" w:eastAsia="Arial" w:hAnsi="Arial"/>
          <w:sz w:val="13"/>
          <w:szCs w:val="13"/>
          <w:color w:val="auto"/>
        </w:rPr>
        <w:t>Investment income for the three and nine months ended June 30, 2021 was $20.5 million and $58.5 million, respectively, which was attributable to $11.8 million and $33.9 million from first lien secured debt, $5.2 million and $15.8 million from second lien secured debt, $1.8 million and $5.2 million from subordinated debt and $1.7 million and $3.6 million from preferred and common equity, respectively. This compares to investment income for the three and nine months ended June 30, 2020 of $25.4 million and $78.9 million, respectively, and was attributable to $17.6 million and $51.1 million from first lien secured debt, $5.1 million and $20.5 million from second lien secured debt and $2.5 million and $7.1 million from subordinated debt, respectively. The decrease in investment income compared to the same periods in the prior year was primarily due to decreases in the size of our debt portfolio and LIBOR.</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160" w:firstLine="438"/>
        <w:spacing w:after="0" w:line="247" w:lineRule="auto"/>
        <w:rPr>
          <w:sz w:val="20"/>
          <w:szCs w:val="20"/>
          <w:color w:val="auto"/>
        </w:rPr>
      </w:pPr>
      <w:r>
        <w:rPr>
          <w:rFonts w:ascii="Arial" w:cs="Arial" w:eastAsia="Arial" w:hAnsi="Arial"/>
          <w:sz w:val="13"/>
          <w:szCs w:val="13"/>
          <w:color w:val="auto"/>
        </w:rPr>
        <w:t>Expenses for the three and nine months ended June 30, 2021 totaled $12.3 million and $33.2 million, respectively. Base management fee for the same periods totaled $4.4 million and $12.8 million, debt related interest and expenses totaled $6.9 million (including a one-time $1.1 million payment, which is related to the early repayment of SBA Debt) and $16.8 million, general and administrative expenses totaled $0.9 million and $3.2 million and provision for taxes totaled $0.2 million and $0.5 million, respectively. This compares to net expenses for the three and nine months ended June 30, 2020, which totaled $14.4 million and $47.5 million, respectively. Base management fee for the same periods totaled $4.6 million and $14.3 million, incentive fee totaled zero (after a waiver of $1.9 million) and $2.7 million (after a waiver of $1.9 million), debt related interest and expenses totaled $8.3 million and $26.1 million, general and administrative expenses totaled $1.2 million and $3.5 million and provision for taxes totaled $0.3 million and $0.9 million, respectively. The decrease in expenses for the three and nine months ended June 30, 2021 compared to the same period in the prior year was primarily due to lower leverage costs and lower Management Fees.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Net investment income totaled $8.1 million and $25.2 million, or $0.12 and $0.38 per share, for the three and nine months ended June 30, 2021, respectively. Net investment income totaled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$11.0 million and $31.5 million, or $0.16 and $0.47 per share, for the three and nine months ended June 30, 2020, respectively. The decrease in net investment income compared to the same periods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prior year was primarily due to lower investment income.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17" w:lineRule="exact"/>
        <w:rPr>
          <w:sz w:val="20"/>
          <w:szCs w:val="20"/>
          <w:color w:val="auto"/>
        </w:rPr>
      </w:pPr>
    </w:p>
    <w:p>
      <w:pPr>
        <w:jc w:val="both"/>
        <w:ind w:right="20" w:firstLine="438"/>
        <w:spacing w:after="0" w:line="296" w:lineRule="auto"/>
        <w:rPr>
          <w:sz w:val="20"/>
          <w:szCs w:val="20"/>
          <w:color w:val="auto"/>
        </w:rPr>
      </w:pPr>
      <w:r>
        <w:rPr>
          <w:rFonts w:ascii="Arial" w:cs="Arial" w:eastAsia="Arial" w:hAnsi="Arial"/>
          <w:sz w:val="12"/>
          <w:szCs w:val="12"/>
          <w:color w:val="auto"/>
        </w:rPr>
        <w:t>Sales and repayments of investments for the three and nine months ended June 30, 2021 totaled $191.0 million and $358.6 million, respectively, and net realized gains totaled $41.7 million and $24.4 million, respectively. Sales and repayments of investments for the three and nine months ended June 30, 2020 totaled $66.5 million and $114.1 million, respectively, and net realized losses totaled $0.1 million and $10.7 million, respectively. The change in realized gains/losses was primarily due to changes in the market conditions of our investments and the values at which they were realized.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the Credit Facilities</w:t>
      </w:r>
    </w:p>
    <w:p>
      <w:pPr>
        <w:spacing w:after="0" w:line="217" w:lineRule="exact"/>
        <w:rPr>
          <w:sz w:val="20"/>
          <w:szCs w:val="20"/>
          <w:color w:val="auto"/>
        </w:rPr>
      </w:pPr>
    </w:p>
    <w:p>
      <w:pPr>
        <w:jc w:val="both"/>
        <w:ind w:right="40" w:firstLine="438"/>
        <w:spacing w:after="0" w:line="283" w:lineRule="auto"/>
        <w:rPr>
          <w:sz w:val="20"/>
          <w:szCs w:val="20"/>
          <w:color w:val="auto"/>
        </w:rPr>
      </w:pPr>
      <w:r>
        <w:rPr>
          <w:rFonts w:ascii="Arial" w:cs="Arial" w:eastAsia="Arial" w:hAnsi="Arial"/>
          <w:sz w:val="12"/>
          <w:szCs w:val="12"/>
          <w:color w:val="auto"/>
        </w:rPr>
        <w:t>For the three and nine months ended June 30, 2021, we reported net change in unrealized (depreciation) appreciation on investments of $(16.3) million and $110.4 million, respectively. For the three and nine months ended June 30, 2020, we reported net change in unrealized appreciation (depreciation) on investments of $29.8 million and ($67.5) million, respectively. As of June 30, 2021 and September 30, 2020, our net unrealized appreciation (depreciation) on investments totaled $26.6 million and ($83.8) million, respectively. The net change in unrealized appreciation/depreciation on our investments compared to the same period in the prior year was primarily due to unrealized gains in our equity co-investment program, including ITC Rumba, LLC (Cano Health, LLC).</w:t>
      </w:r>
    </w:p>
    <w:p>
      <w:pPr>
        <w:spacing w:after="0" w:line="17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For the three and nine months ended June 30, 2021, the Truist Credit Facility had a net change in unrealized appreciation of $1.6 million and $18.5 million, respectively. For the three and nine months ended June 30, 2020, our Credit Facilities had a net change in unrealized (appreciation) depreciation of ($25.1) million and $21.3 million, respectively. As of June 30, 2021 and September 30, 2020, the net unrealized depreciation on the Credit Facilities totaled $1.1 million and $19.6 million, respectively. The net change in unrealized depreciation compared to the same periods in the prior year was primarily due to changes in the capital markets.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Net change in net assets resulting from operations totaled $31.9 million and $141.5 million, or $0.48 and $2.11 per share, for the three and nine months ended June 30, 2021, respectively. Net change in net assets resulting from operations totaled $15.6 million and $(25.5) million, or $0.23 and $(0.38) per share, for the three and nine months ended June 30, 2020, respectively. The increase in the net change in net assets from operations for the three and nine months ended June 30, 2021 compared to the same periods in the prior year was primarily due to unrealized gains in our equity co-investment program, including ITC Rumba, LLC (Cano Health, LLC).</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1" w:lineRule="exact"/>
        <w:rPr>
          <w:sz w:val="20"/>
          <w:szCs w:val="20"/>
          <w:color w:val="auto"/>
        </w:rPr>
      </w:pPr>
    </w:p>
    <w:p>
      <w:pPr>
        <w:ind w:right="240"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2021,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99"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2021 and September 30, 2020, our asset coverage ratio, as computed in accordance with the 1940 Act, was 244% and 208%, respectively.</w:t>
      </w:r>
    </w:p>
    <w:p>
      <w:pPr>
        <w:spacing w:after="0" w:line="18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annualized weighted average cost of debt for the nine months ended June 30, 2021 and 2020, inclusive of the fee on the undrawn commitment under the Credit Facilities and amortized upfront fees on SBA debentures, was 3.5% and 4.2%, respectively.</w:t>
      </w:r>
    </w:p>
    <w:p>
      <w:pPr>
        <w:spacing w:after="0" w:line="18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On February 22, 2019, Funding I closed the BNP Credit Facility for up to $250.0 million (increased to $275.0 million as of November 6, 2020)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The BNP Credit Facility is secured by all of the assets of Funding I. Prior to deconsolidation on July 31, 2020, we owned 100% of the equity interest in Funding I and treat the indebtedness of Funding I as our leverage. Our Investment Adviser serves as the servicer to Funding I in connection with the BNP Credit Facility.</w:t>
      </w:r>
    </w:p>
    <w:p>
      <w:pPr>
        <w:spacing w:after="0" w:line="197"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As of June 30, 2021, we had the multi-currency Truist Credit Facility for up to $435.0 million (decreased from $475.0 million on May 25, 2021 pursuant to its terms) in borrowings with certain lenders and Truist Bank, acting as administrative agent, and JPMorgan Chase Bank, N.A., acting as syndication agent for the lenders. As of June 30, 2021 and September 30, 2020, we had $214.5 million and $388.3 million, respectively, in outstanding borrowings under the Truist Credit Facility. The Truist Credit Facility had a weighted average interest rate of 2.5% and 2.5%, respectively, exclusive of the fee on undrawn commitments, as of June 30, 2021 and September 30, 2020. The Truist Credit Facility is a revolving facility with a stated maturity date of September 4, 2024, a one-year term-out period on September 4, 2023 and pricing set at 225 basis points over LIBOR (or an alternative risk-free floating interest rate index). As of June 30, 2021 and September 30, 2020, we had $220.5 million and $86.7 million of unused borrowing capacity under the Truist Credit Facility, respectively, subject to leverage and borrowing base restrictions. The Truist Credit Facility is secured by substantially all of our assets excluding assets held by SBIC II. As of June 30, 2021, we were in compliance with the terms of the Truist Credit Facility.</w:t>
      </w:r>
    </w:p>
    <w:p>
      <w:pPr>
        <w:spacing w:after="0" w:line="111"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As of June 30, 2021, we had $86.3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03"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 xml:space="preserve">As of June 30, 2021,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18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the Truist Credit Facility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97" w:lineRule="exact"/>
        <w:rPr>
          <w:sz w:val="20"/>
          <w:szCs w:val="20"/>
          <w:color w:val="auto"/>
        </w:rPr>
      </w:pPr>
    </w:p>
    <w:p>
      <w:pPr>
        <w:ind w:right="160" w:firstLine="438"/>
        <w:spacing w:after="0" w:line="251"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$63.5 million and $118.5 million as of June 30, 2021 and September 30, 2020,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9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As of both June 30, 2021 and September 30, 2020, SBIC II had an initial $150.0 million in debt commitments, all of which were drawn. During the three and nine months ended June 30, 2021, $45.0 million and $55 million in SBA debentures were repaid, respectively. During the three and nine months ended June 30, 2020, zero and $16.5 million in SBA debentures were repaid, respectively. As of June 30, 2021 and September 30, 2020, the unamortized fees on the SBA debentures were $1.4 million and $2.7 million, respectively. The SBA debentures’ upfront fees of 3.4% consist of a commitment fee of 1.0% and an issuance discount of 2.4%, which are being amortized.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7" w:name="page38"/>
    <w:bookmarkEnd w:id="37"/>
    <w:p>
      <w:pPr>
        <w:ind w:left="440"/>
        <w:spacing w:after="0"/>
        <w:rPr>
          <w:sz w:val="20"/>
          <w:szCs w:val="20"/>
          <w:color w:val="auto"/>
        </w:rPr>
      </w:pPr>
      <w:r>
        <w:rPr>
          <w:rFonts w:ascii="Arial" w:cs="Arial" w:eastAsia="Arial" w:hAnsi="Arial"/>
          <w:sz w:val="14"/>
          <w:szCs w:val="14"/>
          <w:color w:val="auto"/>
        </w:rPr>
        <w:t>Our fixed-rate SBA debentures as of June 30, 2021 and September 30, 2020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38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As of June 30, 2021</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156"/>
        </w:trPr>
        <w:tc>
          <w:tcPr>
            <w:tcW w:w="3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20, 2017</w:t>
            </w:r>
          </w:p>
        </w:tc>
        <w:tc>
          <w:tcPr>
            <w:tcW w:w="240" w:type="dxa"/>
            <w:vAlign w:val="bottom"/>
            <w:tcBorders>
              <w:top w:val="single" w:sz="8" w:color="CCECFF"/>
            </w:tcBorders>
            <w:shd w:val="clear" w:color="auto" w:fill="CCECFF"/>
          </w:tcPr>
          <w:p>
            <w:pPr>
              <w:spacing w:after="0"/>
              <w:rPr>
                <w:sz w:val="13"/>
                <w:szCs w:val="13"/>
                <w:color w:val="auto"/>
              </w:rPr>
            </w:pPr>
          </w:p>
        </w:tc>
        <w:tc>
          <w:tcPr>
            <w:tcW w:w="2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1, 2027</w:t>
            </w:r>
          </w:p>
        </w:tc>
        <w:tc>
          <w:tcPr>
            <w:tcW w:w="220" w:type="dxa"/>
            <w:vAlign w:val="bottom"/>
            <w:tcBorders>
              <w:top w:val="single" w:sz="8" w:color="CCECFF"/>
            </w:tcBorders>
            <w:shd w:val="clear" w:color="auto" w:fill="CCECFF"/>
          </w:tcPr>
          <w:p>
            <w:pPr>
              <w:spacing w:after="0"/>
              <w:rPr>
                <w:sz w:val="13"/>
                <w:szCs w:val="13"/>
                <w:color w:val="auto"/>
              </w:rPr>
            </w:pPr>
          </w:p>
        </w:tc>
        <w:tc>
          <w:tcPr>
            <w:tcW w:w="2060" w:type="dxa"/>
            <w:vAlign w:val="bottom"/>
            <w:tcBorders>
              <w:top w:val="single" w:sz="8" w:color="auto"/>
            </w:tcBorders>
            <w:shd w:val="clear" w:color="auto" w:fill="CCECFF"/>
          </w:tcPr>
          <w:p>
            <w:pPr>
              <w:ind w:left="1860"/>
              <w:spacing w:after="0" w:line="155" w:lineRule="exact"/>
              <w:rPr>
                <w:sz w:val="20"/>
                <w:szCs w:val="20"/>
                <w:color w:val="auto"/>
              </w:rPr>
            </w:pPr>
            <w:r>
              <w:rPr>
                <w:rFonts w:ascii="Arial" w:cs="Arial" w:eastAsia="Arial" w:hAnsi="Arial"/>
                <w:sz w:val="14"/>
                <w:szCs w:val="14"/>
                <w:color w:val="auto"/>
                <w:w w:val="92"/>
              </w:rPr>
              <w:t>2.9</w:t>
            </w:r>
          </w:p>
        </w:tc>
        <w:tc>
          <w:tcPr>
            <w:tcW w:w="4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2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27,500,000</w:t>
            </w:r>
          </w:p>
        </w:tc>
        <w:tc>
          <w:tcPr>
            <w:tcW w:w="6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As of September 30,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118,500,000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03"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2021, SBIC II was in compliance with its regulatory requirements.</w:t>
      </w:r>
    </w:p>
    <w:p>
      <w:pPr>
        <w:spacing w:after="0" w:line="197"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June 30, 2021 and September 30, 2020,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73"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As of June 30, 2021 and September 30, 2020, we had cash and cash equivalents of $14.2 million and $25.8 million, respectively, available for investing and general corporate purposes. We believe our liquidity and capital resources are sufficient to take advantage of market opportunities.</w:t>
      </w:r>
    </w:p>
    <w:p>
      <w:pPr>
        <w:spacing w:after="0" w:line="187"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operating activities provided cash of $95.7 million for the nine months ended June 30, 2021, and our financing activities used cash of $107.4 million for the same period. Our operating activities provided cash primarily from our investment activities and our financing activities used cash primarily to pay down the Truist Credit Facility and our SBA Debentures.</w:t>
      </w:r>
    </w:p>
    <w:p>
      <w:pPr>
        <w:spacing w:after="0" w:line="165"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Our operating activities used cash of $156.1 million for the nine months ended June 30, 2020 and our financing activities provided cash of $148.2 million for the same period. Our operating activities used cash primarily for our investment activities and our financing activities provided cash primarily from net borrowings under the Credit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21"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PSLF invests in portfolio companies in the same industries in which we may directly invest. We provide capital to PSLF in the form of subordinated notes and equity interests. As of June 30, 2021 and September 30, 2020, we and Pantheon owned 60.5% and 39.5%, respectively, and 72.0% and 28.0%, respectively, of each of the outstanding subordinated notes and equity interests in PSLF. As of the same dates, our investment in PSLF consisted of subordinated notes of $64.2 million and $63.0 million, respectively, and equity interests of $40.9 million and $36.3 million, respectively.</w:t>
      </w:r>
    </w:p>
    <w:p>
      <w:pPr>
        <w:spacing w:after="0" w:line="197" w:lineRule="exact"/>
        <w:rPr>
          <w:sz w:val="20"/>
          <w:szCs w:val="20"/>
          <w:color w:val="auto"/>
        </w:rPr>
      </w:pPr>
    </w:p>
    <w:p>
      <w:pPr>
        <w:jc w:val="both"/>
        <w:ind w:right="60" w:firstLine="438"/>
        <w:spacing w:after="0" w:line="264" w:lineRule="auto"/>
        <w:rPr>
          <w:sz w:val="20"/>
          <w:szCs w:val="20"/>
          <w:color w:val="auto"/>
        </w:rPr>
      </w:pPr>
      <w:r>
        <w:rPr>
          <w:rFonts w:ascii="Arial" w:cs="Arial" w:eastAsia="Arial" w:hAnsi="Arial"/>
          <w:sz w:val="13"/>
          <w:szCs w:val="13"/>
          <w:color w:val="auto"/>
        </w:rPr>
        <w:t>As of June 30, 2021 and September 30, 2020, PSLF had total assets of $397.2 million and $361.8 million, respectively. As of June 30, 2021, PSLF had $58.0 million of unused borrowing capacity under the PSLF Credit Facility (as defined below), subject to leverage and borrowing base restrictions, and cash and cash equivalents of $10.0 million. As of September 30, 2020, PSLF had $36.5 million of unused borrowing capacity under the PSLF Credit Facility, subject to leverage and borrowing base restrictions, and cash and cash equivalents of $7.5 million.</w:t>
      </w:r>
    </w:p>
    <w:p>
      <w:pPr>
        <w:spacing w:after="0" w:line="182"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or (iii) the presence of four members of the Member Designees’ Committee, provided that two individuals are present that were elected, designated or appointed by each of us and Pantheon.</w:t>
      </w:r>
    </w:p>
    <w:p>
      <w:pPr>
        <w:spacing w:after="0" w:line="199"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Additionally, PSLF has entered into a $275.0 million (increased from $250.0 million on November 6, 2020)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8" w:name="page39"/>
    <w:bookmarkEnd w:id="38"/>
    <w:p>
      <w:pPr>
        <w:ind w:left="440"/>
        <w:spacing w:after="0"/>
        <w:rPr>
          <w:sz w:val="20"/>
          <w:szCs w:val="20"/>
          <w:color w:val="auto"/>
        </w:rPr>
      </w:pPr>
      <w:r>
        <w:rPr>
          <w:rFonts w:ascii="Arial" w:cs="Arial" w:eastAsia="Arial" w:hAnsi="Arial"/>
          <w:sz w:val="14"/>
          <w:szCs w:val="14"/>
          <w:color w:val="auto"/>
        </w:rPr>
        <w:t>Below is a summary of PSLF’s portfolio at fair value: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6"/>
              </w:rPr>
              <w:t>June 30, 2021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1"/>
              </w:rPr>
              <w:t>September 30, 2020</w:t>
            </w:r>
          </w:p>
        </w:tc>
      </w:tr>
      <w:tr>
        <w:trPr>
          <w:trHeight w:val="156"/>
        </w:trPr>
        <w:tc>
          <w:tcPr>
            <w:tcW w:w="3180" w:type="dxa"/>
            <w:vAlign w:val="bottom"/>
            <w:tcBorders>
              <w:top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6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6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CFF"/>
          </w:tcPr>
          <w:p>
            <w:pPr>
              <w:spacing w:after="0"/>
              <w:rPr>
                <w:sz w:val="13"/>
                <w:szCs w:val="13"/>
                <w:color w:val="auto"/>
              </w:rPr>
            </w:pPr>
          </w:p>
        </w:tc>
        <w:tc>
          <w:tcPr>
            <w:tcW w:w="6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w w:val="92"/>
              </w:rPr>
              <w:t>386,162,497</w:t>
            </w:r>
          </w:p>
        </w:tc>
        <w:tc>
          <w:tcPr>
            <w:tcW w:w="2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353,366,358</w:t>
            </w: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Weighted average yield on debt investments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7.2%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7.3%</w:t>
            </w:r>
          </w:p>
        </w:tc>
      </w:tr>
      <w:tr>
        <w:trPr>
          <w:trHeight w:val="162"/>
        </w:trPr>
        <w:tc>
          <w:tcPr>
            <w:tcW w:w="3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Number of portfolio companies in PSLF</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43</w:t>
            </w:r>
          </w:p>
        </w:tc>
        <w:tc>
          <w:tcPr>
            <w:tcW w:w="2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Largest portfolio company investment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16,861,382</w:t>
            </w:r>
          </w:p>
        </w:tc>
        <w:tc>
          <w:tcPr>
            <w:tcW w:w="280" w:type="dxa"/>
            <w:vAlign w:val="bottom"/>
          </w:tcPr>
          <w:p>
            <w:pPr>
              <w:spacing w:after="0"/>
              <w:rPr>
                <w:sz w:val="14"/>
                <w:szCs w:val="14"/>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18,411,916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74,552,236</w:t>
            </w:r>
          </w:p>
        </w:tc>
        <w:tc>
          <w:tcPr>
            <w:tcW w:w="2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920" w:type="dxa"/>
            <w:vAlign w:val="bottom"/>
            <w:gridSpan w:val="4"/>
            <w:shd w:val="clear" w:color="auto" w:fill="CCECFF"/>
          </w:tcPr>
          <w:p>
            <w:pPr>
              <w:jc w:val="right"/>
              <w:spacing w:after="0"/>
              <w:rPr>
                <w:sz w:val="20"/>
                <w:szCs w:val="20"/>
                <w:color w:val="auto"/>
              </w:rPr>
            </w:pPr>
            <w:r>
              <w:rPr>
                <w:rFonts w:ascii="Arial" w:cs="Arial" w:eastAsia="Arial" w:hAnsi="Arial"/>
                <w:sz w:val="14"/>
                <w:szCs w:val="14"/>
                <w:color w:val="auto"/>
              </w:rPr>
              <w:t>77,896,431</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393"/>
        </w:trPr>
        <w:tc>
          <w:tcPr>
            <w:tcW w:w="6700" w:type="dxa"/>
            <w:vAlign w:val="bottom"/>
            <w:gridSpan w:val="6"/>
          </w:tcPr>
          <w:p>
            <w:pPr>
              <w:ind w:left="440"/>
              <w:spacing w:after="0"/>
              <w:rPr>
                <w:sz w:val="20"/>
                <w:szCs w:val="20"/>
                <w:color w:val="auto"/>
              </w:rPr>
            </w:pPr>
            <w:r>
              <w:rPr>
                <w:rFonts w:ascii="Arial" w:cs="Arial" w:eastAsia="Arial" w:hAnsi="Arial"/>
                <w:sz w:val="14"/>
                <w:szCs w:val="14"/>
                <w:color w:val="auto"/>
              </w:rPr>
              <w:t>Below is a listing of PSLF’s individual investments as of June 30, 2021: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6"/>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b w:val="1"/>
                <w:bCs w:val="1"/>
                <w:color w:val="auto"/>
                <w:w w:val="86"/>
              </w:rPr>
              <w:t>Basis Point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Current</w:t>
            </w:r>
          </w:p>
        </w:tc>
        <w:tc>
          <w:tcPr>
            <w:tcW w:w="1680" w:type="dxa"/>
            <w:vAlign w:val="bottom"/>
            <w:gridSpan w:val="5"/>
          </w:tcPr>
          <w:p>
            <w:pPr>
              <w:jc w:val="center"/>
              <w:ind w:right="9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86"/>
              </w:rPr>
              <w:t>Coupon</w:t>
            </w:r>
          </w:p>
        </w:tc>
        <w:tc>
          <w:tcPr>
            <w:tcW w:w="640" w:type="dxa"/>
            <w:vAlign w:val="bottom"/>
          </w:tcPr>
          <w:p>
            <w:pPr>
              <w:jc w:val="center"/>
              <w:ind w:left="66"/>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 - 570.7%</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40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auto"/>
            </w:tcBorders>
            <w:shd w:val="clear" w:color="auto" w:fill="CCECFF"/>
          </w:tcPr>
          <w:p>
            <w:pPr>
              <w:spacing w:after="0"/>
              <w:rPr>
                <w:sz w:val="11"/>
                <w:szCs w:val="11"/>
                <w:color w:val="auto"/>
              </w:rPr>
            </w:pPr>
          </w:p>
        </w:tc>
        <w:tc>
          <w:tcPr>
            <w:tcW w:w="4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07/24/25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8.00%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L+700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933,731</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923,507</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882,376</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12/21/23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14,662,710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14,502,747</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14,516,083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6.25%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L+525</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6,569,222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6,515,362</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6,569,222</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L+550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3,247,015</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3,211,313</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3,247,015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 xml:space="preserve">Apex Service Partners, LLC - Unfunded Term Loan B </w:t>
            </w:r>
            <w:r>
              <w:rPr>
                <w:rFonts w:ascii="Arial" w:cs="Arial" w:eastAsia="Arial" w:hAnsi="Arial"/>
                <w:sz w:val="9"/>
                <w:szCs w:val="9"/>
                <w:color w:val="auto"/>
              </w:rPr>
              <w:t>(3)</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07/31/21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640" w:type="dxa"/>
            <w:vAlign w:val="bottom"/>
          </w:tcPr>
          <w:p>
            <w:pPr>
              <w:ind w:left="380"/>
              <w:spacing w:after="0"/>
              <w:rPr>
                <w:sz w:val="20"/>
                <w:szCs w:val="20"/>
                <w:color w:val="auto"/>
              </w:rPr>
            </w:pPr>
            <w:r>
              <w:rPr>
                <w:rFonts w:ascii="Arial" w:cs="Arial" w:eastAsia="Arial" w:hAnsi="Arial"/>
                <w:sz w:val="11"/>
                <w:szCs w:val="11"/>
                <w:color w:val="auto"/>
              </w:rPr>
              <w:t>—</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146,162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12/29/26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6.75%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L+575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7,462,500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7,351,135</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7,350,563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02/13/23</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6.25%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L+550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13,729,432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13,663,550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13,729,432</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01/24/25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6.25%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L+525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7,063,250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6,958,322</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7,063,250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11/03/25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7.25%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L+625</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13,462,221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13,362,441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13,394,910</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03/31/28</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8.25%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L+750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4,615,385</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4,570,026</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4,707,692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ECM Industries,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12/23/25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5.50%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L+450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2,826,993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2,803,877</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2,812,858</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03/16/26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Banking, Finance, Insurance &amp; Real Estate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L+600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7,391,271</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7,462,500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Hancock Roofing and Construction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12/31/26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6.00%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L+500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5,970,000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5,829,304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5,910,301</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12/19/25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7.50%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L+600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12,101,429</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11,957,665</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12,040,921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HW Holdco,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12/10/24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5.50%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L+450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14,625,000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14,531,049</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14,405,625</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04/09/27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L+600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9,082,192</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8,903,082</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8,900,548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08/27/25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7,888,018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7,819,958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7,769,698</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12/22/21</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9,710,145</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9,710,145</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9,710,145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12/20/23</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8.00%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L+700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14,625,000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14,504,865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14,238,900</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10/31/24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Leisure, Amusement, Motion Pictures, Entertainment</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8.50%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L+750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2,092,816</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2,079,240</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1,949,249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02/03/26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L+550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12,503,247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12,295,885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12,315,698</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04/13/23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9.25%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L+825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16,861,382</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16,759,474</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16,861,382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04/01/27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L+550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5,955,000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5,685,488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5,798,681</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04/16/27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6.75%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L+575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7,351,195</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7,350,000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MeritDirect,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05/23/24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13,562,089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13,436,291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13,324,752</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05/08/26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5.65%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3,815,940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3,786,827</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3,782,551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03/31/25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6.75%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L+575</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13,348,388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13,207,806</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13,081,420</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Recteq,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01/29/26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L+600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9,791,811</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9,875,250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Research Now Group, LLC and Dynata,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14,732,824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14,633,280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14,530,248</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5.50%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L+450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1,960,000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1,945,941</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1,960,000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01/03/25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7.75%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L+600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7,827,744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7,711,354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7,495,064</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L+550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5,273,141</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5,217,671</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5,246,776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05/03/24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8.50%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L+750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13,687,500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13,574,447</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13,413,750</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01/17/24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Communications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6.75%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L+575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11,915,073</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11,778,913</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11,915,073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12/11/26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5.35%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L+525</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12,130,479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12,030,595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12,009,174</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03/01/26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L+600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4,992,220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4,912,691</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4,992,220</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11/20/25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5.50%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L+450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4,683,888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4,646,139</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4,631,195</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07/18/25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6.25%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L+525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7,423,333</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7,177,363</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7,336,703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11/24/25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5"/>
              </w:rPr>
              <w:t>Food</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6.25%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L+525</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5,607,380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5,551,306</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5,439,158</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03/26/26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6.75%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L+575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12,805,287</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12,661,724</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12,677,234</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06/16/25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7.25%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1M L+625</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9,647,753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9,505,788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9,647,753</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04/03/28</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6.25%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3M L+550</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9,876,222</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9,940,088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04/03/24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480" w:type="dxa"/>
            <w:vAlign w:val="bottom"/>
          </w:tcPr>
          <w:p>
            <w:pPr>
              <w:jc w:val="center"/>
              <w:ind w:left="65"/>
              <w:spacing w:after="0"/>
              <w:rPr>
                <w:sz w:val="20"/>
                <w:szCs w:val="20"/>
                <w:color w:val="auto"/>
              </w:rPr>
            </w:pPr>
            <w:r>
              <w:rPr>
                <w:rFonts w:ascii="Arial" w:cs="Arial" w:eastAsia="Arial" w:hAnsi="Arial"/>
                <w:sz w:val="11"/>
                <w:szCs w:val="11"/>
                <w:color w:val="auto"/>
                <w:w w:val="89"/>
              </w:rPr>
              <w:t>5.50%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ind w:left="66"/>
              <w:spacing w:after="0"/>
              <w:rPr>
                <w:sz w:val="20"/>
                <w:szCs w:val="20"/>
                <w:color w:val="auto"/>
              </w:rPr>
            </w:pPr>
            <w:r>
              <w:rPr>
                <w:rFonts w:ascii="Arial" w:cs="Arial" w:eastAsia="Arial" w:hAnsi="Arial"/>
                <w:sz w:val="11"/>
                <w:szCs w:val="11"/>
                <w:color w:val="auto"/>
                <w:w w:val="97"/>
              </w:rPr>
              <w:t>3M L+450</w:t>
            </w: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4,722,267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4,690,083</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4,651,433</w:t>
            </w: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06/10/25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480" w:type="dxa"/>
            <w:vAlign w:val="bottom"/>
            <w:shd w:val="clear" w:color="auto" w:fill="CCECFF"/>
          </w:tcPr>
          <w:p>
            <w:pPr>
              <w:jc w:val="center"/>
              <w:ind w:left="65"/>
              <w:spacing w:after="0"/>
              <w:rPr>
                <w:sz w:val="20"/>
                <w:szCs w:val="20"/>
                <w:color w:val="auto"/>
              </w:rPr>
            </w:pPr>
            <w:r>
              <w:rPr>
                <w:rFonts w:ascii="Arial" w:cs="Arial" w:eastAsia="Arial" w:hAnsi="Arial"/>
                <w:sz w:val="11"/>
                <w:szCs w:val="11"/>
                <w:color w:val="auto"/>
                <w:w w:val="89"/>
              </w:rPr>
              <w:t>7.75%</w:t>
            </w: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7"/>
              </w:rPr>
              <w:t>1M L+675</w:t>
            </w:r>
          </w:p>
        </w:tc>
        <w:tc>
          <w:tcPr>
            <w:tcW w:w="1040" w:type="dxa"/>
            <w:vAlign w:val="bottom"/>
            <w:gridSpan w:val="4"/>
            <w:shd w:val="clear" w:color="auto" w:fill="CCECFF"/>
          </w:tcPr>
          <w:p>
            <w:pPr>
              <w:jc w:val="right"/>
              <w:spacing w:after="0"/>
              <w:rPr>
                <w:sz w:val="20"/>
                <w:szCs w:val="20"/>
                <w:color w:val="auto"/>
              </w:rPr>
            </w:pPr>
            <w:r>
              <w:rPr>
                <w:rFonts w:ascii="Arial" w:cs="Arial" w:eastAsia="Arial" w:hAnsi="Arial"/>
                <w:sz w:val="11"/>
                <w:szCs w:val="11"/>
                <w:color w:val="auto"/>
              </w:rPr>
              <w:t>14,285,128</w:t>
            </w: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14,078,457</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13,856,573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8"/>
              </w:rPr>
              <w:t>02/27/26</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480" w:type="dxa"/>
            <w:vAlign w:val="bottom"/>
            <w:tcBorders>
              <w:bottom w:val="single" w:sz="8" w:color="CCECFF"/>
            </w:tcBorders>
          </w:tcPr>
          <w:p>
            <w:pPr>
              <w:jc w:val="center"/>
              <w:ind w:left="65"/>
              <w:spacing w:after="0"/>
              <w:rPr>
                <w:sz w:val="20"/>
                <w:szCs w:val="20"/>
                <w:color w:val="auto"/>
              </w:rPr>
            </w:pPr>
            <w:r>
              <w:rPr>
                <w:rFonts w:ascii="Arial" w:cs="Arial" w:eastAsia="Arial" w:hAnsi="Arial"/>
                <w:sz w:val="11"/>
                <w:szCs w:val="11"/>
                <w:color w:val="auto"/>
                <w:w w:val="89"/>
              </w:rPr>
              <w:t>6.00%</w:t>
            </w:r>
          </w:p>
        </w:tc>
        <w:tc>
          <w:tcPr>
            <w:tcW w:w="12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40" w:type="dxa"/>
            <w:vAlign w:val="bottom"/>
            <w:tcBorders>
              <w:bottom w:val="single" w:sz="8" w:color="CCECFF"/>
            </w:tcBorders>
          </w:tcPr>
          <w:p>
            <w:pPr>
              <w:jc w:val="center"/>
              <w:ind w:left="66"/>
              <w:spacing w:after="0"/>
              <w:rPr>
                <w:sz w:val="20"/>
                <w:szCs w:val="20"/>
                <w:color w:val="auto"/>
              </w:rPr>
            </w:pPr>
            <w:r>
              <w:rPr>
                <w:rFonts w:ascii="Arial" w:cs="Arial" w:eastAsia="Arial" w:hAnsi="Arial"/>
                <w:sz w:val="11"/>
                <w:szCs w:val="11"/>
                <w:color w:val="auto"/>
                <w:w w:val="97"/>
              </w:rPr>
              <w:t>1M L+500</w:t>
            </w:r>
          </w:p>
        </w:tc>
        <w:tc>
          <w:tcPr>
            <w:tcW w:w="1040" w:type="dxa"/>
            <w:vAlign w:val="bottom"/>
            <w:tcBorders>
              <w:bottom w:val="single" w:sz="8" w:color="CCECFF"/>
            </w:tcBorders>
            <w:gridSpan w:val="4"/>
          </w:tcPr>
          <w:p>
            <w:pPr>
              <w:jc w:val="right"/>
              <w:spacing w:after="0"/>
              <w:rPr>
                <w:sz w:val="20"/>
                <w:szCs w:val="20"/>
                <w:color w:val="auto"/>
              </w:rPr>
            </w:pPr>
            <w:r>
              <w:rPr>
                <w:rFonts w:ascii="Arial" w:cs="Arial" w:eastAsia="Arial" w:hAnsi="Arial"/>
                <w:sz w:val="11"/>
                <w:szCs w:val="11"/>
                <w:color w:val="auto"/>
              </w:rPr>
              <w:t>7,443,467</w:t>
            </w:r>
          </w:p>
        </w:tc>
        <w:tc>
          <w:tcPr>
            <w:tcW w:w="40" w:type="dxa"/>
            <w:vAlign w:val="bottom"/>
            <w:tcBorders>
              <w:bottom w:val="single" w:sz="8" w:color="CCECFF"/>
            </w:tcBorders>
          </w:tcPr>
          <w:p>
            <w:pPr>
              <w:spacing w:after="0"/>
              <w:rPr>
                <w:sz w:val="11"/>
                <w:szCs w:val="11"/>
                <w:color w:val="auto"/>
              </w:rPr>
            </w:pPr>
          </w:p>
        </w:tc>
        <w:tc>
          <w:tcPr>
            <w:tcW w:w="20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7,377,869</w:t>
            </w:r>
          </w:p>
        </w:tc>
        <w:tc>
          <w:tcPr>
            <w:tcW w:w="24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7,369,033</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386,273,479</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1"/>
              </w:rPr>
              <w:t>386,162,497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Equivalents—18.9%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9,230,013</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9,230,013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40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20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749,622</w:t>
            </w:r>
          </w:p>
        </w:tc>
        <w:tc>
          <w:tcPr>
            <w:tcW w:w="24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749,622</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9,979,635</w:t>
            </w: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9,979,635</w:t>
            </w:r>
          </w:p>
        </w:tc>
        <w:tc>
          <w:tcPr>
            <w:tcW w:w="120" w:type="dxa"/>
            <w:vAlign w:val="bottom"/>
            <w:shd w:val="clear" w:color="auto" w:fill="CCECFF"/>
          </w:tcPr>
          <w:p>
            <w:pPr>
              <w:spacing w:after="0"/>
              <w:rPr>
                <w:sz w:val="11"/>
                <w:szCs w:val="11"/>
                <w:color w:val="auto"/>
              </w:rPr>
            </w:pPr>
          </w:p>
        </w:tc>
      </w:tr>
      <w:tr>
        <w:trPr>
          <w:trHeight w:val="129"/>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Equivalents—592.7%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4"/>
              </w:rPr>
              <w:t>396,253,114</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396,142,132</w:t>
            </w:r>
          </w:p>
        </w:tc>
        <w:tc>
          <w:tcPr>
            <w:tcW w:w="120" w:type="dxa"/>
            <w:vAlign w:val="bottom"/>
          </w:tcPr>
          <w:p>
            <w:pPr>
              <w:spacing w:after="0"/>
              <w:rPr>
                <w:sz w:val="11"/>
                <w:szCs w:val="1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59" w:lineRule="exact"/>
        <w:rPr>
          <w:sz w:val="20"/>
          <w:szCs w:val="20"/>
          <w:color w:val="auto"/>
        </w:rPr>
      </w:pPr>
    </w:p>
    <w:p>
      <w:pPr>
        <w:ind w:left="380" w:right="40" w:hanging="372"/>
        <w:spacing w:after="0" w:line="235" w:lineRule="auto"/>
        <w:tabs>
          <w:tab w:leader="none" w:pos="380" w:val="left"/>
        </w:tabs>
        <w:numPr>
          <w:ilvl w:val="0"/>
          <w:numId w:val="38"/>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38"/>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ind w:left="380" w:hanging="372"/>
        <w:spacing w:after="0"/>
        <w:tabs>
          <w:tab w:leader="none" w:pos="380" w:val="left"/>
        </w:tabs>
        <w:numPr>
          <w:ilvl w:val="0"/>
          <w:numId w:val="38"/>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4"/>
          <w:szCs w:val="14"/>
          <w:color w:val="auto"/>
        </w:rPr>
        <w:t>Below is a listing of PSLF’s individual investments as of September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Advantage Sales &amp; Marketing</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Grocery</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L+325</w:t>
            </w:r>
          </w:p>
        </w:tc>
        <w:tc>
          <w:tcPr>
            <w:tcW w:w="680" w:type="dxa"/>
            <w:vAlign w:val="bottom"/>
          </w:tcPr>
          <w:p>
            <w:pPr>
              <w:jc w:val="right"/>
              <w:spacing w:after="0"/>
              <w:rPr>
                <w:sz w:val="20"/>
                <w:szCs w:val="20"/>
                <w:color w:val="auto"/>
              </w:rPr>
            </w:pPr>
            <w:r>
              <w:rPr>
                <w:rFonts w:ascii="Arial" w:cs="Arial" w:eastAsia="Arial" w:hAnsi="Arial"/>
                <w:sz w:val="11"/>
                <w:szCs w:val="11"/>
                <w:color w:val="auto"/>
              </w:rPr>
              <w:t>8,627,315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8,418,699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8,456,926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958,950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937,238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14,571,097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14,479,603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6,409,225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Bazaarvoice,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14,509,210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14,408,664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14,683,499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Cano Health,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18,174,687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18,411,916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6,991,975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7,125,435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13,448,313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13,316,490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2,858,818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12,028,384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11,888,732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14,619,623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14,295,375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443,354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14,583,983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14,413,275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9,978,792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10,001,050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1,998,623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1,856,411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12,365,207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12,440,731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16,770,520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15,882,625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13,914,921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13,407,926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5.72%</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3,990,631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13,608,176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13,503,840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2"/>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2"/>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14,728,854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14,023,302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1,958,417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1,905,678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7,748,712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7,697,903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5,378,893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5,350,411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13,786,875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12,351,398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12,393,282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5.40%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12,238,771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12,228,460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4,928,407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1,874,970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1,905,750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5,480,573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14,343,185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14,438,788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8,469,082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8,471,302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4,453,816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14,112,113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14,052,223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358,023,408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353,366,358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Equivalents—15.0%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Equivalents—716.6%</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365,560,127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360,903,077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2"/>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Assets—(616.6)%</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80" w:type="dxa"/>
            <w:vAlign w:val="bottom"/>
            <w:gridSpan w:val="2"/>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(310,538,386)</w:t>
            </w:r>
          </w:p>
        </w:tc>
        <w:tc>
          <w:tcPr>
            <w:tcW w:w="0" w:type="dxa"/>
            <w:vAlign w:val="bottom"/>
          </w:tcPr>
          <w:p>
            <w:pPr>
              <w:spacing w:after="0"/>
              <w:rPr>
                <w:sz w:val="1"/>
                <w:szCs w:val="1"/>
                <w:color w:val="auto"/>
              </w:rPr>
            </w:pPr>
          </w:p>
        </w:tc>
      </w:tr>
      <w:tr>
        <w:trPr>
          <w:trHeight w:val="128"/>
        </w:trPr>
        <w:tc>
          <w:tcPr>
            <w:tcW w:w="318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50,364,691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59" w:lineRule="exact"/>
        <w:rPr>
          <w:sz w:val="20"/>
          <w:szCs w:val="20"/>
          <w:color w:val="auto"/>
        </w:rPr>
      </w:pPr>
    </w:p>
    <w:p>
      <w:pPr>
        <w:ind w:left="380" w:right="40" w:hanging="372"/>
        <w:spacing w:after="0" w:line="235" w:lineRule="auto"/>
        <w:tabs>
          <w:tab w:leader="none" w:pos="380" w:val="left"/>
        </w:tabs>
        <w:numPr>
          <w:ilvl w:val="0"/>
          <w:numId w:val="39"/>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39"/>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Below is the financial information for PSLF:</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900" w:type="dxa"/>
            <w:vAlign w:val="bottom"/>
          </w:tcPr>
          <w:p>
            <w:pPr>
              <w:jc w:val="center"/>
              <w:ind w:left="124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6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Investments at fair value (cost—$386,273,477 and $358,023,408, respectively)</w:t>
            </w:r>
          </w:p>
        </w:tc>
        <w:tc>
          <w:tcPr>
            <w:tcW w:w="820" w:type="dxa"/>
            <w:vAlign w:val="bottom"/>
            <w:gridSpan w:val="3"/>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386,162,497</w:t>
            </w:r>
          </w:p>
        </w:tc>
        <w:tc>
          <w:tcPr>
            <w:tcW w:w="440" w:type="dxa"/>
            <w:vAlign w:val="bottom"/>
            <w:gridSpan w:val="2"/>
            <w:shd w:val="clear" w:color="auto" w:fill="CCECFF"/>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tcPr>
          <w:p>
            <w:pPr>
              <w:spacing w:after="0"/>
              <w:rPr>
                <w:sz w:val="20"/>
                <w:szCs w:val="20"/>
                <w:color w:val="auto"/>
              </w:rPr>
            </w:pPr>
            <w:r>
              <w:rPr>
                <w:rFonts w:ascii="Arial" w:cs="Arial" w:eastAsia="Arial" w:hAnsi="Arial"/>
                <w:sz w:val="14"/>
                <w:szCs w:val="14"/>
                <w:color w:val="auto"/>
              </w:rPr>
              <w:t>Cash and cash equivalents (cost—$9,979,635 and $7,536,719, respectively)</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9,979,635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1,023,279</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CCECFF"/>
            </w:tcBorders>
          </w:tcPr>
          <w:p>
            <w:pPr>
              <w:spacing w:after="0"/>
              <w:rPr>
                <w:sz w:val="13"/>
                <w:szCs w:val="13"/>
                <w:color w:val="auto"/>
              </w:rPr>
            </w:pPr>
          </w:p>
        </w:tc>
        <w:tc>
          <w:tcPr>
            <w:tcW w:w="6680" w:type="dxa"/>
            <w:vAlign w:val="bottom"/>
            <w:tcBorders>
              <w:bottom w:val="single" w:sz="8" w:color="CCECFF"/>
            </w:tcBorders>
            <w:gridSpan w:val="2"/>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CCECFF"/>
            </w:tcBorders>
          </w:tcPr>
          <w:p>
            <w:pPr>
              <w:spacing w:after="0"/>
              <w:rPr>
                <w:sz w:val="13"/>
                <w:szCs w:val="13"/>
                <w:color w:val="auto"/>
              </w:rPr>
            </w:pPr>
          </w:p>
        </w:tc>
        <w:tc>
          <w:tcPr>
            <w:tcW w:w="3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397,165,411</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60" w:type="dxa"/>
            <w:vAlign w:val="bottom"/>
            <w:gridSpan w:val="3"/>
          </w:tcPr>
          <w:p>
            <w:pPr>
              <w:spacing w:after="0"/>
              <w:rPr>
                <w:sz w:val="20"/>
                <w:szCs w:val="20"/>
                <w:color w:val="auto"/>
              </w:rPr>
            </w:pPr>
            <w:r>
              <w:rPr>
                <w:rFonts w:ascii="Arial" w:cs="Arial" w:eastAsia="Arial" w:hAnsi="Arial"/>
                <w:sz w:val="14"/>
                <w:szCs w:val="14"/>
                <w:color w:val="auto"/>
              </w:rPr>
              <w:t>Distribution payable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2,800,000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tcPr>
          <w:p>
            <w:pPr>
              <w:spacing w:after="0"/>
              <w:rPr>
                <w:sz w:val="20"/>
                <w:szCs w:val="20"/>
                <w:color w:val="auto"/>
              </w:rPr>
            </w:pPr>
            <w:r>
              <w:rPr>
                <w:rFonts w:ascii="Arial" w:cs="Arial" w:eastAsia="Arial" w:hAnsi="Arial"/>
                <w:sz w:val="14"/>
                <w:szCs w:val="14"/>
                <w:color w:val="auto"/>
              </w:rPr>
              <w:t>Credit facility payable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217,000,000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6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tcPr>
          <w:p>
            <w:pPr>
              <w:spacing w:after="0"/>
              <w:rPr>
                <w:sz w:val="20"/>
                <w:szCs w:val="20"/>
                <w:color w:val="auto"/>
              </w:rPr>
            </w:pPr>
            <w:r>
              <w:rPr>
                <w:rFonts w:ascii="Arial" w:cs="Arial" w:eastAsia="Arial" w:hAnsi="Arial"/>
                <w:sz w:val="14"/>
                <w:szCs w:val="14"/>
                <w:color w:val="auto"/>
              </w:rPr>
              <w:t>Interest payable on credit facility</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1,454,360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members notes</w:t>
            </w: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6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1,643,629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CCECFF"/>
            </w:tcBorders>
          </w:tcPr>
          <w:p>
            <w:pPr>
              <w:spacing w:after="0"/>
              <w:rPr>
                <w:sz w:val="14"/>
                <w:szCs w:val="14"/>
                <w:color w:val="auto"/>
              </w:rPr>
            </w:pPr>
          </w:p>
        </w:tc>
        <w:tc>
          <w:tcPr>
            <w:tcW w:w="3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561,723</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 w:type="dxa"/>
            <w:vAlign w:val="bottom"/>
            <w:shd w:val="clear" w:color="auto" w:fill="CCECFF"/>
          </w:tcPr>
          <w:p>
            <w:pPr>
              <w:spacing w:after="0"/>
              <w:rPr>
                <w:sz w:val="13"/>
                <w:szCs w:val="13"/>
                <w:color w:val="auto"/>
              </w:rPr>
            </w:pPr>
          </w:p>
        </w:tc>
        <w:tc>
          <w:tcPr>
            <w:tcW w:w="6680" w:type="dxa"/>
            <w:vAlign w:val="bottom"/>
            <w:gridSpan w:val="2"/>
            <w:shd w:val="clear" w:color="auto" w:fill="CCECFF"/>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329,500,324</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00" w:type="dxa"/>
            <w:vAlign w:val="bottom"/>
            <w:tcBorders>
              <w:bottom w:val="single" w:sz="8" w:color="CCECFF"/>
            </w:tcBorders>
          </w:tcPr>
          <w:p>
            <w:pPr>
              <w:spacing w:after="0"/>
              <w:rPr>
                <w:sz w:val="13"/>
                <w:szCs w:val="13"/>
                <w:color w:val="auto"/>
              </w:rPr>
            </w:pPr>
          </w:p>
        </w:tc>
        <w:tc>
          <w:tcPr>
            <w:tcW w:w="3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shd w:val="clear" w:color="auto" w:fill="CCECFF"/>
          </w:tcPr>
          <w:p>
            <w:pPr>
              <w:spacing w:after="0"/>
              <w:rPr>
                <w:sz w:val="13"/>
                <w:szCs w:val="13"/>
                <w:color w:val="auto"/>
              </w:rPr>
            </w:pPr>
          </w:p>
        </w:tc>
        <w:tc>
          <w:tcPr>
            <w:tcW w:w="6680" w:type="dxa"/>
            <w:vAlign w:val="bottom"/>
            <w:gridSpan w:val="2"/>
            <w:shd w:val="clear" w:color="auto" w:fill="CCECFF"/>
          </w:tcPr>
          <w:p>
            <w:pPr>
              <w:ind w:left="560"/>
              <w:spacing w:after="0" w:line="155" w:lineRule="exact"/>
              <w:rPr>
                <w:sz w:val="20"/>
                <w:szCs w:val="20"/>
                <w:color w:val="auto"/>
              </w:rPr>
            </w:pPr>
            <w:r>
              <w:rPr>
                <w:rFonts w:ascii="Arial" w:cs="Arial" w:eastAsia="Arial" w:hAnsi="Arial"/>
                <w:sz w:val="14"/>
                <w:szCs w:val="14"/>
                <w:b w:val="1"/>
                <w:bCs w:val="1"/>
                <w:color w:val="auto"/>
              </w:rPr>
              <w:t>Members' equity</w:t>
            </w:r>
          </w:p>
        </w:tc>
        <w:tc>
          <w:tcPr>
            <w:tcW w:w="2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67,665,087</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668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397,165,411</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20"/>
                <w:szCs w:val="20"/>
                <w:color w:val="auto"/>
              </w:rPr>
            </w:pPr>
            <w:r>
              <w:rPr>
                <w:rFonts w:ascii="Arial" w:cs="Arial" w:eastAsia="Arial" w:hAnsi="Arial"/>
                <w:sz w:val="10"/>
                <w:szCs w:val="10"/>
                <w:b w:val="1"/>
                <w:bCs w:val="1"/>
                <w:color w:val="auto"/>
              </w:rPr>
              <w:t>(1)</w:t>
            </w:r>
          </w:p>
        </w:tc>
        <w:tc>
          <w:tcPr>
            <w:tcW w:w="6680" w:type="dxa"/>
            <w:vAlign w:val="bottom"/>
            <w:gridSpan w:val="2"/>
          </w:tcPr>
          <w:p>
            <w:pPr>
              <w:ind w:left="200"/>
              <w:spacing w:after="0"/>
              <w:rPr>
                <w:sz w:val="20"/>
                <w:szCs w:val="20"/>
                <w:color w:val="auto"/>
              </w:rPr>
            </w:pPr>
            <w:r>
              <w:rPr>
                <w:rFonts w:ascii="Arial" w:cs="Arial" w:eastAsia="Arial" w:hAnsi="Arial"/>
                <w:sz w:val="11"/>
                <w:szCs w:val="11"/>
                <w:color w:val="auto"/>
                <w:w w:val="94"/>
              </w:rPr>
              <w:t xml:space="preserve">As of June 30, 2021 and September 30, 2020, PSLF had unfunded commitments to fund investments of $0.1 </w:t>
            </w:r>
            <w:r>
              <w:rPr>
                <w:rFonts w:ascii="Arial" w:cs="Arial" w:eastAsia="Arial" w:hAnsi="Arial"/>
                <w:sz w:val="14"/>
                <w:szCs w:val="14"/>
                <w:color w:val="auto"/>
                <w:w w:val="94"/>
              </w:rPr>
              <w:t>million</w:t>
            </w:r>
            <w:r>
              <w:rPr>
                <w:rFonts w:ascii="Arial" w:cs="Arial" w:eastAsia="Arial" w:hAnsi="Arial"/>
                <w:sz w:val="11"/>
                <w:szCs w:val="11"/>
                <w:color w:val="auto"/>
                <w:w w:val="94"/>
              </w:rPr>
              <w:t xml:space="preserve"> and zero, respectively.</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900" w:type="dxa"/>
            <w:vAlign w:val="bottom"/>
          </w:tcPr>
          <w:p>
            <w:pPr>
              <w:jc w:val="center"/>
              <w:ind w:left="1208"/>
              <w:spacing w:after="0"/>
              <w:rPr>
                <w:sz w:val="20"/>
                <w:szCs w:val="20"/>
                <w:color w:val="auto"/>
              </w:rPr>
            </w:pPr>
            <w:r>
              <w:rPr>
                <w:rFonts w:ascii="Arial" w:cs="Arial" w:eastAsia="Arial" w:hAnsi="Arial"/>
                <w:sz w:val="14"/>
                <w:szCs w:val="14"/>
                <w:b w:val="1"/>
                <w:bCs w:val="1"/>
                <w:color w:val="auto"/>
                <w:w w:val="92"/>
              </w:rPr>
              <w:t xml:space="preserve">Statements of Operations </w:t>
            </w:r>
            <w:r>
              <w:rPr>
                <w:rFonts w:ascii="Arial" w:cs="Arial" w:eastAsia="Arial" w:hAnsi="Arial"/>
                <w:sz w:val="12"/>
                <w:szCs w:val="12"/>
                <w:b w:val="1"/>
                <w:bCs w:val="1"/>
                <w:color w:val="auto"/>
                <w:w w:val="92"/>
              </w:rPr>
              <w:t>(1)</w:t>
            </w:r>
          </w:p>
        </w:tc>
        <w:tc>
          <w:tcPr>
            <w:tcW w:w="200" w:type="dxa"/>
            <w:vAlign w:val="bottom"/>
          </w:tcPr>
          <w:p>
            <w:pPr>
              <w:spacing w:after="0"/>
              <w:rPr>
                <w:sz w:val="24"/>
                <w:szCs w:val="24"/>
                <w:color w:val="auto"/>
              </w:rPr>
            </w:pPr>
          </w:p>
        </w:tc>
        <w:tc>
          <w:tcPr>
            <w:tcW w:w="208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8"/>
              </w:rPr>
              <w:t>Three Months Ended June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21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76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CCECFF"/>
            </w:tcBorders>
          </w:tcPr>
          <w:p>
            <w:pPr>
              <w:spacing w:after="0"/>
              <w:rPr>
                <w:sz w:val="13"/>
                <w:szCs w:val="13"/>
                <w:color w:val="auto"/>
              </w:rPr>
            </w:pPr>
          </w:p>
        </w:tc>
        <w:tc>
          <w:tcPr>
            <w:tcW w:w="2780" w:type="dxa"/>
            <w:vAlign w:val="bottom"/>
            <w:tcBorders>
              <w:bottom w:val="single" w:sz="8" w:color="CCECFF"/>
            </w:tcBorders>
          </w:tcPr>
          <w:p>
            <w:pPr>
              <w:spacing w:after="0"/>
              <w:rPr>
                <w:sz w:val="13"/>
                <w:szCs w:val="13"/>
                <w:color w:val="auto"/>
              </w:rPr>
            </w:pPr>
          </w:p>
        </w:tc>
        <w:tc>
          <w:tcPr>
            <w:tcW w:w="390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6680" w:type="dxa"/>
            <w:vAlign w:val="bottom"/>
            <w:gridSpan w:val="2"/>
          </w:tcPr>
          <w:p>
            <w:pPr>
              <w:ind w:left="80"/>
              <w:spacing w:after="0"/>
              <w:rPr>
                <w:sz w:val="20"/>
                <w:szCs w:val="20"/>
                <w:color w:val="auto"/>
              </w:rPr>
            </w:pPr>
            <w:r>
              <w:rPr>
                <w:rFonts w:ascii="Arial" w:cs="Arial" w:eastAsia="Arial" w:hAnsi="Arial"/>
                <w:sz w:val="14"/>
                <w:szCs w:val="14"/>
                <w:color w:val="auto"/>
              </w:rPr>
              <w:t>Interest</w:t>
            </w:r>
          </w:p>
        </w:tc>
        <w:tc>
          <w:tcPr>
            <w:tcW w:w="5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7,101,464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20,359,280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CFF"/>
          </w:tcPr>
          <w:p>
            <w:pPr>
              <w:spacing w:after="0"/>
              <w:rPr>
                <w:sz w:val="14"/>
                <w:szCs w:val="14"/>
                <w:color w:val="auto"/>
              </w:rPr>
            </w:pPr>
          </w:p>
        </w:tc>
        <w:tc>
          <w:tcPr>
            <w:tcW w:w="668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1,080,905</w:t>
            </w:r>
          </w:p>
        </w:tc>
        <w:tc>
          <w:tcPr>
            <w:tcW w:w="1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1,807,639</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CCECFF"/>
            </w:tcBorders>
          </w:tcPr>
          <w:p>
            <w:pPr>
              <w:spacing w:after="0"/>
              <w:rPr>
                <w:sz w:val="13"/>
                <w:szCs w:val="13"/>
                <w:color w:val="auto"/>
              </w:rPr>
            </w:pPr>
          </w:p>
        </w:tc>
        <w:tc>
          <w:tcPr>
            <w:tcW w:w="6680" w:type="dxa"/>
            <w:vAlign w:val="bottom"/>
            <w:tcBorders>
              <w:bottom w:val="single" w:sz="8" w:color="CCECFF"/>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8,182,369</w:t>
            </w:r>
          </w:p>
        </w:tc>
        <w:tc>
          <w:tcPr>
            <w:tcW w:w="1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22,166,919</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6680" w:type="dxa"/>
            <w:vAlign w:val="bottom"/>
            <w:gridSpan w:val="2"/>
          </w:tcPr>
          <w:p>
            <w:pPr>
              <w:ind w:left="80"/>
              <w:spacing w:after="0"/>
              <w:rPr>
                <w:sz w:val="20"/>
                <w:szCs w:val="20"/>
                <w:color w:val="auto"/>
              </w:rPr>
            </w:pPr>
            <w:r>
              <w:rPr>
                <w:rFonts w:ascii="Arial" w:cs="Arial" w:eastAsia="Arial" w:hAnsi="Arial"/>
                <w:sz w:val="14"/>
                <w:szCs w:val="14"/>
                <w:color w:val="auto"/>
              </w:rPr>
              <w:t>Interest and expenses on credit facility</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1,503,133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4,755,114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CFF"/>
          </w:tcPr>
          <w:p>
            <w:pPr>
              <w:spacing w:after="0"/>
              <w:rPr>
                <w:sz w:val="14"/>
                <w:szCs w:val="14"/>
                <w:color w:val="auto"/>
              </w:rPr>
            </w:pPr>
          </w:p>
        </w:tc>
        <w:tc>
          <w:tcPr>
            <w:tcW w:w="668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Interest expense on members notes</w:t>
            </w: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2,412,424</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7,093,582</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6680" w:type="dxa"/>
            <w:vAlign w:val="bottom"/>
            <w:gridSpan w:val="2"/>
          </w:tcPr>
          <w:p>
            <w:pPr>
              <w:ind w:left="80"/>
              <w:spacing w:after="0"/>
              <w:rPr>
                <w:sz w:val="20"/>
                <w:szCs w:val="20"/>
                <w:color w:val="auto"/>
              </w:rPr>
            </w:pPr>
            <w:r>
              <w:rPr>
                <w:rFonts w:ascii="Arial" w:cs="Arial" w:eastAsia="Arial" w:hAnsi="Arial"/>
                <w:sz w:val="14"/>
                <w:szCs w:val="14"/>
                <w:color w:val="auto"/>
              </w:rPr>
              <w:t>Administrative services expenses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878,895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CFF"/>
          </w:tcPr>
          <w:p>
            <w:pPr>
              <w:spacing w:after="0"/>
              <w:rPr>
                <w:sz w:val="14"/>
                <w:szCs w:val="14"/>
                <w:color w:val="auto"/>
              </w:rPr>
            </w:pPr>
          </w:p>
        </w:tc>
        <w:tc>
          <w:tcPr>
            <w:tcW w:w="668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(2)</w:t>
            </w:r>
          </w:p>
        </w:tc>
        <w:tc>
          <w:tcPr>
            <w:tcW w:w="200" w:type="dxa"/>
            <w:vAlign w:val="bottom"/>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334,944</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 w:type="dxa"/>
            <w:vAlign w:val="bottom"/>
            <w:tcBorders>
              <w:bottom w:val="single" w:sz="8" w:color="CCECFF"/>
            </w:tcBorders>
          </w:tcPr>
          <w:p>
            <w:pPr>
              <w:spacing w:after="0"/>
              <w:rPr>
                <w:sz w:val="13"/>
                <w:szCs w:val="13"/>
                <w:color w:val="auto"/>
              </w:rPr>
            </w:pPr>
          </w:p>
        </w:tc>
        <w:tc>
          <w:tcPr>
            <w:tcW w:w="6680" w:type="dxa"/>
            <w:vAlign w:val="bottom"/>
            <w:tcBorders>
              <w:bottom w:val="single" w:sz="8" w:color="CCECFF"/>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4,320,170</w:t>
            </w:r>
          </w:p>
        </w:tc>
        <w:tc>
          <w:tcPr>
            <w:tcW w:w="1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13,062,535</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shd w:val="clear" w:color="auto" w:fill="CCECFF"/>
          </w:tcPr>
          <w:p>
            <w:pPr>
              <w:spacing w:after="0"/>
              <w:rPr>
                <w:sz w:val="13"/>
                <w:szCs w:val="13"/>
                <w:color w:val="auto"/>
              </w:rPr>
            </w:pPr>
          </w:p>
        </w:tc>
        <w:tc>
          <w:tcPr>
            <w:tcW w:w="6680" w:type="dxa"/>
            <w:vAlign w:val="bottom"/>
            <w:gridSpan w:val="2"/>
            <w:shd w:val="clear" w:color="auto" w:fill="CCECFF"/>
          </w:tcPr>
          <w:p>
            <w:pPr>
              <w:ind w:left="8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3,862,199</w:t>
            </w:r>
          </w:p>
        </w:tc>
        <w:tc>
          <w:tcPr>
            <w:tcW w:w="1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9,104,384</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6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464,337</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6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Net change in unrealized appreciation on investments</w:t>
            </w:r>
          </w:p>
        </w:tc>
        <w:tc>
          <w:tcPr>
            <w:tcW w:w="200" w:type="dxa"/>
            <w:vAlign w:val="bottom"/>
            <w:tcBorders>
              <w:bottom w:val="single" w:sz="8" w:color="CCEC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91,664</w:t>
            </w:r>
          </w:p>
        </w:tc>
        <w:tc>
          <w:tcPr>
            <w:tcW w:w="10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4,546,070</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w:t>
            </w:r>
          </w:p>
        </w:tc>
        <w:tc>
          <w:tcPr>
            <w:tcW w:w="200" w:type="dxa"/>
            <w:vAlign w:val="bottom"/>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91,664</w:t>
            </w:r>
          </w:p>
        </w:tc>
        <w:tc>
          <w:tcPr>
            <w:tcW w:w="1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5,010,407</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00" w:type="dxa"/>
            <w:vAlign w:val="bottom"/>
          </w:tcPr>
          <w:p>
            <w:pPr>
              <w:spacing w:after="0"/>
              <w:rPr>
                <w:sz w:val="13"/>
                <w:szCs w:val="13"/>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3,953,863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14,114,791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9"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9"/>
          <w:szCs w:val="9"/>
          <w:b w:val="1"/>
          <w:bCs w:val="1"/>
          <w:color w:val="auto"/>
        </w:rPr>
      </w:pPr>
      <w:r>
        <w:rPr>
          <w:rFonts w:ascii="Arial" w:cs="Arial" w:eastAsia="Arial" w:hAnsi="Arial"/>
          <w:sz w:val="11"/>
          <w:szCs w:val="11"/>
          <w:color w:val="auto"/>
        </w:rPr>
        <w:t>PSLF commenced operations on July 31, 2020.</w:t>
      </w:r>
    </w:p>
    <w:p>
      <w:pPr>
        <w:spacing w:after="0" w:line="3" w:lineRule="exact"/>
        <w:rPr>
          <w:rFonts w:ascii="Arial" w:cs="Arial" w:eastAsia="Arial" w:hAnsi="Arial"/>
          <w:sz w:val="9"/>
          <w:szCs w:val="9"/>
          <w:b w:val="1"/>
          <w:bCs w:val="1"/>
          <w:color w:val="auto"/>
        </w:rPr>
      </w:pPr>
    </w:p>
    <w:p>
      <w:pPr>
        <w:ind w:left="380" w:hanging="372"/>
        <w:spacing w:after="0"/>
        <w:tabs>
          <w:tab w:leader="none" w:pos="380" w:val="left"/>
        </w:tabs>
        <w:numPr>
          <w:ilvl w:val="0"/>
          <w:numId w:val="40"/>
        </w:numPr>
        <w:rPr>
          <w:rFonts w:ascii="Arial" w:cs="Arial" w:eastAsia="Arial" w:hAnsi="Arial"/>
          <w:sz w:val="9"/>
          <w:szCs w:val="9"/>
          <w:b w:val="1"/>
          <w:bCs w:val="1"/>
          <w:color w:val="auto"/>
        </w:rPr>
      </w:pPr>
      <w:r>
        <w:rPr>
          <w:rFonts w:ascii="Arial" w:cs="Arial" w:eastAsia="Arial" w:hAnsi="Arial"/>
          <w:sz w:val="11"/>
          <w:szCs w:val="11"/>
          <w:color w:val="auto"/>
        </w:rPr>
        <w:t>No management or incentive fees are payable by PSLF. If any fees were to be charged, they would be separately disclosed in the Statement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 summary of our significant contractual payment obligations at cost as of June 30, 2021, including borrowings under our various debt facilities and other contractual obligations,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1-3 years</w:t>
            </w:r>
          </w:p>
        </w:tc>
        <w:tc>
          <w:tcPr>
            <w:tcW w:w="320" w:type="dxa"/>
            <w:vAlign w:val="bottom"/>
          </w:tcPr>
          <w:p>
            <w:pPr>
              <w:spacing w:after="0"/>
              <w:rPr>
                <w:sz w:val="14"/>
                <w:szCs w:val="14"/>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w w:val="92"/>
              </w:rPr>
              <w:t>3-5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Truist Credit Facility</w:t>
            </w:r>
          </w:p>
        </w:tc>
        <w:tc>
          <w:tcPr>
            <w:tcW w:w="840" w:type="dxa"/>
            <w:vAlign w:val="bottom"/>
            <w:tcBorders>
              <w:top w:val="single" w:sz="8" w:color="auto"/>
            </w:tcBorders>
            <w:shd w:val="clear" w:color="auto" w:fill="CCECFF"/>
          </w:tcPr>
          <w:p>
            <w:pPr>
              <w:jc w:val="right"/>
              <w:ind w:right="72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214.6</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18.1</w:t>
            </w:r>
          </w:p>
        </w:tc>
        <w:tc>
          <w:tcPr>
            <w:tcW w:w="2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SBA debentures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63.5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4"/>
                <w:szCs w:val="14"/>
                <w:color w:val="auto"/>
              </w:rPr>
            </w:pPr>
          </w:p>
        </w:tc>
      </w:tr>
      <w:tr>
        <w:trPr>
          <w:trHeight w:val="162"/>
        </w:trPr>
        <w:tc>
          <w:tcPr>
            <w:tcW w:w="36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p>
        </w:tc>
        <w:tc>
          <w:tcPr>
            <w:tcW w:w="84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86.3</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86.3</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2026 Notes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40" w:type="dxa"/>
            <w:vAlign w:val="bottom"/>
            <w:tcBorders>
              <w:top w:val="single" w:sz="8" w:color="auto"/>
            </w:tcBorders>
            <w:shd w:val="clear" w:color="auto" w:fill="CCECFF"/>
          </w:tcPr>
          <w:p>
            <w:pPr>
              <w:spacing w:after="0"/>
              <w:rPr>
                <w:sz w:val="13"/>
                <w:szCs w:val="13"/>
                <w:color w:val="auto"/>
              </w:rPr>
            </w:pP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514.4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18.1</w:t>
            </w:r>
          </w:p>
        </w:tc>
        <w:tc>
          <w:tcPr>
            <w:tcW w:w="2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432.8</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63.5</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6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26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CFF"/>
            </w:tcBorders>
          </w:tcPr>
          <w:p>
            <w:pPr>
              <w:spacing w:after="0"/>
              <w:rPr>
                <w:sz w:val="14"/>
                <w:szCs w:val="14"/>
                <w:color w:val="auto"/>
              </w:rPr>
            </w:pPr>
          </w:p>
        </w:tc>
      </w:tr>
      <w:tr>
        <w:trPr>
          <w:trHeight w:val="156"/>
        </w:trPr>
        <w:tc>
          <w:tcPr>
            <w:tcW w:w="36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40" w:type="dxa"/>
            <w:vAlign w:val="bottom"/>
            <w:tcBorders>
              <w:bottom w:val="single" w:sz="8" w:color="auto"/>
            </w:tcBorders>
            <w:shd w:val="clear" w:color="auto" w:fill="CCECFF"/>
          </w:tcPr>
          <w:p>
            <w:pPr>
              <w:jc w:val="right"/>
              <w:ind w:right="72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571.5</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31.6</w:t>
            </w:r>
          </w:p>
        </w:tc>
        <w:tc>
          <w:tcPr>
            <w:tcW w:w="2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w:t>
            </w:r>
          </w:p>
        </w:tc>
        <w:tc>
          <w:tcPr>
            <w:tcW w:w="26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457.6</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68.6</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59"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8"/>
          <w:szCs w:val="8"/>
          <w:b w:val="1"/>
          <w:bCs w:val="1"/>
          <w:color w:val="auto"/>
        </w:rPr>
      </w:pPr>
      <w:r>
        <w:rPr>
          <w:rFonts w:ascii="Arial" w:cs="Arial" w:eastAsia="Arial" w:hAnsi="Arial"/>
          <w:sz w:val="10"/>
          <w:szCs w:val="10"/>
          <w:color w:val="auto"/>
        </w:rPr>
        <w:t>The annualized weighted average cost of debt as of June 30, 2021 was 3.1%, exclusive of the fee on the undrawn commitment on the Truist Credit Facility, debt issuance costs on the 2024 Notes, 2026 Notes and upfront fees on SBA debentures.</w:t>
      </w:r>
    </w:p>
    <w:p>
      <w:pPr>
        <w:spacing w:after="0" w:line="21" w:lineRule="exact"/>
        <w:rPr>
          <w:rFonts w:ascii="Arial" w:cs="Arial" w:eastAsia="Arial" w:hAnsi="Arial"/>
          <w:sz w:val="8"/>
          <w:szCs w:val="8"/>
          <w:b w:val="1"/>
          <w:bCs w:val="1"/>
          <w:color w:val="auto"/>
        </w:rPr>
      </w:pPr>
    </w:p>
    <w:p>
      <w:pPr>
        <w:ind w:left="380" w:hanging="372"/>
        <w:spacing w:after="0"/>
        <w:tabs>
          <w:tab w:leader="none" w:pos="380" w:val="left"/>
        </w:tabs>
        <w:numPr>
          <w:ilvl w:val="0"/>
          <w:numId w:val="41"/>
        </w:numPr>
        <w:rPr>
          <w:rFonts w:ascii="Arial" w:cs="Arial" w:eastAsia="Arial" w:hAnsi="Arial"/>
          <w:sz w:val="9"/>
          <w:szCs w:val="9"/>
          <w:b w:val="1"/>
          <w:bCs w:val="1"/>
          <w:color w:val="auto"/>
        </w:rPr>
      </w:pPr>
      <w:r>
        <w:rPr>
          <w:rFonts w:ascii="Arial" w:cs="Arial" w:eastAsia="Arial" w:hAnsi="Arial"/>
          <w:sz w:val="11"/>
          <w:szCs w:val="11"/>
          <w:color w:val="auto"/>
        </w:rPr>
        <w:t>Unfunded debt and equity investments are disclosed in the Consolidated Schedule of Investments and Note 11 of our Consolidated Financial Statements</w:t>
      </w:r>
    </w:p>
    <w:p>
      <w:pPr>
        <w:spacing w:after="0" w:line="214"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2021,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1" w:name="page42"/>
    <w:bookmarkEnd w:id="41"/>
    <w:p>
      <w:pPr>
        <w:ind w:right="4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PennantPark Investment, through the Administrator, provides similar services to SBIC II under its administration agreement, which is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9"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 end, we had new originations of $69.0 million.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17"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In order to be treated as a U.S.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During the three and nine months ended June 30, 2021, we declared distributions of $0.12 and $0.36 per share, for total distributions of $8.0 million and $24.1 million, respectively. For the same periods in the prior year, we declared distributions of $0.12 and $0.48 per share, for total distributions of $8.0 million and $32.2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6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1"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2021, our debt portfolio consisted of 91%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258</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0.00</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(1,391)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3,420</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13,044</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8"/>
        </w:trPr>
        <w:tc>
          <w:tcPr>
            <w:tcW w:w="3600" w:type="dxa"/>
            <w:vAlign w:val="bottom"/>
          </w:tcPr>
          <w:p>
            <w:pPr>
              <w:spacing w:after="0"/>
              <w:rPr>
                <w:sz w:val="24"/>
                <w:szCs w:val="24"/>
                <w:color w:val="auto"/>
              </w:rPr>
            </w:pPr>
          </w:p>
        </w:tc>
        <w:tc>
          <w:tcPr>
            <w:tcW w:w="3040" w:type="dxa"/>
            <w:vAlign w:val="bottom"/>
            <w:gridSpan w:val="2"/>
          </w:tcPr>
          <w:p>
            <w:pPr>
              <w:jc w:val="right"/>
              <w:ind w:right="868"/>
              <w:spacing w:after="0"/>
              <w:rPr>
                <w:sz w:val="20"/>
                <w:szCs w:val="20"/>
                <w:color w:val="auto"/>
              </w:rPr>
            </w:pPr>
            <w:r>
              <w:rPr>
                <w:rFonts w:ascii="Arial" w:cs="Arial" w:eastAsia="Arial" w:hAnsi="Arial"/>
                <w:sz w:val="14"/>
                <w:szCs w:val="14"/>
                <w:color w:val="auto"/>
              </w:rPr>
              <w:t>42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6" w:right="319" w:bottom="1440" w:gutter="0" w:footer="0" w:header="0"/>
        </w:sectPr>
      </w:pPr>
    </w:p>
    <w:bookmarkStart w:id="42" w:name="page43"/>
    <w:bookmarkEnd w:id="42"/>
    <w:p>
      <w:pPr>
        <w:ind w:right="3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21"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2"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6"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PART II – OTHER INFORMATION</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2020 filed on November 19, 2020 and amended on March 26, 2021,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8" w:lineRule="exact"/>
        <w:rPr>
          <w:sz w:val="20"/>
          <w:szCs w:val="20"/>
          <w:color w:val="auto"/>
        </w:rPr>
      </w:pPr>
    </w:p>
    <w:p>
      <w:pPr>
        <w:ind w:right="280" w:firstLine="483"/>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87"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17" w:lineRule="exact"/>
        <w:rPr>
          <w:sz w:val="20"/>
          <w:szCs w:val="20"/>
          <w:color w:val="auto"/>
        </w:rPr>
      </w:pPr>
    </w:p>
    <w:p>
      <w:pPr>
        <w:ind w:right="40" w:firstLine="438"/>
        <w:spacing w:after="0" w:line="243" w:lineRule="auto"/>
        <w:rPr>
          <w:sz w:val="20"/>
          <w:szCs w:val="20"/>
          <w:color w:val="auto"/>
        </w:rPr>
      </w:pPr>
      <w:r>
        <w:rPr>
          <w:rFonts w:ascii="Arial" w:cs="Arial" w:eastAsia="Arial" w:hAnsi="Arial"/>
          <w:sz w:val="13"/>
          <w:szCs w:val="13"/>
          <w:color w:val="auto"/>
        </w:rPr>
        <w:t>We have indebtedness outstanding pursuant to the Truist Credit Facility, 2024 Notes, 2026 Notes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8" w:lineRule="exact"/>
        <w:rPr>
          <w:sz w:val="20"/>
          <w:szCs w:val="20"/>
          <w:color w:val="auto"/>
        </w:rPr>
      </w:pPr>
    </w:p>
    <w:p>
      <w:pPr>
        <w:jc w:val="both"/>
        <w:ind w:right="120" w:firstLine="483"/>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nine months ended June 30, 2021.</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4" w:name="page45"/>
    <w:bookmarkEnd w:id="44"/>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8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45" w:name="page46"/>
    <w:bookmarkEnd w:id="45"/>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81">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EE"/>
        </w:rPr>
      </w:pPr>
      <w:hyperlink r:id="rId81">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82">
        <w:r>
          <w:rPr>
            <w:rFonts w:ascii="Arial" w:cs="Arial" w:eastAsia="Arial" w:hAnsi="Arial"/>
            <w:sz w:val="13"/>
            <w:szCs w:val="13"/>
            <w:u w:val="single" w:color="auto"/>
            <w:color w:val="0000EE"/>
          </w:rPr>
          <w:t>Second Amended and Restated Bylaws of the Registrant (Incorporated by reference to Exhibit 3.2 to the Registrant's Quarterly Report on Form 10-Q (File No. 814-00736), filed on May</w:t>
        </w:r>
      </w:hyperlink>
    </w:p>
    <w:p>
      <w:pPr>
        <w:ind w:left="500"/>
        <w:spacing w:after="0"/>
        <w:rPr>
          <w:rFonts w:ascii="Arial" w:cs="Arial" w:eastAsia="Arial" w:hAnsi="Arial"/>
          <w:sz w:val="14"/>
          <w:szCs w:val="14"/>
          <w:u w:val="single" w:color="auto"/>
          <w:color w:val="0000EE"/>
        </w:rPr>
      </w:pPr>
      <w:hyperlink r:id="rId82">
        <w:r>
          <w:rPr>
            <w:rFonts w:ascii="Arial" w:cs="Arial" w:eastAsia="Arial" w:hAnsi="Arial"/>
            <w:sz w:val="14"/>
            <w:szCs w:val="14"/>
            <w:u w:val="single" w:color="auto"/>
            <w:color w:val="0000EE"/>
          </w:rPr>
          <w:t>11, 2020).</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83">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left="500" w:right="40" w:hanging="485"/>
        <w:spacing w:after="0" w:line="253" w:lineRule="auto"/>
        <w:tabs>
          <w:tab w:leader="none" w:pos="480" w:val="left"/>
        </w:tabs>
        <w:rPr>
          <w:rFonts w:ascii="Arial" w:cs="Arial" w:eastAsia="Arial" w:hAnsi="Arial"/>
          <w:sz w:val="14"/>
          <w:szCs w:val="14"/>
          <w:u w:val="single" w:color="auto"/>
          <w:color w:val="0000EE"/>
        </w:rPr>
      </w:pPr>
      <w:r>
        <w:rPr>
          <w:rFonts w:ascii="Arial" w:cs="Arial" w:eastAsia="Arial" w:hAnsi="Arial"/>
          <w:sz w:val="14"/>
          <w:szCs w:val="14"/>
          <w:color w:val="auto"/>
        </w:rPr>
        <w:t>4.2</w:t>
      </w:r>
      <w:r>
        <w:rPr>
          <w:sz w:val="20"/>
          <w:szCs w:val="20"/>
          <w:color w:val="auto"/>
        </w:rPr>
        <w:tab/>
      </w:r>
      <w:hyperlink r:id="rId84">
        <w:r>
          <w:rPr>
            <w:rFonts w:ascii="Arial" w:cs="Arial" w:eastAsia="Arial" w:hAnsi="Arial"/>
            <w:sz w:val="14"/>
            <w:szCs w:val="14"/>
            <w:u w:val="single" w:color="auto"/>
            <w:color w:val="0000EE"/>
          </w:rPr>
          <w:t>Fourth Supplemental Indenture, dated as of April 21, 2021, by and between the Company and American Stock Transfer &amp; Trust Company, LLC, as trustee (Incorporated by reference to</w:t>
        </w:r>
      </w:hyperlink>
      <w:r>
        <w:rPr>
          <w:rFonts w:ascii="Arial" w:cs="Arial" w:eastAsia="Arial" w:hAnsi="Arial"/>
          <w:sz w:val="14"/>
          <w:szCs w:val="14"/>
          <w:u w:val="single" w:color="auto"/>
          <w:color w:val="0000EE"/>
        </w:rPr>
        <w:t xml:space="preserve"> </w:t>
      </w:r>
      <w:hyperlink r:id="rId84">
        <w:r>
          <w:rPr>
            <w:rFonts w:ascii="Arial" w:cs="Arial" w:eastAsia="Arial" w:hAnsi="Arial"/>
            <w:sz w:val="14"/>
            <w:szCs w:val="14"/>
            <w:u w:val="single" w:color="auto"/>
            <w:color w:val="0000EE"/>
          </w:rPr>
          <w:t>Exhibit 4.1 to the Registrant’s Current Report on Form 8-K (File No. 814-00736), filed on April 22, 2021).</w:t>
        </w:r>
      </w:hyperlink>
    </w:p>
    <w:p>
      <w:pPr>
        <w:spacing w:after="0" w:line="10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4.3</w:t>
      </w:r>
      <w:r>
        <w:rPr>
          <w:sz w:val="20"/>
          <w:szCs w:val="20"/>
          <w:color w:val="auto"/>
        </w:rPr>
        <w:tab/>
      </w:r>
      <w:hyperlink r:id="rId84">
        <w:r>
          <w:rPr>
            <w:rFonts w:ascii="Arial" w:cs="Arial" w:eastAsia="Arial" w:hAnsi="Arial"/>
            <w:sz w:val="13"/>
            <w:szCs w:val="13"/>
            <w:u w:val="single" w:color="auto"/>
            <w:color w:val="0000EE"/>
          </w:rPr>
          <w:t>Form of 4.50% Notes due 2026 (Incorporated by reference to Exhibit 4.2 hereto).</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8">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9">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50">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1">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85">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hyperlink>
    </w:p>
    <w:p>
      <w:pPr>
        <w:spacing w:after="0" w:line="244"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62" w:right="419" w:bottom="1440" w:gutter="0" w:footer="0" w:header="0"/>
        </w:sectPr>
      </w:pPr>
    </w:p>
    <w:bookmarkStart w:id="46" w:name="page47"/>
    <w:bookmarkEnd w:id="46"/>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August 4,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August 4, 2021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PENNANTPARK INVESTMENT CORPORATION</w:t>
      </w:r>
    </w:p>
    <w:p>
      <w:pPr>
        <w:spacing w:after="0" w:line="244"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 w:lineRule="exact"/>
        <w:rPr>
          <w:sz w:val="20"/>
          <w:szCs w:val="20"/>
          <w:color w:val="auto"/>
        </w:rPr>
      </w:pPr>
    </w:p>
    <w:p>
      <w:pPr>
        <w:jc w:val="center"/>
        <w:ind w:right="-619"/>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19"/>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spacing w:after="0"/>
        <w:tabs>
          <w:tab w:leader="none" w:pos="23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Richard Cheung</w:t>
      </w:r>
    </w:p>
    <w:p>
      <w:pPr>
        <w:spacing w:after="0" w:line="8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4920" w:space="720"/>
            <w:col w:w="5300"/>
          </w:cols>
          <w:pgMar w:left="320" w:top="333" w:right="639" w:bottom="1440" w:gutter="0" w:footer="0" w:header="0"/>
          <w:type w:val="continuous"/>
        </w:sectPr>
      </w:pP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940"/>
          </w:cols>
          <w:pgMar w:left="320" w:top="333" w:right="6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4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4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4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4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4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4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4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4,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4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4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4,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Richard Cheung</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and nine months ended June 30, 2021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4, 2021</w:t>
      </w:r>
    </w:p>
    <w:p>
      <w:pPr>
        <w:sectPr>
          <w:pgSz w:w="11900" w:h="16838" w:orient="portrait"/>
          <w:cols w:equalWidth="0" w:num="2">
            <w:col w:w="320" w:space="260"/>
            <w:col w:w="10660"/>
          </w:cols>
          <w:pgMar w:left="320" w:top="118"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and nine months ended June 30, 2021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Richard Cheung, Chief Financial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Richard Cheung</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4, 2021</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5"/>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lowerLetter"/>
      <w:start w:val="2"/>
    </w:lvl>
  </w:abstractNum>
  <w:abstractNum w:abstractNumId="8">
    <w:nsid w:val="3A95F874"/>
    <w:multiLevelType w:val="hybridMultilevel"/>
    <w:lvl w:ilvl="0">
      <w:lvlJc w:val="left"/>
      <w:lvlText w:val="(%1)"/>
      <w:numFmt w:val="lowerLetter"/>
      <w:start w:val="3"/>
    </w:lvl>
  </w:abstractNum>
  <w:abstractNum w:abstractNumId="9">
    <w:nsid w:val="8138641"/>
    <w:multiLevelType w:val="hybridMultilevel"/>
    <w:lvl w:ilvl="0">
      <w:lvlJc w:val="left"/>
      <w:lvlText w:val="(%1)"/>
      <w:numFmt w:val="lowerLetter"/>
      <w:start w:val="4"/>
    </w:lvl>
  </w:abstractNum>
  <w:abstractNum w:abstractNumId="10">
    <w:nsid w:val="1E7FF521"/>
    <w:multiLevelType w:val="hybridMultilevel"/>
    <w:lvl w:ilvl="0">
      <w:lvlJc w:val="left"/>
      <w:lvlText w:val="(%1)"/>
      <w:numFmt w:val="lowerLetter"/>
      <w:start w:val="5"/>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lowerLetter"/>
      <w:start w:val="6"/>
    </w:lvl>
  </w:abstractNum>
  <w:abstractNum w:abstractNumId="13">
    <w:nsid w:val="6CEAF087"/>
    <w:multiLevelType w:val="hybridMultilevel"/>
    <w:lvl w:ilvl="0">
      <w:lvlJc w:val="left"/>
      <w:lvlText w:val="(%1)"/>
      <w:numFmt w:val="lowerLetter"/>
      <w:start w:val="7"/>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3">
    <w:nsid w:val="6DE91B18"/>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44">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5">
    <w:nsid w:val="7644A4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6">
    <w:nsid w:val="32FFF902"/>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47">
    <w:nsid w:val="684A48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81" Type="http://schemas.openxmlformats.org/officeDocument/2006/relationships/hyperlink" Target="http://www.sec.gov/Archives/edgar/data/1383414/000119312507075646/dex99a.htm" TargetMode="External"/><Relationship Id="rId82" Type="http://schemas.openxmlformats.org/officeDocument/2006/relationships/hyperlink" Target="http://www.sec.gov/Archives/edgar/data/1383414/000156459020024172/pnnt-ex32_163.htm" TargetMode="External"/><Relationship Id="rId83" Type="http://schemas.openxmlformats.org/officeDocument/2006/relationships/hyperlink" Target="http://www.sec.gov/Archives/edgar/data/1383414/000119312508072557/dex99d1.htm" TargetMode="External"/><Relationship Id="rId84" Type="http://schemas.openxmlformats.org/officeDocument/2006/relationships/hyperlink" Target="http://www.sec.gov/Archives/edgar/data/1383414/000119312521125241/d124015dex41.htm" TargetMode="External"/><Relationship Id="rId85"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2021-08-04T17:25:34Z</dcterms:created>
  <dcterms:modified xsi:type="dcterms:W3CDTF">2021-08-04T17:25:34Z</dcterms:modified>
</cp:coreProperties>
</file>