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26540"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6540" cy="325755"/>
                    </a:xfrm>
                    <a:prstGeom prst="rect">
                      <a:avLst/>
                    </a:prstGeom>
                    <a:noFill/>
                  </pic:spPr>
                </pic:pic>
              </a:graphicData>
            </a:graphic>
          </wp:anchor>
        </w:drawing>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333-150033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Public Offering</w:t>
      </w:r>
    </w:p>
    <w:p>
      <w:pPr>
        <w:spacing w:after="0" w:line="171" w:lineRule="exact"/>
        <w:rPr>
          <w:sz w:val="24"/>
          <w:szCs w:val="24"/>
          <w:color w:val="auto"/>
        </w:rPr>
      </w:pPr>
    </w:p>
    <w:p>
      <w:pPr>
        <w:ind w:right="120"/>
        <w:spacing w:after="0" w:line="294" w:lineRule="auto"/>
        <w:rPr>
          <w:sz w:val="20"/>
          <w:szCs w:val="20"/>
          <w:color w:val="auto"/>
        </w:rPr>
      </w:pPr>
      <w:r>
        <w:rPr>
          <w:rFonts w:ascii="Arial" w:cs="Arial" w:eastAsia="Arial" w:hAnsi="Arial"/>
          <w:sz w:val="16"/>
          <w:szCs w:val="16"/>
          <w:color w:val="auto"/>
        </w:rPr>
        <w:t xml:space="preserve">NEW YORK, NY – February 7, 2011—PennantPark Investment Corporation (the “Company”) (NASDAQ: </w:t>
      </w:r>
      <w:r>
        <w:rPr>
          <w:rFonts w:ascii="Arial" w:cs="Arial" w:eastAsia="Arial" w:hAnsi="Arial"/>
          <w:sz w:val="16"/>
          <w:szCs w:val="16"/>
          <w:u w:val="single" w:color="auto"/>
          <w:color w:val="auto"/>
        </w:rPr>
        <w:t>PNNT</w:t>
      </w:r>
      <w:r>
        <w:rPr>
          <w:rFonts w:ascii="Arial" w:cs="Arial" w:eastAsia="Arial" w:hAnsi="Arial"/>
          <w:sz w:val="16"/>
          <w:szCs w:val="16"/>
          <w:color w:val="auto"/>
        </w:rPr>
        <w:t>) announced that it plans to make a public offering of 7,500,000 shares of its common stock. The Company also has granted the underwriters an option to purchase up to an additional 1,125,000 shares of common stock to cover over-allotments, if any. The offering price of the shares, subject to the approval of the Company’s Board of Directors, will be determined by market conditions at the time of pricing in consultation with the underwriters of the offering. The offering of the shares will be made under the Company’s shelf registration statement, which was filed with, and has been declared effective by, the Securities and Exchange Commission.</w:t>
      </w:r>
    </w:p>
    <w:p>
      <w:pPr>
        <w:spacing w:after="0" w:line="116" w:lineRule="exact"/>
        <w:rPr>
          <w:sz w:val="24"/>
          <w:szCs w:val="24"/>
          <w:color w:val="auto"/>
        </w:rPr>
      </w:pPr>
    </w:p>
    <w:p>
      <w:pPr>
        <w:ind w:right="760"/>
        <w:spacing w:after="0" w:line="268" w:lineRule="auto"/>
        <w:rPr>
          <w:sz w:val="20"/>
          <w:szCs w:val="20"/>
          <w:color w:val="auto"/>
        </w:rPr>
      </w:pPr>
      <w:r>
        <w:rPr>
          <w:rFonts w:ascii="Arial" w:cs="Arial" w:eastAsia="Arial" w:hAnsi="Arial"/>
          <w:sz w:val="18"/>
          <w:szCs w:val="18"/>
          <w:color w:val="auto"/>
        </w:rPr>
        <w:t>The Company expects to use the net proceeds for general corporate or strategic purposes, including repayment of outstanding indebtedness and funding investments in accordance with its investment objectives.</w:t>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color w:val="auto"/>
        </w:rPr>
        <w:t>Morgan Stanley &amp; Co. Incorporated, J.P. Morgan Securities LLC, and Stifel, Nicolaus &amp; Company, Incorporated, are acting as joint bookrunning underwriters.</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FBR Capital Markets &amp; Co., Keefe, Bruyette &amp; Woods, INC., Ladenburg Thalmann &amp; Co. Inc. and RBC Capital Markets, LLC are acting as co-managers.</w:t>
      </w:r>
    </w:p>
    <w:p>
      <w:pPr>
        <w:spacing w:after="0" w:line="182" w:lineRule="exact"/>
        <w:rPr>
          <w:sz w:val="24"/>
          <w:szCs w:val="24"/>
          <w:color w:val="auto"/>
        </w:rPr>
      </w:pPr>
    </w:p>
    <w:p>
      <w:pPr>
        <w:jc w:val="both"/>
        <w:ind w:right="160"/>
        <w:spacing w:after="0" w:line="310" w:lineRule="auto"/>
        <w:rPr>
          <w:sz w:val="20"/>
          <w:szCs w:val="20"/>
          <w:color w:val="auto"/>
        </w:rPr>
      </w:pPr>
      <w:r>
        <w:rPr>
          <w:rFonts w:ascii="Arial" w:cs="Arial" w:eastAsia="Arial" w:hAnsi="Arial"/>
          <w:sz w:val="16"/>
          <w:szCs w:val="16"/>
          <w:b w:val="1"/>
          <w:bCs w:val="1"/>
          <w:color w:val="auto"/>
        </w:rPr>
        <w:t>Investors are advised to carefully consider the investment objectives, risks and charges and expenses of the Company before investing. The prospectus supplement dated February 7, 2011 and the accompanying prospectus dated January 28, 2011, which have been filed with the Securities and Exchange Commission, contain this and other information about the Company and should be read carefully before investing.</w:t>
      </w:r>
    </w:p>
    <w:p>
      <w:pPr>
        <w:spacing w:after="0" w:line="103" w:lineRule="exact"/>
        <w:rPr>
          <w:sz w:val="24"/>
          <w:szCs w:val="24"/>
          <w:color w:val="auto"/>
        </w:rPr>
      </w:pPr>
    </w:p>
    <w:p>
      <w:pPr>
        <w:jc w:val="both"/>
        <w:ind w:right="80"/>
        <w:spacing w:after="0" w:line="306" w:lineRule="auto"/>
        <w:rPr>
          <w:sz w:val="20"/>
          <w:szCs w:val="20"/>
          <w:color w:val="auto"/>
        </w:rPr>
      </w:pPr>
      <w:r>
        <w:rPr>
          <w:rFonts w:ascii="Arial" w:cs="Arial" w:eastAsia="Arial" w:hAnsi="Arial"/>
          <w:sz w:val="16"/>
          <w:szCs w:val="16"/>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 A registration statement relating to these securities was filed and has been declared effective by the Securities and Exchange Commission.</w:t>
      </w:r>
    </w:p>
    <w:p>
      <w:pPr>
        <w:spacing w:after="0" w:line="101" w:lineRule="exact"/>
        <w:rPr>
          <w:sz w:val="24"/>
          <w:szCs w:val="24"/>
          <w:color w:val="auto"/>
        </w:rPr>
      </w:pPr>
    </w:p>
    <w:p>
      <w:pPr>
        <w:ind w:right="60"/>
        <w:spacing w:after="0" w:line="320" w:lineRule="auto"/>
        <w:rPr>
          <w:sz w:val="20"/>
          <w:szCs w:val="20"/>
          <w:color w:val="auto"/>
        </w:rPr>
      </w:pPr>
      <w:r>
        <w:rPr>
          <w:rFonts w:ascii="Arial" w:cs="Arial" w:eastAsia="Arial" w:hAnsi="Arial"/>
          <w:sz w:val="15"/>
          <w:szCs w:val="15"/>
          <w:b w:val="1"/>
          <w:bCs w:val="1"/>
          <w:color w:val="auto"/>
        </w:rPr>
        <w:t xml:space="preserve">The offering may be made only by means of a prospectus and a related prospectus supplement, copies of which may be obtained from the joint bookrunners at the following addresses: Morgan Stanley, via telephone: (866) 718-1649, email: </w:t>
      </w:r>
      <w:r>
        <w:rPr>
          <w:rFonts w:ascii="Arial" w:cs="Arial" w:eastAsia="Arial" w:hAnsi="Arial"/>
          <w:sz w:val="15"/>
          <w:szCs w:val="15"/>
          <w:b w:val="1"/>
          <w:bCs w:val="1"/>
          <w:u w:val="single" w:color="auto"/>
          <w:color w:val="auto"/>
        </w:rPr>
        <w:t>prospectus@morganstanley.com</w:t>
      </w:r>
      <w:r>
        <w:rPr>
          <w:rFonts w:ascii="Arial" w:cs="Arial" w:eastAsia="Arial" w:hAnsi="Arial"/>
          <w:sz w:val="15"/>
          <w:szCs w:val="15"/>
          <w:b w:val="1"/>
          <w:bCs w:val="1"/>
          <w:color w:val="auto"/>
        </w:rPr>
        <w:t>, or standard mail at Morgan Stanley, Attention: Prospectus Department, 180 Varick Street, 2</w:t>
      </w:r>
      <w:r>
        <w:rPr>
          <w:rFonts w:ascii="Arial" w:cs="Arial" w:eastAsia="Arial" w:hAnsi="Arial"/>
          <w:sz w:val="10"/>
          <w:szCs w:val="10"/>
          <w:b w:val="1"/>
          <w:bCs w:val="1"/>
          <w:color w:val="auto"/>
        </w:rPr>
        <w:t>nd</w:t>
      </w:r>
      <w:r>
        <w:rPr>
          <w:rFonts w:ascii="Arial" w:cs="Arial" w:eastAsia="Arial" w:hAnsi="Arial"/>
          <w:sz w:val="15"/>
          <w:szCs w:val="15"/>
          <w:b w:val="1"/>
          <w:bCs w:val="1"/>
          <w:color w:val="auto"/>
        </w:rPr>
        <w:t xml:space="preserve"> Floor, New York, NY 10014; J.P. Morgan Securities LLC, c/o Broadridge Financial Solutions, 1155 Long Island Avenue, Edgewood, NY 11717, Attention: Prospectus Department, or by calling 866-803-9204; or Stifel Nicolaus Weisel, One South Street, 15th Floor, Baltimore, MD 21202, Attention: Equity Syndicate Department, 443-224-1988 or e-mail SyndicateOps@stifel.com.</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PENNANTPARK INVESTMENT CORPORATION</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PennantPark Investment Corporation is a business development company which principally invests in U.S. middle-market private companies in the form of senior secured loans, mezzanine debt and equity investments. From time to time, we may also invest in public companies whose securities are thinly traded. PennantPark Investment Corporation is managed by PennantPark Investment Advisers,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Reception: (212) 905-1000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www.pennantpark.com</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2019-12-11T03:50:13Z</dcterms:created>
  <dcterms:modified xsi:type="dcterms:W3CDTF">2019-12-11T03:50:13Z</dcterms:modified>
</cp:coreProperties>
</file>